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Bdr>
          <w:top w:val="single" w:color="1F4E79" w:sz="40" w:space="0"/>
        </w:pBdr>
        <w:spacing w:after="0" w:before="0"/>
      </w:pPr>
    </w:p>
    <w:p>
      <w:pPr>
        <w:spacing w:before="2200"/>
      </w:pPr>
    </w:p>
    <w:p>
      <w:pPr>
        <w:spacing w:after="100" w:before="0"/>
        <w:jc w:val="center"/>
      </w:pPr>
      <w:r>
        <w:rPr>
          <w:rFonts w:ascii="Arial" w:cs="Arial" w:eastAsia="Arial" w:hAnsi="Arial"/>
          <w:i/>
          <w:iCs/>
          <w:color w:val="888888"/>
          <w:sz w:val="20"/>
          <w:szCs w:val="20"/>
        </w:rPr>
        <w:t xml:space="preserve">MP Online  •  Internship Project  •  2025-26</w:t>
      </w:r>
    </w:p>
    <w:p>
      <w:pPr>
        <w:pBdr>
          <w:bottom w:val="single" w:color="2E75B6" w:sz="6" w:space="1"/>
        </w:pBdr>
        <w:spacing w:after="160" w:before="0"/>
        <w:jc w:val="center"/>
      </w:pPr>
    </w:p>
    <w:p>
      <w:pPr>
        <w:spacing w:after="80" w:before="0"/>
        <w:jc w:val="center"/>
      </w:pPr>
      <w:r>
        <w:rPr>
          <w:rFonts w:ascii="Arial" w:cs="Arial" w:eastAsia="Arial" w:hAnsi="Arial"/>
          <w:b/>
          <w:bCs/>
          <w:color w:val="1F4E79"/>
          <w:sz w:val="84"/>
          <w:szCs w:val="84"/>
        </w:rPr>
        <w:t xml:space="preserve">GrievanceHub</w:t>
      </w:r>
    </w:p>
    <w:p>
      <w:pPr>
        <w:spacing w:after="320" w:before="0"/>
        <w:jc w:val="center"/>
      </w:pPr>
      <w:r>
        <w:rPr>
          <w:rFonts w:ascii="Arial" w:cs="Arial" w:eastAsia="Arial" w:hAnsi="Arial"/>
          <w:color w:val="2E75B6"/>
          <w:sz w:val="32"/>
          <w:szCs w:val="32"/>
        </w:rPr>
        <w:t xml:space="preserve">Digital Grievance Redressal System</w:t>
      </w:r>
    </w:p>
    <w:p>
      <w:pPr>
        <w:shd w:fill="1F4E79" w:val="clear"/>
        <w:spacing w:after="100" w:before="0"/>
        <w:jc w:val="center"/>
      </w:pPr>
      <w:r>
        <w:rPr>
          <w:rFonts w:ascii="Arial" w:cs="Arial" w:eastAsia="Arial" w:hAnsi="Arial"/>
          <w:b/>
          <w:bCs/>
          <w:color w:val="FFFFFF"/>
          <w:sz w:val="46"/>
          <w:szCs w:val="46"/>
        </w:rPr>
        <w:t xml:space="preserve">  Process Compliance Document  </w:t>
      </w:r>
    </w:p>
    <w:p>
      <w:pPr>
        <w:spacing w:after="0" w:before="0"/>
        <w:jc w:val="center"/>
      </w:pPr>
      <w:r>
        <w:rPr>
          <w:rFonts w:ascii="Arial" w:cs="Arial" w:eastAsia="Arial" w:hAnsi="Arial"/>
          <w:i/>
          <w:iCs/>
          <w:color w:val="595959"/>
          <w:sz w:val="25"/>
          <w:szCs w:val="25"/>
        </w:rPr>
        <w:t xml:space="preserve">Standards, Best Practices &amp; Methodology Followed</w:t>
      </w:r>
    </w:p>
    <w:p>
      <w:pPr>
        <w:pBdr>
          <w:bottom w:val="single" w:color="2E75B6" w:sz="6" w:space="1"/>
        </w:pBdr>
        <w:spacing w:after="400" w:before="160"/>
        <w:jc w:val="center"/>
      </w:pPr>
    </w:p>
    <w:p>
      <w:pPr>
        <w:spacing w:after="60" w:before="0"/>
        <w:jc w:val="center"/>
      </w:pPr>
      <w:r>
        <w:rPr>
          <w:rFonts w:ascii="Arial" w:cs="Arial" w:eastAsia="Arial" w:hAnsi="Arial"/>
          <w:color w:val="555555"/>
          <w:sz w:val="26"/>
          <w:szCs w:val="26"/>
        </w:rPr>
        <w:t xml:space="preserve">Prepared by: </w:t>
      </w:r>
      <w:r>
        <w:rPr>
          <w:rFonts w:ascii="Arial" w:cs="Arial" w:eastAsia="Arial" w:hAnsi="Arial"/>
          <w:b/>
          <w:bCs/>
          <w:color w:val="1F4E79"/>
          <w:sz w:val="26"/>
          <w:szCs w:val="26"/>
        </w:rPr>
        <w:t xml:space="preserve">Shantanu Shrivastava</w:t>
      </w:r>
    </w:p>
    <w:p>
      <w:pPr>
        <w:spacing w:after="60" w:before="0"/>
        <w:jc w:val="center"/>
      </w:pPr>
      <w:r>
        <w:rPr>
          <w:rFonts w:ascii="Arial" w:cs="Arial" w:eastAsia="Arial" w:hAnsi="Arial"/>
          <w:color w:val="555555"/>
          <w:sz w:val="24"/>
          <w:szCs w:val="24"/>
        </w:rPr>
        <w:t xml:space="preserve">Date: April 2026</w:t>
      </w:r>
    </w:p>
    <w:p>
      <w:pPr>
        <w:spacing w:after="0" w:before="0"/>
        <w:jc w:val="center"/>
      </w:pPr>
      <w:r>
        <w:rPr>
          <w:rFonts w:ascii="Arial" w:cs="Arial" w:eastAsia="Arial" w:hAnsi="Arial"/>
          <w:color w:val="888888"/>
          <w:sz w:val="24"/>
          <w:szCs w:val="24"/>
        </w:rPr>
        <w:t xml:space="preserve">MP Online Internship Project</w:t>
      </w:r>
    </w:p>
    <w:p>
      <w:pPr>
        <w:pBdr>
          <w:bottom w:val="single" w:color="1F4E79" w:sz="40" w:space="0"/>
        </w:pBdr>
        <w:spacing w:after="0" w:before="2200"/>
      </w:pPr>
    </w:p>
    <w:p>
      <w:pPr>
        <w:sectPr>
          <w:pgSz w:w="12240" w:h="15840" w:orient="portrait"/>
          <w:pgMar w:top="720" w:right="900" w:bottom="720" w:left="900" w:header="708" w:footer="708" w:gutter="0"/>
          <w:pgNumType/>
          <w:docGrid w:linePitch="360"/>
        </w:sectPr>
      </w:pPr>
    </w:p>
    <w:p>
      <w:pPr>
        <w:spacing w:after="40" w:before="120"/>
      </w:pPr>
      <w:r>
        <w:rPr>
          <w:rFonts w:ascii="Arial" w:cs="Arial" w:eastAsia="Arial" w:hAnsi="Arial"/>
          <w:b/>
          <w:bCs/>
          <w:color w:val="1F4E79"/>
          <w:sz w:val="28"/>
          <w:szCs w:val="28"/>
        </w:rPr>
        <w:t xml:space="preserve">1. Overview</w:t>
      </w:r>
    </w:p>
    <w:p>
      <w:pPr>
        <w:pBdr>
          <w:bottom w:val="single" w:color="2E75B6" w:sz="4"/>
        </w:pBdr>
        <w:spacing w:after="30" w:before="30"/>
      </w:pPr>
    </w:p>
    <w:p>
      <w:pPr>
        <w:spacing w:after="30" w:before="30"/>
      </w:pPr>
      <w:r>
        <w:rPr>
          <w:rFonts w:ascii="Arial" w:cs="Arial" w:eastAsia="Arial" w:hAnsi="Arial"/>
          <w:sz w:val="21"/>
          <w:szCs w:val="21"/>
        </w:rPr>
        <w:t xml:space="preserve">This document describes the development standards, coding practices, and software engineering principles followed during the development of GrievanceHub. It demonstrates adherence to professional software development processes appropriate for an academic/internship-level project.</w:t>
      </w:r>
    </w:p>
    <w:p>
      <w:pPr>
        <w:spacing w:after="0" w:before="0"/>
      </w:pPr>
    </w:p>
    <w:p>
      <w:pPr>
        <w:spacing w:after="40" w:before="120"/>
      </w:pPr>
      <w:r>
        <w:rPr>
          <w:rFonts w:ascii="Arial" w:cs="Arial" w:eastAsia="Arial" w:hAnsi="Arial"/>
          <w:b/>
          <w:bCs/>
          <w:color w:val="1F4E79"/>
          <w:sz w:val="28"/>
          <w:szCs w:val="28"/>
        </w:rPr>
        <w:t xml:space="preserve">2. Software Development Methodology</w:t>
      </w:r>
    </w:p>
    <w:p>
      <w:pPr>
        <w:pBdr>
          <w:bottom w:val="single" w:color="2E75B6" w:sz="4"/>
        </w:pBdr>
        <w:spacing w:after="30" w:before="30"/>
      </w:pP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7440"/>
      </w:tblGrid>
      <w:tr>
        <w:trPr>
          <w:tblHeader/>
        </w:trPr>
        <w:tc>
          <w:tcPr>
            <w:tcW w:type="dxa" w:w="3000"/>
            <w:tcBorders>
              <w:top w:val="single" w:color="1F4E79" w:sz="2"/>
              <w:left w:val="single" w:color="1F4E79" w:sz="2"/>
              <w:bottom w:val="single" w:color="1F4E79" w:sz="2"/>
              <w:right w:val="single" w:color="1F4E79" w:sz="2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1"/>
                <w:szCs w:val="21"/>
              </w:rPr>
              <w:t xml:space="preserve">Aspect</w:t>
            </w:r>
          </w:p>
        </w:tc>
        <w:tc>
          <w:tcPr>
            <w:tcW w:type="dxa" w:w="7440"/>
            <w:tcBorders>
              <w:top w:val="single" w:color="1F4E79" w:sz="2"/>
              <w:left w:val="single" w:color="1F4E79" w:sz="2"/>
              <w:bottom w:val="single" w:color="1F4E79" w:sz="2"/>
              <w:right w:val="single" w:color="1F4E79" w:sz="2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1"/>
                <w:szCs w:val="21"/>
              </w:rPr>
              <w:t xml:space="preserve">Approach Followed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Development Model</w:t>
            </w:r>
          </w:p>
        </w:tc>
        <w:tc>
          <w:tcPr>
            <w:tcW w:type="dxa" w:w="7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Iterative and Incremental - features built and tested phase by phase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Architecture Pattern</w:t>
            </w:r>
          </w:p>
        </w:tc>
        <w:tc>
          <w:tcPr>
            <w:tcW w:type="dxa" w:w="7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Layered Architecture (Models &gt; Services &gt; Routers) on backend; Component-based on frontend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API Style</w:t>
            </w:r>
          </w:p>
        </w:tc>
        <w:tc>
          <w:tcPr>
            <w:tcW w:type="dxa" w:w="7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RESTful API design with proper HTTP methods (GET, POST, PATCH) and status codes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Version Control</w:t>
            </w:r>
          </w:p>
        </w:tc>
        <w:tc>
          <w:tcPr>
            <w:tcW w:type="dxa" w:w="7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Git-based source control with organized folder structure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Documentation</w:t>
            </w:r>
          </w:p>
        </w:tc>
        <w:tc>
          <w:tcPr>
            <w:tcW w:type="dxa" w:w="7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Swagger/OpenAPI auto-docs via FastAPI; separate project docs prepared</w:t>
            </w:r>
          </w:p>
        </w:tc>
      </w:tr>
    </w:tbl>
    <w:p>
      <w:pPr>
        <w:spacing w:after="0" w:before="0"/>
      </w:pPr>
    </w:p>
    <w:p>
      <w:pPr>
        <w:spacing w:after="40" w:before="120"/>
      </w:pPr>
      <w:r>
        <w:rPr>
          <w:rFonts w:ascii="Arial" w:cs="Arial" w:eastAsia="Arial" w:hAnsi="Arial"/>
          <w:b/>
          <w:bCs/>
          <w:color w:val="1F4E79"/>
          <w:sz w:val="28"/>
          <w:szCs w:val="28"/>
        </w:rPr>
        <w:t xml:space="preserve">3. Coding Standards</w:t>
      </w:r>
    </w:p>
    <w:p>
      <w:pPr>
        <w:pBdr>
          <w:bottom w:val="single" w:color="2E75B6" w:sz="4"/>
        </w:pBdr>
        <w:spacing w:after="30" w:before="30"/>
      </w:pPr>
    </w:p>
    <w:p>
      <w:pPr>
        <w:spacing w:after="30" w:before="80"/>
      </w:pPr>
      <w:r>
        <w:rPr>
          <w:rFonts w:ascii="Arial" w:cs="Arial" w:eastAsia="Arial" w:hAnsi="Arial"/>
          <w:b/>
          <w:bCs/>
          <w:color w:val="2E75B6"/>
          <w:sz w:val="24"/>
          <w:szCs w:val="24"/>
        </w:rPr>
        <w:t xml:space="preserve">3.1 Backend (Python / FastAPI)</w:t>
      </w:r>
    </w:p>
    <w:p>
      <w:pPr>
        <w:pStyle w:val="ListParagraph"/>
        <w:numPr>
          <w:ilvl w:val="0"/>
          <w:numId w:val="2"/>
        </w:numPr>
        <w:spacing w:after="20" w:before="20"/>
      </w:pPr>
      <w:r>
        <w:rPr>
          <w:rFonts w:ascii="Arial" w:cs="Arial" w:eastAsia="Arial" w:hAnsi="Arial"/>
          <w:sz w:val="21"/>
          <w:szCs w:val="21"/>
        </w:rPr>
        <w:t xml:space="preserve">PEP-8 naming conventions: snake_case for functions and variables</w:t>
      </w:r>
    </w:p>
    <w:p>
      <w:pPr>
        <w:pStyle w:val="ListParagraph"/>
        <w:numPr>
          <w:ilvl w:val="0"/>
          <w:numId w:val="2"/>
        </w:numPr>
        <w:spacing w:after="20" w:before="20"/>
      </w:pPr>
      <w:r>
        <w:rPr>
          <w:rFonts w:ascii="Arial" w:cs="Arial" w:eastAsia="Arial" w:hAnsi="Arial"/>
          <w:sz w:val="21"/>
          <w:szCs w:val="21"/>
        </w:rPr>
        <w:t xml:space="preserve">Separation of concerns: models, schemas, services, and routers kept separate</w:t>
      </w:r>
    </w:p>
    <w:p>
      <w:pPr>
        <w:pStyle w:val="ListParagraph"/>
        <w:numPr>
          <w:ilvl w:val="0"/>
          <w:numId w:val="2"/>
        </w:numPr>
        <w:spacing w:after="20" w:before="20"/>
      </w:pPr>
      <w:r>
        <w:rPr>
          <w:rFonts w:ascii="Arial" w:cs="Arial" w:eastAsia="Arial" w:hAnsi="Arial"/>
          <w:sz w:val="21"/>
          <w:szCs w:val="21"/>
        </w:rPr>
        <w:t xml:space="preserve">Dependency injection used for DB sessions and auth guards (FastAPI Depends)</w:t>
      </w:r>
    </w:p>
    <w:p>
      <w:pPr>
        <w:pStyle w:val="ListParagraph"/>
        <w:numPr>
          <w:ilvl w:val="0"/>
          <w:numId w:val="2"/>
        </w:numPr>
        <w:spacing w:after="20" w:before="20"/>
      </w:pPr>
      <w:r>
        <w:rPr>
          <w:rFonts w:ascii="Arial" w:cs="Arial" w:eastAsia="Arial" w:hAnsi="Arial"/>
          <w:sz w:val="21"/>
          <w:szCs w:val="21"/>
        </w:rPr>
        <w:t xml:space="preserve">Pydantic v2 schemas used for all request/response validation</w:t>
      </w:r>
    </w:p>
    <w:p>
      <w:pPr>
        <w:pStyle w:val="ListParagraph"/>
        <w:numPr>
          <w:ilvl w:val="0"/>
          <w:numId w:val="2"/>
        </w:numPr>
        <w:spacing w:after="20" w:before="20"/>
      </w:pPr>
      <w:r>
        <w:rPr>
          <w:rFonts w:ascii="Arial" w:cs="Arial" w:eastAsia="Arial" w:hAnsi="Arial"/>
          <w:sz w:val="21"/>
          <w:szCs w:val="21"/>
        </w:rPr>
        <w:t xml:space="preserve">Async/await used for I/O-bound operations in grievance submission</w:t>
      </w:r>
    </w:p>
    <w:p>
      <w:pPr>
        <w:pStyle w:val="ListParagraph"/>
        <w:numPr>
          <w:ilvl w:val="0"/>
          <w:numId w:val="2"/>
        </w:numPr>
        <w:spacing w:after="20" w:before="20"/>
      </w:pPr>
      <w:r>
        <w:rPr>
          <w:rFonts w:ascii="Arial" w:cs="Arial" w:eastAsia="Arial" w:hAnsi="Arial"/>
          <w:sz w:val="21"/>
          <w:szCs w:val="21"/>
        </w:rPr>
        <w:t xml:space="preserve">Sensitive config (DB credentials, secret keys) stored in .env file, not in code</w:t>
      </w:r>
    </w:p>
    <w:p>
      <w:pPr>
        <w:spacing w:after="0" w:before="0"/>
      </w:pPr>
    </w:p>
    <w:p>
      <w:pPr>
        <w:spacing w:after="30" w:before="80"/>
      </w:pPr>
      <w:r>
        <w:rPr>
          <w:rFonts w:ascii="Arial" w:cs="Arial" w:eastAsia="Arial" w:hAnsi="Arial"/>
          <w:b/>
          <w:bCs/>
          <w:color w:val="2E75B6"/>
          <w:sz w:val="24"/>
          <w:szCs w:val="24"/>
        </w:rPr>
        <w:t xml:space="preserve">3.2 Frontend (React / JavaScript)</w:t>
      </w:r>
    </w:p>
    <w:p>
      <w:pPr>
        <w:pStyle w:val="ListParagraph"/>
        <w:numPr>
          <w:ilvl w:val="0"/>
          <w:numId w:val="2"/>
        </w:numPr>
        <w:spacing w:after="20" w:before="20"/>
      </w:pPr>
      <w:r>
        <w:rPr>
          <w:rFonts w:ascii="Arial" w:cs="Arial" w:eastAsia="Arial" w:hAnsi="Arial"/>
          <w:sz w:val="21"/>
          <w:szCs w:val="21"/>
        </w:rPr>
        <w:t xml:space="preserve">Functional components used throughout - no class components</w:t>
      </w:r>
    </w:p>
    <w:p>
      <w:pPr>
        <w:pStyle w:val="ListParagraph"/>
        <w:numPr>
          <w:ilvl w:val="0"/>
          <w:numId w:val="2"/>
        </w:numPr>
        <w:spacing w:after="20" w:before="20"/>
      </w:pPr>
      <w:r>
        <w:rPr>
          <w:rFonts w:ascii="Arial" w:cs="Arial" w:eastAsia="Arial" w:hAnsi="Arial"/>
          <w:sz w:val="21"/>
          <w:szCs w:val="21"/>
        </w:rPr>
        <w:t xml:space="preserve">React hooks (useState, useEffect, useContext) used for state management</w:t>
      </w:r>
    </w:p>
    <w:p>
      <w:pPr>
        <w:pStyle w:val="ListParagraph"/>
        <w:numPr>
          <w:ilvl w:val="0"/>
          <w:numId w:val="2"/>
        </w:numPr>
        <w:spacing w:after="20" w:before="20"/>
      </w:pPr>
      <w:r>
        <w:rPr>
          <w:rFonts w:ascii="Arial" w:cs="Arial" w:eastAsia="Arial" w:hAnsi="Arial"/>
          <w:sz w:val="21"/>
          <w:szCs w:val="21"/>
        </w:rPr>
        <w:t xml:space="preserve">Custom hooks created for reusable logic (useAuth, useGrievance)</w:t>
      </w:r>
    </w:p>
    <w:p>
      <w:pPr>
        <w:pStyle w:val="ListParagraph"/>
        <w:numPr>
          <w:ilvl w:val="0"/>
          <w:numId w:val="2"/>
        </w:numPr>
        <w:spacing w:after="20" w:before="20"/>
      </w:pPr>
      <w:r>
        <w:rPr>
          <w:rFonts w:ascii="Arial" w:cs="Arial" w:eastAsia="Arial" w:hAnsi="Arial"/>
          <w:sz w:val="21"/>
          <w:szCs w:val="21"/>
        </w:rPr>
        <w:t xml:space="preserve">Axios instance configured centrally with base URL and interceptors</w:t>
      </w:r>
    </w:p>
    <w:p>
      <w:pPr>
        <w:pStyle w:val="ListParagraph"/>
        <w:numPr>
          <w:ilvl w:val="0"/>
          <w:numId w:val="2"/>
        </w:numPr>
        <w:spacing w:after="20" w:before="20"/>
      </w:pPr>
      <w:r>
        <w:rPr>
          <w:rFonts w:ascii="Arial" w:cs="Arial" w:eastAsia="Arial" w:hAnsi="Arial"/>
          <w:sz w:val="21"/>
          <w:szCs w:val="21"/>
        </w:rPr>
        <w:t xml:space="preserve">Context API used for global auth state management</w:t>
      </w:r>
    </w:p>
    <w:p>
      <w:pPr>
        <w:pStyle w:val="ListParagraph"/>
        <w:numPr>
          <w:ilvl w:val="0"/>
          <w:numId w:val="2"/>
        </w:numPr>
        <w:spacing w:after="20" w:before="20"/>
      </w:pPr>
      <w:r>
        <w:rPr>
          <w:rFonts w:ascii="Arial" w:cs="Arial" w:eastAsia="Arial" w:hAnsi="Arial"/>
          <w:sz w:val="21"/>
          <w:szCs w:val="21"/>
        </w:rPr>
        <w:t xml:space="preserve">Components organized by feature: common/, grievance/, admin/</w:t>
      </w:r>
    </w:p>
    <w:p>
      <w:pPr>
        <w:spacing w:after="0" w:before="0"/>
      </w:pPr>
    </w:p>
    <w:p>
      <w:pPr>
        <w:spacing w:after="40" w:before="120"/>
      </w:pPr>
      <w:r>
        <w:rPr>
          <w:rFonts w:ascii="Arial" w:cs="Arial" w:eastAsia="Arial" w:hAnsi="Arial"/>
          <w:b/>
          <w:bCs/>
          <w:color w:val="1F4E79"/>
          <w:sz w:val="28"/>
          <w:szCs w:val="28"/>
        </w:rPr>
        <w:t xml:space="preserve">4. Security Compliance</w:t>
      </w:r>
    </w:p>
    <w:p>
      <w:pPr>
        <w:pBdr>
          <w:bottom w:val="single" w:color="2E75B6" w:sz="4"/>
        </w:pBdr>
        <w:spacing w:after="30" w:before="30"/>
      </w:pP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5840"/>
        <w:gridCol w:w="1800"/>
      </w:tblGrid>
      <w:tr>
        <w:trPr>
          <w:tblHeader/>
        </w:trPr>
        <w:tc>
          <w:tcPr>
            <w:tcW w:type="dxa" w:w="2800"/>
            <w:tcBorders>
              <w:top w:val="single" w:color="1F4E79" w:sz="2"/>
              <w:left w:val="single" w:color="1F4E79" w:sz="2"/>
              <w:bottom w:val="single" w:color="1F4E79" w:sz="2"/>
              <w:right w:val="single" w:color="1F4E79" w:sz="2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1"/>
                <w:szCs w:val="21"/>
              </w:rPr>
              <w:t xml:space="preserve">Requirement</w:t>
            </w:r>
          </w:p>
        </w:tc>
        <w:tc>
          <w:tcPr>
            <w:tcW w:type="dxa" w:w="5840"/>
            <w:tcBorders>
              <w:top w:val="single" w:color="1F4E79" w:sz="2"/>
              <w:left w:val="single" w:color="1F4E79" w:sz="2"/>
              <w:bottom w:val="single" w:color="1F4E79" w:sz="2"/>
              <w:right w:val="single" w:color="1F4E79" w:sz="2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1"/>
                <w:szCs w:val="21"/>
              </w:rPr>
              <w:t xml:space="preserve">Implementation</w:t>
            </w:r>
          </w:p>
        </w:tc>
        <w:tc>
          <w:tcPr>
            <w:tcW w:type="dxa" w:w="1800"/>
            <w:tcBorders>
              <w:top w:val="single" w:color="1F4E79" w:sz="2"/>
              <w:left w:val="single" w:color="1F4E79" w:sz="2"/>
              <w:bottom w:val="single" w:color="1F4E79" w:sz="2"/>
              <w:right w:val="single" w:color="1F4E79" w:sz="2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1"/>
                <w:szCs w:val="21"/>
              </w:rPr>
              <w:t xml:space="preserve">Status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Password Security</w:t>
            </w:r>
          </w:p>
        </w:tc>
        <w:tc>
          <w:tcPr>
            <w:tcW w:type="dxa" w:w="5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Bcrypt hashing via Passlib - plaintext passwords never stored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Done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Authentication</w:t>
            </w:r>
          </w:p>
        </w:tc>
        <w:tc>
          <w:tcPr>
            <w:tcW w:type="dxa" w:w="5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JWT tokens with 60-minute expiry via python-jose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Done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Authorization</w:t>
            </w:r>
          </w:p>
        </w:tc>
        <w:tc>
          <w:tcPr>
            <w:tcW w:type="dxa" w:w="5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Role-based guards on all protected routes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Done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Input Validation</w:t>
            </w:r>
          </w:p>
        </w:tc>
        <w:tc>
          <w:tcPr>
            <w:tcW w:type="dxa" w:w="5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Pydantic v2 validates all API input automatically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Done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CORS Policy</w:t>
            </w:r>
          </w:p>
        </w:tc>
        <w:tc>
          <w:tcPr>
            <w:tcW w:type="dxa" w:w="5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Restricted to http://localhost:5173 only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Done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Secret Management</w:t>
            </w:r>
          </w:p>
        </w:tc>
        <w:tc>
          <w:tcPr>
            <w:tcW w:type="dxa" w:w="5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.env file used; .gitignore excludes it from version control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Done</w:t>
            </w:r>
          </w:p>
        </w:tc>
      </w:tr>
    </w:tbl>
    <w:p>
      <w:pPr>
        <w:spacing w:after="0" w:before="0"/>
      </w:pPr>
    </w:p>
    <w:p>
      <w:pPr>
        <w:spacing w:after="40" w:before="120"/>
      </w:pPr>
      <w:r>
        <w:rPr>
          <w:rFonts w:ascii="Arial" w:cs="Arial" w:eastAsia="Arial" w:hAnsi="Arial"/>
          <w:b/>
          <w:bCs/>
          <w:color w:val="1F4E79"/>
          <w:sz w:val="28"/>
          <w:szCs w:val="28"/>
        </w:rPr>
        <w:t xml:space="preserve">5. Documentation Compliance</w:t>
      </w:r>
    </w:p>
    <w:p>
      <w:pPr>
        <w:pBdr>
          <w:bottom w:val="single" w:color="2E75B6" w:sz="4"/>
        </w:pBdr>
        <w:spacing w:after="30" w:before="30"/>
      </w:pP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0"/>
        <w:gridCol w:w="4440"/>
      </w:tblGrid>
      <w:tr>
        <w:trPr>
          <w:tblHeader/>
        </w:trPr>
        <w:tc>
          <w:tcPr>
            <w:tcW w:type="dxa" w:w="6000"/>
            <w:tcBorders>
              <w:top w:val="single" w:color="1F4E79" w:sz="2"/>
              <w:left w:val="single" w:color="1F4E79" w:sz="2"/>
              <w:bottom w:val="single" w:color="1F4E79" w:sz="2"/>
              <w:right w:val="single" w:color="1F4E79" w:sz="2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1"/>
                <w:szCs w:val="21"/>
              </w:rPr>
              <w:t xml:space="preserve">Document</w:t>
            </w:r>
          </w:p>
        </w:tc>
        <w:tc>
          <w:tcPr>
            <w:tcW w:type="dxa" w:w="4440"/>
            <w:tcBorders>
              <w:top w:val="single" w:color="1F4E79" w:sz="2"/>
              <w:left w:val="single" w:color="1F4E79" w:sz="2"/>
              <w:bottom w:val="single" w:color="1F4E79" w:sz="2"/>
              <w:right w:val="single" w:color="1F4E79" w:sz="2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1"/>
                <w:szCs w:val="21"/>
              </w:rPr>
              <w:t xml:space="preserve">Status</w:t>
            </w:r>
          </w:p>
        </w:tc>
      </w:tr>
      <w:tr>
        <w:tc>
          <w:tcPr>
            <w:tcW w:type="dxa" w:w="6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Development Planning Document</w:t>
            </w:r>
          </w:p>
        </w:tc>
        <w:tc>
          <w:tcPr>
            <w:tcW w:type="dxa" w:w="4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Completed</w:t>
            </w:r>
          </w:p>
        </w:tc>
      </w:tr>
      <w:tr>
        <w:tc>
          <w:tcPr>
            <w:tcW w:type="dxa" w:w="6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Business Requirement Document (BRD)</w:t>
            </w:r>
          </w:p>
        </w:tc>
        <w:tc>
          <w:tcPr>
            <w:tcW w:type="dxa" w:w="4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Completed</w:t>
            </w:r>
          </w:p>
        </w:tc>
      </w:tr>
      <w:tr>
        <w:tc>
          <w:tcPr>
            <w:tcW w:type="dxa" w:w="6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Design Document (DDD)</w:t>
            </w:r>
          </w:p>
        </w:tc>
        <w:tc>
          <w:tcPr>
            <w:tcW w:type="dxa" w:w="4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Completed</w:t>
            </w:r>
          </w:p>
        </w:tc>
      </w:tr>
      <w:tr>
        <w:tc>
          <w:tcPr>
            <w:tcW w:type="dxa" w:w="6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Requirements Traceability Matrix (RTM)</w:t>
            </w:r>
          </w:p>
        </w:tc>
        <w:tc>
          <w:tcPr>
            <w:tcW w:type="dxa" w:w="4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Completed</w:t>
            </w:r>
          </w:p>
        </w:tc>
      </w:tr>
      <w:tr>
        <w:tc>
          <w:tcPr>
            <w:tcW w:type="dxa" w:w="6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Process Compliance Document</w:t>
            </w:r>
          </w:p>
        </w:tc>
        <w:tc>
          <w:tcPr>
            <w:tcW w:type="dxa" w:w="4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Completed</w:t>
            </w:r>
          </w:p>
        </w:tc>
      </w:tr>
      <w:tr>
        <w:tc>
          <w:tcPr>
            <w:tcW w:type="dxa" w:w="6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Test Document</w:t>
            </w:r>
          </w:p>
        </w:tc>
        <w:tc>
          <w:tcPr>
            <w:tcW w:type="dxa" w:w="4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Completed</w:t>
            </w:r>
          </w:p>
        </w:tc>
      </w:tr>
      <w:tr>
        <w:tc>
          <w:tcPr>
            <w:tcW w:type="dxa" w:w="6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User Guide</w:t>
            </w:r>
          </w:p>
        </w:tc>
        <w:tc>
          <w:tcPr>
            <w:tcW w:type="dxa" w:w="4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Completed</w:t>
            </w:r>
          </w:p>
        </w:tc>
      </w:tr>
    </w:tbl>
    <w:sectPr>
      <w:pgSz w:w="12240" w:h="15840" w:orient="portrait"/>
      <w:pgMar w:top="720" w:right="900" w:bottom="720" w:left="9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600" w:hanging="30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600" w:hanging="30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2026-04-22T08:57:45.621Z</dcterms:created>
  <dcterms:modified xsi:type="dcterms:W3CDTF">2026-04-22T08:57:45.621Z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