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color w:val="ff0000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30"/>
          <w:szCs w:val="30"/>
          <w:rtl w:val="0"/>
        </w:rPr>
        <w:t xml:space="preserve">Lab VII: Activity &amp;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30"/>
          <w:szCs w:val="3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Group: 31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Hemang Nakarani : </w:t>
        <w:tab/>
        <w:tab/>
        <w:t xml:space="preserve">201801158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Dharmin Hirapara :</w:t>
        <w:tab/>
        <w:tab/>
        <w:t xml:space="preserve">201801135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Shah Yash Pareshkumar : </w:t>
        <w:tab/>
        <w:t xml:space="preserve">201801131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Sudarshan Kundnani : </w:t>
        <w:tab/>
        <w:t xml:space="preserve">201801140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Shantanu Tyagi : </w:t>
        <w:tab/>
        <w:tab/>
        <w:t xml:space="preserve">201801015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Kiran Ravuri : </w:t>
        <w:tab/>
        <w:tab/>
        <w:tab/>
        <w:t xml:space="preserve">201801421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Srinivas Talnikar :</w:t>
        <w:tab/>
        <w:t xml:space="preserve"> </w:t>
        <w:tab/>
        <w:t xml:space="preserve">201801406 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Sudhanshu Mishra : </w:t>
        <w:tab/>
        <w:tab/>
        <w:t xml:space="preserve">201801114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Harshil Joshi : </w:t>
        <w:tab/>
        <w:tab/>
        <w:tab/>
        <w:t xml:space="preserve">201801022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  <w:sz w:val="30"/>
          <w:szCs w:val="30"/>
          <w:u w:val="singl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Urvish Pandya : </w:t>
        <w:tab/>
        <w:tab/>
        <w:t xml:space="preserve">201801170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30"/>
          <w:szCs w:val="3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Question: 1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How would you represent testing of the application with multiple browsers?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Answer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After the necessary modifications have been made in the local code, we can create a fork branch in our activity diagram which will represent parallel testing in multiple browsers. 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Question: 2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Can generation of the patch file and update the Subversion repository be done concurrently?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Answer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No, generation of a patch file and updating the subversion repository cannot be done at the same time because the local copy is committed before generating a patch file, then local changes would get registered, and one won't be further able to generate the patch file.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color w:val="ff0000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Question: 3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Can patching the production code and updating the Subversion repository be done in parallel?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color w:val="666666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rtl w:val="0"/>
        </w:rPr>
        <w:t xml:space="preserve">Answer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Yes, patching the production code and the subversion repository can be done in parallel using fork branch.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i w:val="1"/>
          <w:color w:val="e06666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Activity Flow Diagram: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e06666"/>
          <w:rtl w:val="0"/>
        </w:rPr>
        <w:t xml:space="preserve">Attached as the next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