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21"/>
        <w:widowControl w:val="off"/>
        <w:spacing w:before="120" w:line="384"/>
      </w:pPr>
      <w:r>
        <w:rPr>
          <w:b/>
          <w:sz w:val="24"/>
        </w:rPr>
        <w:t>(이슈분석 : 2026-01-05)</w:t>
      </w:r>
    </w:p>
    <w:p>
      <w:pPr>
        <w:pStyle w:val="21"/>
        <w:widowControl w:val="off"/>
        <w:spacing w:before="120" w:line="384"/>
        <w:jc w:val="center"/>
      </w:pPr>
      <w:r>
        <w:rPr>
          <w:b/>
          <w:sz w:val="36"/>
        </w:rPr>
        <w:t>2025년 중국 정세 회고와 전망</w:t>
      </w:r>
    </w:p>
    <w:p>
      <w:pPr>
        <w:pStyle w:val="21"/>
        <w:widowControl w:val="off"/>
        <w:spacing w:before="120" w:line="384"/>
        <w:jc w:val="right"/>
      </w:pPr>
      <w:r>
        <w:rPr>
          <w:b/>
          <w:sz w:val="24"/>
        </w:rPr>
        <w:t>신봉섭 (전 주중국 공사, 주선양 총영사)</w:t>
      </w:r>
    </w:p>
    <w:p>
      <w:pPr>
        <w:pStyle w:val="21"/>
        <w:widowControl w:val="off"/>
        <w:spacing w:before="120" w:line="384"/>
        <w:jc w:val="both"/>
        <w:rPr>
          <w:rFonts w:ascii="함초롬바탕" w:eastAsia="함초롬바탕"/>
          <w:color w:val="000000"/>
          <w:sz w:val="24"/>
        </w:rPr>
      </w:pPr>
    </w:p>
    <w:p>
      <w:pPr>
        <w:pStyle w:val="21"/>
        <w:widowControl w:val="off"/>
        <w:spacing w:before="120" w:line="384"/>
        <w:jc w:val="both"/>
      </w:pPr>
      <w:r>
        <w:rPr>
          <w:rFonts w:ascii="맑은 고딕"/>
          <w:b/>
          <w:sz w:val="28"/>
        </w:rPr>
        <w:t>Ⅰ</w:t>
      </w:r>
      <w:r>
        <w:rPr>
          <w:b/>
          <w:sz w:val="28"/>
        </w:rPr>
        <w:t>. 개 요</w:t>
      </w:r>
    </w:p>
    <w:p>
      <w:pPr>
        <w:pStyle w:val="21"/>
        <w:widowControl w:val="off"/>
        <w:spacing w:before="120" w:line="384"/>
        <w:ind w:firstLine="240"/>
        <w:jc w:val="both"/>
      </w:pPr>
      <w:r>
        <w:rPr>
          <w:rFonts w:ascii="함초롬바탕" w:eastAsia="함초롬바탕"/>
          <w:sz w:val="24"/>
        </w:rPr>
        <w:t>2025년 중국 정세의 핵심은 급격한 변화를 피하면서 구조적 압박을 관리하고 전략적 시간을 확보하는 데 있었다. 시진핑 지도부는 트럼프 2기 출범 이후 재강화된 관세·기술 견제, 글로벌 경기 둔화, 국내 수요 부진과 디플레이션 압력이라는 복합적 도전에 직면했으나, 이를 단기 돌파나 정책 전환의 대상으로 보지 않았다. 대신 체제 안정과 장기적인 경쟁 관리의 과제로 재규정하며, 불확실성을 통제 가능한 범위로 축소하는 데 정책 역량을 집중했다. 그 결과 2025년 중국의 대응은 근본적 구조개혁보다는 기존 노선의 제도화와 상시화를 통해 리스크를 관리하는 방향으로 전개되었다.</w:t>
      </w:r>
    </w:p>
    <w:p>
      <w:pPr>
        <w:pStyle w:val="21"/>
        <w:widowControl w:val="off"/>
        <w:spacing w:before="120" w:line="384"/>
        <w:ind w:firstLine="240"/>
        <w:jc w:val="both"/>
      </w:pPr>
      <w:r>
        <w:rPr>
          <w:rFonts w:ascii="함초롬바탕" w:eastAsia="함초롬바탕"/>
          <w:sz w:val="24"/>
        </w:rPr>
        <w:t>대외적으로 중국은 미국과의 전면 충돌을 회피하면서도 희토류·공급망·시장 접근 등에서 협상 레버리지를 유지하는 강온 병행 전략을 추구했다. 동시에 BRICS, SCO, APEC 등 다자무대를 경쟁 장기화를 위한 완충지대로 활용하며, 양자 갈등의 파급을 분산시키는 외교적 운용을 강화했다. 군사·안보 측면에서는 대만 주변 군사활동이 강화·정례화되는 가운데, 20기 4중전회 공보와 ‘15·5’(제15차 5개년 계획) 권고안을 통해 ‘발전+안보’ 결합 프레임이 명문화되었다.</w:t>
      </w:r>
    </w:p>
    <w:p>
      <w:pPr>
        <w:pStyle w:val="21"/>
        <w:widowControl w:val="off"/>
        <w:spacing w:before="120" w:line="384"/>
        <w:ind w:firstLine="240"/>
        <w:jc w:val="both"/>
      </w:pPr>
      <w:r>
        <w:rPr>
          <w:rFonts w:ascii="함초롬바탕" w:eastAsia="함초롬바탕"/>
          <w:sz w:val="24"/>
        </w:rPr>
        <w:t>경제 분야에서는 성장 목표 관리에는 성공했지만 내수 부진과 체감 경기 악화가 심화되었고, ‘반내권’(</w:t>
      </w:r>
      <w:r>
        <w:rPr>
          <w:rFonts w:ascii="함초롬바탕" w:eastAsia="함초롬바탕"/>
          <w:sz w:val="24"/>
        </w:rPr>
        <w:t xml:space="preserve">反內卷) </w:t>
      </w:r>
      <w:r>
        <w:rPr>
          <w:rFonts w:ascii="함초롬바탕" w:eastAsia="함초롬바탕"/>
          <w:sz w:val="24"/>
        </w:rPr>
        <w:t>기조에도 불구하고 분배와 사회 안전망 개혁은 후순위에 머물렀다. 요컨대 2025년은 ‘급변보다 관리, 개혁보다 고착’이라는 노선이 중국 정책 전반에 걸쳐 구조적으로 굳어졌음을 보여준 해였다.</w:t>
      </w:r>
    </w:p>
    <w:p>
      <w:pPr>
        <w:pStyle w:val="21"/>
        <w:widowControl w:val="off"/>
        <w:spacing w:before="120" w:line="384"/>
        <w:jc w:val="both"/>
        <w:rPr>
          <w:rFonts w:ascii="함초롬바탕" w:eastAsia="함초롬바탕"/>
          <w:color w:val="000000"/>
          <w:sz w:val="24"/>
        </w:rPr>
      </w:pPr>
    </w:p>
    <w:p>
      <w:pPr>
        <w:pStyle w:val="21"/>
        <w:widowControl w:val="off"/>
        <w:spacing w:before="120" w:line="384"/>
        <w:jc w:val="both"/>
      </w:pPr>
      <w:r>
        <w:rPr>
          <w:rFonts w:ascii="맑은 고딕"/>
          <w:b/>
          <w:sz w:val="28"/>
        </w:rPr>
        <w:t>Ⅱ</w:t>
      </w:r>
      <w:r>
        <w:rPr>
          <w:b/>
          <w:sz w:val="28"/>
        </w:rPr>
        <w:t xml:space="preserve">. 2025년 정세 회고 및 함의 </w:t>
      </w:r>
    </w:p>
    <w:p>
      <w:pPr>
        <w:pStyle w:val="21"/>
        <w:widowControl w:val="off"/>
        <w:spacing w:before="120" w:line="384"/>
        <w:ind w:firstLine="240"/>
        <w:jc w:val="both"/>
      </w:pPr>
      <w:r>
        <w:rPr>
          <w:rFonts w:ascii="함초롬바탕" w:eastAsia="함초롬바탕"/>
          <w:sz w:val="24"/>
        </w:rPr>
        <w:t>2025년 중국의 대내외 정책은 개혁이나 성장 가속보다 리스크 통제와 안정을 우선순위에 두고, 대외 경쟁을 장기화하는 전략적 선택으로 수렴되었다. 중국 지도부는 성장·안정·안보를 결합하는 통치 프레임을 제도화했으며, 경제·군사·사회 전반에서 리스크를 통제 가능한 범위에 묶는 데 정책 자원을 집중했다. 그 결과 중국은 국가주도 혁신과 통제된 개방을 병행하는 관리형 경쟁 체제를 더욱 고착화시켰다고 평가할 수 있다.</w:t>
      </w:r>
    </w:p>
    <w:p>
      <w:pPr>
        <w:pStyle w:val="21"/>
        <w:widowControl w:val="off"/>
        <w:spacing w:before="120" w:line="384"/>
        <w:ind w:firstLine="240"/>
        <w:jc w:val="both"/>
        <w:rPr>
          <w:rFonts w:ascii="함초롬바탕" w:eastAsia="함초롬바탕"/>
          <w:b/>
          <w:color w:val="000000"/>
          <w:sz w:val="24"/>
        </w:rPr>
      </w:pPr>
    </w:p>
    <w:p>
      <w:pPr>
        <w:pStyle w:val="21"/>
        <w:widowControl w:val="off"/>
        <w:spacing w:before="120" w:line="384"/>
        <w:ind w:firstLine="240"/>
        <w:jc w:val="both"/>
      </w:pPr>
      <w:r>
        <w:rPr>
          <w:b/>
          <w:sz w:val="24"/>
        </w:rPr>
        <w:t>(1) 국내 정치·정책: 통치 우선순위의 재배열</w:t>
      </w:r>
    </w:p>
    <w:p>
      <w:pPr>
        <w:pStyle w:val="21"/>
        <w:widowControl w:val="off"/>
        <w:spacing w:before="120" w:line="384"/>
        <w:ind w:firstLine="240"/>
        <w:jc w:val="both"/>
      </w:pPr>
      <w:r>
        <w:rPr>
          <w:rFonts w:ascii="함초롬바탕" w:eastAsia="함초롬바탕"/>
          <w:sz w:val="24"/>
        </w:rPr>
        <w:t>2025년 3월 양회는 대외 환경 악화 속에서도 급격한 부양이나 정책 전환보다는 정책 연속성을 확인하는 무대였다. 정부업무보고는 성장률 목표를 약 5%로 제시하고, 재정·통화 정책의 안정적 운용과 기술 혁신, 제조업 고도화를 핵심 과제로 설정했다. 이는 경기 급락을 방지하되 과거의 총량 부양으로 회귀하지 않겠다는 관리형 거시 운용의 지속 의지를 반영한다.</w:t>
      </w:r>
    </w:p>
    <w:p>
      <w:pPr>
        <w:pStyle w:val="21"/>
        <w:widowControl w:val="off"/>
        <w:spacing w:before="120" w:line="384"/>
        <w:ind w:firstLine="240"/>
        <w:jc w:val="both"/>
      </w:pPr>
      <w:r>
        <w:rPr>
          <w:rFonts w:ascii="함초롬바탕" w:eastAsia="함초롬바탕"/>
          <w:sz w:val="24"/>
        </w:rPr>
        <w:t>정책의 실질적 분기점은 10월 공개된 20기 4중전회 공보와 ‘15·5’ 권고안이었다. 첫째, ‘고품질 발전’은 성장의 수식어가 아니라 혁신·산업정책·안보를 결합하는 통합 개념으로 재 정의되었다. 둘째, 미중 경쟁과 공급망 압박을 일시적 충격이 아닌 상수로 전제하고, 내적 자립과 제도적 대응을 강조했다. 셋째, 사회 안정과 리스크 관리는 성장과 동급의 우선순위로 격상되었다. 이러한 정책은 2025년의 핵심이 ‘개혁의 재 가속’이 아니라 위험을 통제 가능한 범위로 축소해 경쟁을 장기화하는 데 있음을 보여준다.</w:t>
      </w:r>
    </w:p>
    <w:p>
      <w:pPr>
        <w:pStyle w:val="21"/>
        <w:widowControl w:val="off"/>
        <w:spacing w:before="120" w:line="384"/>
        <w:ind w:firstLine="240"/>
        <w:jc w:val="both"/>
      </w:pPr>
      <w:r>
        <w:rPr>
          <w:rFonts w:ascii="함초롬바탕" w:eastAsia="함초롬바탕"/>
          <w:sz w:val="24"/>
        </w:rPr>
        <w:t>반부패 및 군 인사 정비의 지속 역시 같은 맥락에서 해석된다. 이는 체제 불안의 단순 신호라기보다 위기 국면에서 통치 기강을 재확인하고 권력 집중을 유지하려는 위기관리형 통치의 상시화로 볼 수 있다. 다만 이러한 방식은 단기 안정에는 유리하지만, 중장기적으로는 관료적 위험 회피와 정책 유연성 저하를 초래할 수 있다는 점에서 구조적 한계를 내포한다.</w:t>
      </w:r>
    </w:p>
    <w:p>
      <w:pPr>
        <w:pStyle w:val="21"/>
        <w:widowControl w:val="off"/>
        <w:spacing w:before="120" w:line="384"/>
        <w:jc w:val="both"/>
        <w:rPr>
          <w:rFonts w:ascii="함초롬바탕" w:eastAsia="함초롬바탕"/>
          <w:b/>
          <w:color w:val="000000"/>
          <w:sz w:val="24"/>
        </w:rPr>
      </w:pPr>
    </w:p>
    <w:p>
      <w:pPr>
        <w:pStyle w:val="21"/>
        <w:widowControl w:val="off"/>
        <w:spacing w:before="120" w:line="384"/>
        <w:ind w:firstLine="240"/>
        <w:jc w:val="both"/>
      </w:pPr>
      <w:r>
        <w:rPr>
          <w:b/>
          <w:sz w:val="24"/>
        </w:rPr>
        <w:t>(2) 군사·안보: 대만 압박의 정례화</w:t>
      </w:r>
    </w:p>
    <w:p>
      <w:pPr>
        <w:pStyle w:val="21"/>
        <w:widowControl w:val="off"/>
        <w:spacing w:before="120" w:line="384"/>
        <w:ind w:firstLine="240"/>
        <w:jc w:val="both"/>
      </w:pPr>
      <w:r>
        <w:rPr>
          <w:rFonts w:ascii="함초롬바탕" w:eastAsia="함초롬바탕"/>
          <w:sz w:val="24"/>
        </w:rPr>
        <w:t xml:space="preserve">2025년 군사·안보의 핵심 변화는 대만 주변 군사활동의 정례화와 긴장의 상시화였다. </w:t>
      </w:r>
      <w:bookmarkStart w:id="1" w:name="_Hlk218340279"/>
      <w:r>
        <w:rPr>
          <w:rFonts w:ascii="함초롬바탕" w:eastAsia="함초롬바탕"/>
          <w:sz w:val="24"/>
        </w:rPr>
        <w:t>‘海峽雷霆-2025’(Strait Thunder</w:t>
      </w:r>
      <w:r>
        <w:rPr>
          <w:rFonts w:ascii="함초롬바탕"/>
          <w:sz w:val="24"/>
        </w:rPr>
        <w:t>–</w:t>
      </w:r>
      <w:r>
        <w:rPr>
          <w:rFonts w:ascii="함초롬바탕"/>
          <w:sz w:val="24"/>
        </w:rPr>
        <w:t>2025)</w:t>
      </w:r>
      <w:bookmarkEnd w:id="1"/>
      <w:r>
        <w:rPr>
          <w:rFonts w:ascii="함초롬바탕" w:eastAsia="함초롬바탕"/>
          <w:sz w:val="24"/>
        </w:rPr>
        <w:t>로 상징되는 대만해협 주변의 고강도 합동훈련은 실사격 및 항로 봉쇄 가상 시나리오를 강조했지만, 전면 침공 실행 연습이라기보다는 억지 목표 달성을 위한 운용능력을 점검하는 것이 목적이다. 이는 중국의 당면한 대만 전술이 단기 위기 촉발보다는 지속적 압박과 억제의 구조화에 있음을 보여준다. ‘결정적 한 방’보다는 회색지대 압박의 반복·축적으로 대만의 피로를 누적시키고, 역내에 공급망·금융·투자 불확실성을 주입하려는 방식이다.</w:t>
      </w:r>
    </w:p>
    <w:p>
      <w:pPr>
        <w:pStyle w:val="21"/>
        <w:widowControl w:val="off"/>
        <w:spacing w:before="120" w:line="384"/>
        <w:ind w:firstLine="240"/>
        <w:jc w:val="both"/>
      </w:pPr>
      <w:r>
        <w:rPr>
          <w:rFonts w:ascii="함초롬바탕" w:eastAsia="함초롬바탕"/>
          <w:sz w:val="24"/>
        </w:rPr>
        <w:t>2024년 7월 최초 공개된 국가안보백서(‘</w:t>
      </w:r>
      <w:r>
        <w:rPr>
          <w:rFonts w:ascii="함초롬바탕" w:eastAsia="함초롬바탕"/>
          <w:sz w:val="24"/>
        </w:rPr>
        <w:t>新时代的中国国家安全’)</w:t>
      </w:r>
      <w:r>
        <w:rPr>
          <w:rFonts w:ascii="함초롬바탕" w:eastAsia="함초롬바탕"/>
          <w:sz w:val="24"/>
        </w:rPr>
        <w:t>는 발전과 안보의 결합을 전면화하며 총체적 국가안보관을 확립했다. 이 백서는 2025년 정책담론의 기준문서로서, 안보가 군사 영역을 넘어 경제·사회·산업 정책을 포괄하는 상위 프레임으로 자리 잡았다. 이는 15·5 체제에서도 안정·자립·통제가 성장률 숫자보다 중시될 가능성을 시사한다.</w:t>
      </w:r>
    </w:p>
    <w:p>
      <w:pPr>
        <w:pStyle w:val="21"/>
        <w:widowControl w:val="off"/>
        <w:spacing w:before="120" w:line="384"/>
        <w:jc w:val="both"/>
        <w:rPr>
          <w:rFonts w:ascii="함초롬바탕" w:eastAsia="함초롬바탕"/>
          <w:b/>
          <w:color w:val="000000"/>
          <w:sz w:val="24"/>
        </w:rPr>
      </w:pPr>
    </w:p>
    <w:p>
      <w:pPr>
        <w:pStyle w:val="21"/>
        <w:widowControl w:val="off"/>
        <w:spacing w:before="120" w:line="384"/>
        <w:ind w:firstLine="240"/>
        <w:jc w:val="both"/>
      </w:pPr>
      <w:r>
        <w:rPr>
          <w:b/>
          <w:sz w:val="24"/>
        </w:rPr>
        <w:t>(3) 다자외교와 글로벌 사우스</w:t>
      </w:r>
    </w:p>
    <w:p>
      <w:pPr>
        <w:pStyle w:val="21"/>
        <w:widowControl w:val="off"/>
        <w:spacing w:before="120" w:line="384"/>
        <w:ind w:firstLine="240"/>
        <w:jc w:val="both"/>
      </w:pPr>
      <w:r>
        <w:rPr>
          <w:rFonts w:ascii="함초롬바탕" w:eastAsia="함초롬바탕"/>
          <w:sz w:val="24"/>
        </w:rPr>
        <w:t>2025년 중국 외교는 다자무대를 통해 외연을 확장하고 갈등 비용을 분산하는 데 주력했다. BRICS·SCO·APEC 등은 규범 경쟁과 이미지 구축의 장이자, 양자 갈등의 파급을 완충하는 전략적 방파제로 기능했다. 특히 SCO 톈진(</w:t>
      </w:r>
      <w:r>
        <w:rPr>
          <w:rFonts w:ascii="함초롬바탕" w:eastAsia="함초롬바탕"/>
          <w:sz w:val="24"/>
        </w:rPr>
        <w:t xml:space="preserve">天津) </w:t>
      </w:r>
      <w:r>
        <w:rPr>
          <w:rFonts w:ascii="함초롬바탕" w:eastAsia="함초롬바탕"/>
          <w:sz w:val="24"/>
        </w:rPr>
        <w:t>정상회의는 중국이 의장국으로서 주도권을 행사한 상징적 무대였고, 에너지·안보·경제 협력 의제는 다자외교가 협상력 제고 수단으로 활용되고 있음을 보여준다.</w:t>
      </w:r>
    </w:p>
    <w:p>
      <w:pPr>
        <w:pStyle w:val="21"/>
        <w:widowControl w:val="off"/>
        <w:spacing w:before="120" w:line="384"/>
        <w:ind w:firstLine="240"/>
        <w:jc w:val="both"/>
      </w:pPr>
      <w:r>
        <w:rPr>
          <w:rFonts w:ascii="함초롬바탕" w:eastAsia="함초롬바탕"/>
          <w:sz w:val="24"/>
        </w:rPr>
        <w:t>다만 이러한 외연 확장은 중국이 제공할 수 있는 실질적 공공재의 한계와 각국의 대중 경계심이라는 제약에 직면해 있다. 따라서 2026년에는 ‘확장’보다 ‘유지·관리’의 성격이 강해질 것이란 전망이며, 글로벌 사우스 담론이 실제 경제성과와 연결되지 못할 경우 동원 효과가 약화될 가능성도 존재한다.</w:t>
      </w:r>
    </w:p>
    <w:p>
      <w:pPr>
        <w:pStyle w:val="21"/>
        <w:widowControl w:val="off"/>
        <w:spacing w:before="120" w:line="384"/>
        <w:jc w:val="both"/>
        <w:rPr>
          <w:rFonts w:ascii="함초롬바탕" w:eastAsia="함초롬바탕"/>
          <w:b/>
          <w:color w:val="000000"/>
          <w:sz w:val="24"/>
        </w:rPr>
      </w:pPr>
    </w:p>
    <w:p>
      <w:pPr>
        <w:pStyle w:val="21"/>
        <w:widowControl w:val="off"/>
        <w:spacing w:before="120" w:line="384"/>
        <w:ind w:firstLine="240"/>
        <w:jc w:val="both"/>
      </w:pPr>
      <w:r>
        <w:rPr>
          <w:b/>
          <w:sz w:val="24"/>
        </w:rPr>
        <w:t>(4) 경제: 관리된 연착륙과 국가주도 전환</w:t>
      </w:r>
    </w:p>
    <w:p>
      <w:pPr>
        <w:pStyle w:val="21"/>
        <w:widowControl w:val="off"/>
        <w:spacing w:before="120" w:line="384"/>
        <w:ind w:firstLine="240"/>
        <w:jc w:val="both"/>
      </w:pPr>
      <w:r>
        <w:rPr>
          <w:rFonts w:ascii="함초롬바탕" w:eastAsia="함초롬바탕"/>
          <w:sz w:val="24"/>
        </w:rPr>
        <w:t>2025년 중국 경제정책은 성장의 가속에는 실패했지만, 위기 관리에는 일정한 성과를 거두었다. 단기 경기 부양 대신 리스크 통제, 정책 연속성, 국가주도 혁신 경로를 선택함으로써 불확실한 대외 환경 속에서도 환율·금융·무역의 급격한 불안정성을 억제했다. 미중 경쟁의 재 격화, 보호무역 확산, 글로벌 수요 둔화 속에서도 중국 경제는 관리 가능한 대결 구도를 견지하면서 연착륙 구간을 유지했다. 특히 중국 지도부가 출혈경쟁, 저가 덤핑, 중복 투자 문제 등 ‘반내권’(</w:t>
      </w:r>
      <w:r>
        <w:rPr>
          <w:rFonts w:ascii="함초롬바탕" w:eastAsia="함초롬바탕"/>
          <w:sz w:val="24"/>
        </w:rPr>
        <w:t xml:space="preserve">反內卷) </w:t>
      </w:r>
      <w:r>
        <w:rPr>
          <w:rFonts w:ascii="함초롬바탕" w:eastAsia="함초롬바탕"/>
          <w:sz w:val="24"/>
        </w:rPr>
        <w:t>담론을 공식적으로 인정하고 관리대상으로 설정한 점은 정책적 진전으로 평가된다.</w:t>
      </w:r>
    </w:p>
    <w:p>
      <w:pPr>
        <w:pStyle w:val="21"/>
        <w:widowControl w:val="off"/>
        <w:spacing w:before="120" w:line="384"/>
        <w:ind w:firstLine="240"/>
        <w:jc w:val="both"/>
      </w:pPr>
      <w:r>
        <w:rPr>
          <w:rFonts w:ascii="함초롬바탕" w:eastAsia="함초롬바탕"/>
          <w:sz w:val="24"/>
        </w:rPr>
        <w:t>그러나 내수 부진, 디플레이션 압력, 제조업 수익성 악화, 부동산 시장 침체가 누적되었고, 고용 불안과 민간 투자 위축은 체감 경기 하락을 심화시켰다. 특히 ‘내권’(</w:t>
      </w:r>
      <w:r>
        <w:rPr>
          <w:rFonts w:ascii="함초롬바탕" w:eastAsia="함초롬바탕"/>
          <w:sz w:val="24"/>
        </w:rPr>
        <w:t xml:space="preserve">內卷: </w:t>
      </w:r>
      <w:r>
        <w:rPr>
          <w:rFonts w:ascii="함초롬바탕" w:eastAsia="함초롬바탕"/>
          <w:sz w:val="24"/>
        </w:rPr>
        <w:t>부가가치가 늘지 않는데 경쟁·노동·투입은 계속 증가하는 상태)의 구조적 원인이 수요 부족과 분배 구조, 지방정부의 성장 압박에 있다는 점에서 효과는 제한적일 수밖에 없었다.</w:t>
      </w:r>
    </w:p>
    <w:p>
      <w:pPr>
        <w:pStyle w:val="21"/>
        <w:widowControl w:val="off"/>
        <w:spacing w:before="120" w:line="384"/>
        <w:ind w:firstLine="240"/>
        <w:jc w:val="both"/>
      </w:pPr>
      <w:r>
        <w:rPr>
          <w:rFonts w:ascii="함초롬바탕" w:eastAsia="함초롬바탕"/>
          <w:sz w:val="24"/>
        </w:rPr>
        <w:t>종합해 보면, 2025년 경제는 “위기 봉합에는 성공했으나 체질 개선은 유예된 상태”로 요약된다. 중국은 시장화·민간 활력 제고보다 ‘신질 생산력’(</w:t>
      </w:r>
      <w:r>
        <w:rPr>
          <w:rFonts w:ascii="함초롬바탕" w:eastAsia="함초롬바탕"/>
          <w:sz w:val="24"/>
        </w:rPr>
        <w:t>新質生産力)</w:t>
      </w:r>
      <w:r>
        <w:rPr>
          <w:rFonts w:ascii="함초롬바탕" w:eastAsia="함초롬바탕"/>
          <w:sz w:val="24"/>
        </w:rPr>
        <w:t xml:space="preserve">을 축으로 한 국가주도 혁신 모델을 선택했고, 이 모델이 15·5 체제에서도 제도적 기반이 될 것이다. </w:t>
      </w:r>
    </w:p>
    <w:p>
      <w:pPr>
        <w:pStyle w:val="21"/>
        <w:widowControl w:val="off"/>
        <w:spacing w:before="120" w:line="384"/>
        <w:jc w:val="both"/>
        <w:rPr>
          <w:rFonts w:ascii="함초롬바탕" w:eastAsia="함초롬바탕"/>
          <w:b/>
          <w:color w:val="000000"/>
          <w:sz w:val="24"/>
        </w:rPr>
      </w:pPr>
    </w:p>
    <w:p>
      <w:pPr>
        <w:pStyle w:val="21"/>
        <w:widowControl w:val="off"/>
        <w:spacing w:before="120" w:line="384"/>
        <w:ind w:firstLine="240"/>
        <w:jc w:val="both"/>
      </w:pPr>
      <w:r>
        <w:rPr>
          <w:b/>
          <w:sz w:val="24"/>
        </w:rPr>
        <w:t>(5) 사회: 통제된 개방의 제도화</w:t>
      </w:r>
    </w:p>
    <w:p>
      <w:pPr>
        <w:pStyle w:val="21"/>
        <w:widowControl w:val="off"/>
        <w:spacing w:before="120" w:line="384"/>
        <w:ind w:firstLine="240"/>
        <w:jc w:val="both"/>
      </w:pPr>
      <w:r>
        <w:rPr>
          <w:rFonts w:ascii="함초롬바탕" w:eastAsia="함초롬바탕"/>
          <w:sz w:val="24"/>
        </w:rPr>
        <w:t>사회 정책은 통제 강화와 선택적 개방이 동시에 작동했다. 사회공작·이념 관리 강화는 경기 둔화 속 사회 불만을 관리하려는 의도를 반영한다. 동시에 출산·양육 지원, 무비자 확대, 외국인 절차 완화, 인재 유치가 병행되었다. 이는 전면적 개방이 아니라 안보 프레임과 결합된 선별적 개방, 즉 통제된 개방의 제도화로 평가할 수 있다. 단기 안정에는 유리하지만 장기적으로는 사회의 활력과 자율성 및 혁신 생태계의 유연성을 약화시킬 가능성이 있다.</w:t>
      </w:r>
    </w:p>
    <w:p>
      <w:pPr>
        <w:pStyle w:val="21"/>
        <w:widowControl w:val="off"/>
        <w:spacing w:before="120" w:line="384"/>
        <w:jc w:val="both"/>
        <w:rPr>
          <w:rFonts w:ascii="함초롬바탕" w:eastAsia="함초롬바탕"/>
          <w:color w:val="000000"/>
          <w:sz w:val="24"/>
        </w:rPr>
      </w:pPr>
    </w:p>
    <w:p>
      <w:pPr>
        <w:pStyle w:val="21"/>
        <w:widowControl w:val="off"/>
        <w:spacing w:before="120" w:line="384"/>
        <w:jc w:val="both"/>
      </w:pPr>
      <w:r>
        <w:rPr>
          <w:rFonts w:ascii="맑은 고딕"/>
          <w:b/>
          <w:sz w:val="28"/>
        </w:rPr>
        <w:t>Ⅲ</w:t>
      </w:r>
      <w:r>
        <w:rPr>
          <w:b/>
          <w:sz w:val="28"/>
        </w:rPr>
        <w:t xml:space="preserve">. 2026년 중국 정세 전망 </w:t>
      </w:r>
    </w:p>
    <w:p>
      <w:pPr>
        <w:pStyle w:val="21"/>
        <w:widowControl w:val="off"/>
        <w:spacing w:before="120" w:line="384"/>
        <w:ind w:firstLine="240"/>
        <w:jc w:val="both"/>
      </w:pPr>
      <w:r>
        <w:rPr>
          <w:rFonts w:ascii="함초롬바탕" w:eastAsia="함초롬바탕"/>
          <w:sz w:val="24"/>
        </w:rPr>
        <w:t xml:space="preserve">2026년 중국의 대내 정세는 안정 우선 기조가 더욱 공고화되는 가운데 구조적 부담을 관리하는 ‘저강도 긴장’ 국면으로 전개될 가능성이 크다. 지도부는 급격한 개혁이나 권력재편 보다는 통치 기강 유지와 정책 연속성에 무게를 두며, 경제·사회 전반의 리스크를 통제 가능한 범위에 묶는 데 주력할 것이다. 또한 대외적으로는 충돌을 억제하면서 불확실성을 통제하여 장기 경쟁에 대비하려 할 것이다. </w:t>
      </w:r>
    </w:p>
    <w:p>
      <w:pPr>
        <w:pStyle w:val="21"/>
        <w:widowControl w:val="off"/>
        <w:spacing w:before="120" w:line="384"/>
        <w:ind w:firstLine="240"/>
        <w:jc w:val="both"/>
      </w:pPr>
      <w:r>
        <w:rPr>
          <w:rFonts w:ascii="함초롬바탕" w:eastAsia="함초롬바탕"/>
          <w:sz w:val="24"/>
        </w:rPr>
        <w:t>경제·산업 측면에서 2026년은 15·5 계획 시행 원년을 맞아 전략산업 중심 자원 배분과 기술 자립형 생태계 구축을 강화하는데 집중할 것이다. 이는 시장화 후퇴라기보다 국가주도 혁신의 제도적 고착에 가깝다. 특히 중국의 장기 대응은 ‘중국표준 2035’ 프레임을 통해 제도와 규범, 경쟁 질서를 관리하는 방향으로 전개될 가능성이 크다. 내수 부진과 구조적 부담이 지속되는 가운데 중국정부는 성장의 핵심 동력은 여전히 ‘신질 생산력’을 중심으로 한 첨단 제조·기술 혁신에 두고 있다. 이 과정에서 표준은 단순한 기술 규범이 아니라, 과잉 경쟁과 중복 투자를 정리하는 ‘반내권’(</w:t>
      </w:r>
      <w:r>
        <w:rPr>
          <w:rFonts w:ascii="함초롬바탕" w:eastAsia="함초롬바탕"/>
          <w:sz w:val="24"/>
        </w:rPr>
        <w:t>反內卷)</w:t>
      </w:r>
      <w:r>
        <w:rPr>
          <w:rFonts w:ascii="함초롬바탕" w:eastAsia="함초롬바탕"/>
          <w:sz w:val="24"/>
        </w:rPr>
        <w:t xml:space="preserve">의 실무 수단이자, 국내 통합시장 구축과 대외 무역·규칙 갈등을 완충하는 정책 레버리지로 활용될 수 있다. </w:t>
      </w:r>
    </w:p>
    <w:p>
      <w:pPr>
        <w:pStyle w:val="21"/>
        <w:widowControl w:val="off"/>
        <w:spacing w:before="120" w:line="384"/>
        <w:ind w:firstLine="240"/>
        <w:jc w:val="both"/>
      </w:pPr>
      <w:r>
        <w:rPr>
          <w:rFonts w:ascii="함초롬바탕" w:eastAsia="함초롬바탕"/>
          <w:sz w:val="24"/>
        </w:rPr>
        <w:t>그러나 첨단 산업이 성과를 이어가더라도 전통 산업·소비 부문의 침체가 병존하는 이중 구조가 상존하는 상황에서 2026년의 핵심은 성장률 반등보다 구조적 연속성에 갇힐 가능성이 높다. 부동산·지방재정·소비 부진이 지속되면 GDP 5% 성장을 지탱하기 어렵고, 그 경우 중국정부는 제한적 경기부양을 확대할 유인을 갖게 될 것이다.</w:t>
      </w:r>
    </w:p>
    <w:p>
      <w:pPr>
        <w:pStyle w:val="21"/>
        <w:widowControl w:val="off"/>
        <w:spacing w:before="120" w:line="384"/>
        <w:ind w:firstLine="240"/>
        <w:jc w:val="both"/>
      </w:pPr>
      <w:r>
        <w:rPr>
          <w:rFonts w:ascii="함초롬바탕" w:eastAsia="함초롬바탕"/>
          <w:sz w:val="24"/>
        </w:rPr>
        <w:t>대미관계에서 중국은 2026년에도 관계 개선이나 전면 대결의 선택보다는 경쟁을 관리하는 구조에 의존하는 방향으로 대응할 가능성이 크다. 미중 양측은 충돌 비용을 의식하여 위기 관리 채널은 유지하되, 관세·기술·공급망·안보 전반에서 상호 신뢰를 회복하기는 어렵고 장기 경쟁을 지속할 것이다. 즉, 타협은 일시적이고 경쟁은 일상화되는 ‘관리된 적대(managed rivalry)’ 국면이 이어질 것으로 보인다. 미중 간 제한적 합의가 연장될 경우 중국은 15·5 체제 아래 산업·기술 전략을 추진할 시간을 확보하려 하겠지만, 제재 강화나 대만 긴장 고조가 발생하면 외교적 결집과 규범 공세, 회색지대 압박을 병행하며 대응 강도를 높일 것이다.</w:t>
      </w:r>
    </w:p>
    <w:p>
      <w:pPr>
        <w:pStyle w:val="21"/>
        <w:widowControl w:val="off"/>
        <w:spacing w:before="120" w:line="384"/>
        <w:ind w:firstLine="240"/>
        <w:jc w:val="both"/>
      </w:pPr>
      <w:r>
        <w:rPr>
          <w:rFonts w:ascii="함초롬바탕" w:eastAsia="함초롬바탕"/>
          <w:sz w:val="24"/>
        </w:rPr>
        <w:t>러시아·북한·이란과의 관계는 “협력 유지+비용 회피”의 균형으로 관리될 가능성이 크다. 중러 협력은 지속하되 국제 환경에 따라 조정될 수 있고, 일부 제도화가 진전될 수 있으나 완전한 동맹체로 발전할 가능성은 매우 제한적이다. 대북 관계는 전략적 연대를 유지하면서도 제재와 협상 환경을 고려한 관리형 접근이 유력하다. 북중러 협력 역시 상징성과 실용성이 혼재된 느슨한 연대로 관리하면서 일정한 거리를 유지할 것으로 예상된다. 대만 문제에서는 무력 충돌보다 회색지대 압박이 강화되며, 역내에는 전쟁 위험 자체보다 공급망·금융·투자 불확실성이 누적되는 형태로 파급될 가능성이 높다.</w:t>
      </w:r>
    </w:p>
    <w:p>
      <w:pPr>
        <w:pStyle w:val="21"/>
        <w:widowControl w:val="off"/>
        <w:spacing w:before="120" w:line="384"/>
        <w:jc w:val="both"/>
        <w:rPr>
          <w:rFonts w:ascii="함초롬바탕" w:eastAsia="함초롬바탕"/>
          <w:color w:val="000000"/>
          <w:sz w:val="24"/>
        </w:rPr>
      </w:pPr>
    </w:p>
    <w:p>
      <w:pPr>
        <w:pStyle w:val="21"/>
        <w:widowControl w:val="off"/>
        <w:spacing w:before="120" w:line="384"/>
        <w:jc w:val="both"/>
      </w:pPr>
      <w:r>
        <w:rPr>
          <w:rFonts w:ascii="맑은 고딕"/>
          <w:b/>
          <w:sz w:val="28"/>
        </w:rPr>
        <w:t>Ⅳ</w:t>
      </w:r>
      <w:r>
        <w:rPr>
          <w:b/>
          <w:sz w:val="28"/>
        </w:rPr>
        <w:t xml:space="preserve">. 한중 관계와 한반도 함의 </w:t>
      </w:r>
    </w:p>
    <w:p>
      <w:pPr>
        <w:pStyle w:val="21"/>
        <w:widowControl w:val="off"/>
        <w:spacing w:before="120" w:line="384"/>
        <w:ind w:firstLine="240"/>
        <w:jc w:val="both"/>
      </w:pPr>
      <w:r>
        <w:rPr>
          <w:rFonts w:ascii="함초롬바탕" w:eastAsia="함초롬바탕"/>
          <w:sz w:val="24"/>
        </w:rPr>
        <w:t xml:space="preserve">지난해 경주 APEC 정상회의 계기로 성사된 한중 정상회담은 양국관계 안정적 관리의 메시지를 재확인했지만, 완전한 ‘관계 복원’이라기보다 관계 악화 리스크의 관리와 실용 협력 복구의 성격이 강하다. 한중 관계에서 전략적 신뢰 회복이나 공동 비전 제시는 여전히 제한적이라는 평가가 주류다. 중국은 한미동맹 및 한미일 협력 강화 흐름을 의식하면서도 한국을 완충적 관리 대상으로 다루려는 태도를 유지했고, 한국도 중국을 배제하거나 자극하지 않고 고위급 소통 유지와 경제적 실용주의로 우호관계 관리에 호응했다. </w:t>
      </w:r>
    </w:p>
    <w:p>
      <w:pPr>
        <w:pStyle w:val="21"/>
        <w:widowControl w:val="off"/>
        <w:spacing w:before="120" w:line="384"/>
        <w:ind w:firstLine="240"/>
        <w:jc w:val="both"/>
      </w:pPr>
      <w:r>
        <w:rPr>
          <w:rFonts w:ascii="함초롬바탕" w:eastAsia="함초롬바탕"/>
          <w:sz w:val="24"/>
        </w:rPr>
        <w:t>새해 벽두에 첫 외교행사로 이재명 대통령이 국빈 방중(1.4-1.7)을 하면서 한중관계의 신뢰 재정립과 전면적인 관계 복원에 대한 기대가 높다. 특히 이번 정상회담에서 양국의 중요 관심사에 대한 실질적 합의가 이루어질 경우 한중관계는 전략적 관리의 재정렬 단계로 진입할 가능성이 있다. 중국이 한국을 미중 경쟁 속 독립적인 중견 파트너로 재평가하고, 한국도 중국을 배제 대상이 아닌 관리 가능한 전략적 이웃국가로 재(</w:t>
      </w:r>
      <w:r>
        <w:rPr>
          <w:rFonts w:ascii="함초롬바탕" w:eastAsia="함초롬바탕"/>
          <w:sz w:val="24"/>
        </w:rPr>
        <w:t xml:space="preserve">再) </w:t>
      </w:r>
      <w:r>
        <w:rPr>
          <w:rFonts w:ascii="함초롬바탕" w:eastAsia="함초롬바탕"/>
          <w:sz w:val="24"/>
        </w:rPr>
        <w:t xml:space="preserve">위치시키는 계기가 될 수 있다. </w:t>
      </w:r>
    </w:p>
    <w:p>
      <w:pPr>
        <w:pStyle w:val="21"/>
        <w:widowControl w:val="off"/>
        <w:spacing w:before="120" w:line="384"/>
        <w:ind w:firstLine="240"/>
        <w:jc w:val="both"/>
      </w:pPr>
      <w:r>
        <w:rPr>
          <w:rFonts w:ascii="함초롬바탕" w:eastAsia="함초롬바탕"/>
          <w:sz w:val="24"/>
        </w:rPr>
        <w:t>이는 단순히 과거의 포괄적 협력 파트너로 회귀하는 것이 아니라, 갈등 가능 영역과 협력 가능 영역을 명확히 분리 제도화 함으로써 예측 가능성과 안정성을 회복하는 ‘한중관계의 건강한 재(</w:t>
      </w:r>
      <w:r>
        <w:rPr>
          <w:rFonts w:ascii="함초롬바탕" w:eastAsia="함초롬바탕"/>
          <w:sz w:val="24"/>
        </w:rPr>
        <w:t xml:space="preserve">再) </w:t>
      </w:r>
      <w:r>
        <w:rPr>
          <w:rFonts w:ascii="함초롬바탕" w:eastAsia="함초롬바탕"/>
          <w:sz w:val="24"/>
        </w:rPr>
        <w:t xml:space="preserve">정상화’를 의미한다. 한중관계 재 정상화가 성공적으로 안착될 경우, 한국은 미중 진영화 대결의 압박 속에서도 외교적 선택지를 확장하는 중견국 입지를 다지는 계기가 된다는 의의가 있다. </w:t>
      </w:r>
    </w:p>
    <w:p>
      <w:pPr>
        <w:pStyle w:val="21"/>
        <w:widowControl w:val="off"/>
        <w:spacing w:before="120" w:line="384"/>
        <w:ind w:firstLine="240"/>
        <w:jc w:val="both"/>
      </w:pPr>
      <w:r>
        <w:rPr>
          <w:rFonts w:ascii="함초롬바탕" w:eastAsia="함초롬바탕"/>
          <w:sz w:val="24"/>
        </w:rPr>
        <w:t xml:space="preserve">하지만 한반도의 전략 공간은 압축되고 있다. 한국으로서는 안보동맹을 기반으로 하되 경제·기술 영역에서는 전면 단절이 아니라 위험을 관리하는 정교한 조정이 필요하다. 대만 압박과 기술 경쟁이 격화될수록 선택의 압박은 커질 수 있다. 따라서 우리에게는 위험을 분산하고 선택지를 유지하는 전략적 헤징의 고도화가 요구된다. 이를 위해 협력 가능한 영역과 리스크 관리 영역을 분리하고, 대만해협 및 첨단기술 제재 문제는 별도의 위기관리 트랙으로 이동시키는 것도 바람직하다. 또한 15·5 체제 하에서 중국의 국가주도 혁신이 지속될 가능성에 대비하여 한국도 산업정책·통상 규범·표준 경쟁에 대한 선제적 대응이 요구된다. </w:t>
      </w:r>
    </w:p>
    <w:p>
      <w:pPr>
        <w:pStyle w:val="21"/>
        <w:widowControl w:val="off"/>
        <w:spacing w:before="120" w:line="384"/>
        <w:ind w:firstLine="240"/>
        <w:jc w:val="both"/>
        <w:rPr>
          <w:rFonts w:ascii="함초롬바탕" w:eastAsia="함초롬바탕"/>
          <w:color w:val="000000"/>
          <w:sz w:val="24"/>
        </w:rPr>
      </w:pPr>
    </w:p>
    <w:p>
      <w:pPr>
        <w:pStyle w:val="21"/>
        <w:widowControl w:val="off"/>
        <w:spacing w:before="120" w:line="384"/>
        <w:ind w:firstLine="280"/>
        <w:jc w:val="both"/>
      </w:pPr>
      <w:r>
        <w:rPr>
          <w:rFonts w:ascii="맑은 고딕"/>
          <w:b/>
          <w:sz w:val="28"/>
        </w:rPr>
        <w:t>Ⅴ</w:t>
      </w:r>
      <w:r>
        <w:rPr>
          <w:b/>
          <w:sz w:val="28"/>
        </w:rPr>
        <w:t>. 결 론</w:t>
      </w:r>
      <w:r>
        <w:rPr>
          <w:sz w:val="28"/>
        </w:rPr>
        <w:t xml:space="preserve"> </w:t>
      </w:r>
    </w:p>
    <w:p>
      <w:pPr>
        <w:pStyle w:val="21"/>
        <w:widowControl w:val="off"/>
        <w:spacing w:before="120" w:line="384"/>
        <w:ind w:firstLine="240"/>
        <w:jc w:val="both"/>
      </w:pPr>
      <w:r>
        <w:rPr>
          <w:rFonts w:ascii="함초롬바탕" w:eastAsia="함초롬바탕"/>
          <w:sz w:val="24"/>
        </w:rPr>
        <w:t xml:space="preserve">2025년 중국 정세는 돌파가 아니라 관리, 전환이 아니라 고착, 충돌이 아니라 장기 경쟁으로 요약된다. 위기를 돌파하기보다는 관리를 하면서 다음 국면을 준비한 해였다. 대외적으로는 강온 병행을 제도화해 경쟁을 장기화했고, 대내적으로는 고품질 발전·신질 생산력·총체적 국가안보관을 결합해 국가주도 전환을 고착화했다. 이 같은 정책으로 단기적 안정에는 성공했으나 민간 활력 저하와 내수 부진, 부동산·지방재정 제약이라는 구조적 문제는 여전히 유예되었다. </w:t>
      </w:r>
    </w:p>
    <w:p>
      <w:pPr>
        <w:pStyle w:val="21"/>
        <w:widowControl w:val="off"/>
        <w:spacing w:before="120" w:line="384"/>
        <w:ind w:firstLine="240"/>
        <w:jc w:val="both"/>
      </w:pPr>
      <w:r>
        <w:rPr>
          <w:rFonts w:ascii="함초롬바탕" w:eastAsia="함초롬바탕"/>
          <w:sz w:val="24"/>
        </w:rPr>
        <w:t xml:space="preserve">2026년 전망도 역시 관리된 경쟁과 제한적 부양이 병행되는 흐름이 유력하지만, 대만해협 긴장, 기술·공급망 제재, 내수 둔화가 겹칠 경우 전략적 선택지는 급격히 좁아질 수 있다. 한국으로서는 협력의 공간을 최대화하되 구조적 리스크를 분리·선제 관리하고, ‘동맹 재구조화-대중국 헤징-공급망 분산’을 동시에 수행하는 압축 전략이 필요한 상황이다. </w:t>
      </w:r>
    </w:p>
    <w:p>
      <w:pPr>
        <w:pStyle w:val="21"/>
        <w:widowControl w:val="off"/>
        <w:spacing w:before="120" w:line="384"/>
        <w:ind w:firstLine="240"/>
        <w:jc w:val="both"/>
        <w:rPr>
          <w:rFonts w:ascii="함초롬바탕" w:eastAsia="함초롬바탕"/>
          <w:color w:val="000000"/>
          <w:sz w:val="24"/>
        </w:rPr>
      </w:pPr>
    </w:p>
    <w:p>
      <w:pPr>
        <w:pStyle w:val="21"/>
        <w:widowControl w:val="off"/>
        <w:spacing w:before="120" w:line="384"/>
        <w:ind w:firstLine="240"/>
        <w:jc w:val="both"/>
        <w:rPr>
          <w:rFonts w:ascii="함초롬바탕" w:eastAsia="함초롬바탕"/>
          <w:color w:val="000000"/>
          <w:sz w:val="24"/>
        </w:rPr>
      </w:pPr>
    </w:p>
    <w:p>
      <w:pPr>
        <w:pStyle w:val="21"/>
        <w:widowControl w:val="off"/>
        <w:spacing w:before="120" w:line="384"/>
        <w:jc w:val="both"/>
      </w:pPr>
      <w:r>
        <w:rPr>
          <w:rFonts w:ascii="함초롬바탕"/>
          <w:sz w:val="24"/>
        </w:rPr>
        <w:t>※</w:t>
      </w:r>
      <w:r>
        <w:rPr>
          <w:rFonts w:ascii="함초롬바탕" w:eastAsia="함초롬바탕"/>
          <w:sz w:val="24"/>
        </w:rPr>
        <w:t xml:space="preserve"> 필자 신봉섭 : 국제학 박사, 전 주중국 공사 · 주선양 총영사, 전 광운대 초빙교수 · 한림대 객원교수</w:t>
      </w:r>
    </w:p>
    <w:p>
      <w:pPr>
        <w:pStyle w:val="0"/>
        <w:widowControl w:val="off"/>
        <w:spacing w:before="120"/>
        <w:rPr>
          <w:color w:val="000000"/>
          <w:sz w:val="24"/>
        </w:rPr>
      </w:pPr>
    </w:p>
    <w:sectPr>
      <w:footerReference r:id="rId1" w:type="default"/>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22"/>
      <w:widowControl w:val="off"/>
      <w:jc w:val="center"/>
    </w:pPr>
    <w:fldSimple w:instr="PAGE  \* ARABIC">
      <w:r>
        <w:rPr/>
        <w:t>1</w:t>
      </w:r>
    </w:fldSimple>
  </w:p>
  <w:p>
    <w:pPr>
      <w:pStyle w:val="22"/>
      <w:widowControl w:val="off"/>
      <w:rPr/>
    </w:pPr>
  </w:p>
</w:ft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space"/>
      <w:lvlText w:val=""/>
      <w:lvlJc w:val="left"/>
    </w:lvl>
    <w:lvl w:ilvl="8">
      <w:start w:val="1"/>
      <w:numFmt w:val="decimal"/>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pStyle w:val="9"/>
    </w:lvl>
    <w:lvl w:ilvl="8">
      <w:start w:val="1"/>
      <w:numFmt w:val="decimal"/>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Normal"/>
    <w:uiPriority w:val="21"/>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160" w:line="240" w:lineRule="auto"/>
      <w:ind w:left="0" w:right="0" w:firstLine="0"/>
      <w:jc w:val="left"/>
      <w:textAlignment w:val="baseline"/>
    </w:pPr>
    <w:rPr>
      <w:rFonts w:ascii="맑은 고딕" w:eastAsia="맑은 고딕"/>
      <w:color w:val="000000"/>
      <w:kern w:val="1"/>
      <w:sz w:val="22"/>
    </w:rPr>
  </w:style>
  <w:style w:type="paragraph" w:styleId="22">
    <w:name w:val="footer"/>
    <w:uiPriority w:val="22"/>
    <w:pPr>
      <w:widowControl w:val="off"/>
      <w:pBdr>
        <w:top w:val="none" w:color="000000" w:sz="2" w:space="1"/>
        <w:left w:val="none" w:color="000000" w:sz="2" w:space="4"/>
        <w:bottom w:val="none" w:color="000000" w:sz="2" w:space="1"/>
        <w:right w:val="none" w:color="000000" w:sz="2" w:space="4"/>
      </w:pBdr>
      <w:tabs>
        <w:tab w:val="center" w:leader="none" w:pos="4513"/>
        <w:tab w:val="right" w:leader="none" w:pos="9026"/>
      </w:tabs>
      <w:wordWrap w:val="0"/>
      <w:autoSpaceDE w:val="off"/>
      <w:autoSpaceDN w:val="off"/>
      <w:snapToGrid w:val="off"/>
      <w:spacing w:before="0" w:after="160" w:line="240" w:lineRule="auto"/>
      <w:ind w:left="0" w:right="0" w:firstLine="0"/>
      <w:jc w:val="left"/>
      <w:textAlignment w:val="baseline"/>
    </w:pPr>
    <w:rPr>
      <w:rFonts w:ascii="맑은 고딕" w:eastAsia="맑은 고딕"/>
      <w:color w:val="000000"/>
      <w:kern w:val="1"/>
      <w:sz w:val="22"/>
    </w:rPr>
  </w:style>
</w:styles>
</file>

<file path=word/_rels/document.xml.rels><?xml version="1.0" encoding="UTF-8" standalone="yes" ?><Relationships xmlns="http://schemas.openxmlformats.org/package/2006/relationships"><Relationship Id="rId1" Type="http://schemas.openxmlformats.org/officeDocument/2006/relationships/footer" Target="footer1.xm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이슈분석 </dc:title>
  <dc:creator>user</dc:creator>
  <cp:lastModifiedBy>boss</cp:lastModifiedBy>
  <dcterms:created xsi:type="dcterms:W3CDTF">2026-01-03T06:17:34.895</dcterms:created>
  <dcterms:modified xsi:type="dcterms:W3CDTF">2026-01-03T06:39:10.405</dcterms:modified>
  <cp:version>0501.0100.01</cp:version>
</cp:coreProperties>
</file>