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10C1" w14:textId="73C94E54" w:rsidR="000249AD" w:rsidRPr="00163BB2" w:rsidRDefault="000249AD" w:rsidP="000249AD">
      <w:pPr>
        <w:jc w:val="center"/>
        <w:rPr>
          <w:b/>
          <w:bCs/>
        </w:rPr>
      </w:pPr>
      <w:r w:rsidRPr="00163BB2">
        <w:rPr>
          <w:b/>
          <w:bCs/>
        </w:rPr>
        <w:t xml:space="preserve">Trabajo Práctico </w:t>
      </w:r>
      <w:r w:rsidR="006E211F">
        <w:rPr>
          <w:b/>
          <w:bCs/>
        </w:rPr>
        <w:t>2</w:t>
      </w:r>
      <w:r w:rsidRPr="00163BB2">
        <w:rPr>
          <w:b/>
          <w:bCs/>
        </w:rPr>
        <w:t xml:space="preserve"> </w:t>
      </w:r>
      <w:r>
        <w:rPr>
          <w:b/>
          <w:bCs/>
        </w:rPr>
        <w:t>–</w:t>
      </w:r>
      <w:r w:rsidRPr="00163BB2">
        <w:rPr>
          <w:b/>
          <w:bCs/>
        </w:rPr>
        <w:t xml:space="preserve"> </w:t>
      </w:r>
      <w:r>
        <w:rPr>
          <w:b/>
          <w:bCs/>
        </w:rPr>
        <w:t>Taller de programación</w:t>
      </w:r>
    </w:p>
    <w:p w14:paraId="4F4A63D3" w14:textId="77777777" w:rsidR="000249AD" w:rsidRDefault="000249AD" w:rsidP="000249AD">
      <w:pPr>
        <w:jc w:val="center"/>
      </w:pPr>
      <w:r w:rsidRPr="00EC5430">
        <w:rPr>
          <w:b/>
          <w:bCs/>
        </w:rPr>
        <w:t>Maestría:</w:t>
      </w:r>
      <w:r>
        <w:t xml:space="preserve"> Economía aplicada</w:t>
      </w:r>
    </w:p>
    <w:p w14:paraId="73E479D4" w14:textId="77777777" w:rsidR="000249AD" w:rsidRDefault="000249AD" w:rsidP="000249AD">
      <w:pPr>
        <w:jc w:val="center"/>
      </w:pPr>
      <w:r w:rsidRPr="00EC5430">
        <w:rPr>
          <w:b/>
          <w:bCs/>
        </w:rPr>
        <w:t>Profesor:</w:t>
      </w:r>
      <w:r>
        <w:t xml:space="preserve"> Noelia Romero</w:t>
      </w:r>
    </w:p>
    <w:p w14:paraId="1F22B49A" w14:textId="77777777" w:rsidR="000249AD" w:rsidRDefault="000249AD" w:rsidP="000249AD">
      <w:pPr>
        <w:jc w:val="center"/>
      </w:pPr>
      <w:r w:rsidRPr="00EC5430">
        <w:rPr>
          <w:b/>
          <w:bCs/>
        </w:rPr>
        <w:t>Alumnos:</w:t>
      </w:r>
      <w:r>
        <w:t xml:space="preserve"> </w:t>
      </w:r>
      <w:proofErr w:type="spellStart"/>
      <w:r>
        <w:t>Shanthal</w:t>
      </w:r>
      <w:proofErr w:type="spellEnd"/>
      <w:r>
        <w:t xml:space="preserve"> </w:t>
      </w:r>
      <w:proofErr w:type="spellStart"/>
      <w:r>
        <w:t>Chavarria</w:t>
      </w:r>
      <w:proofErr w:type="spellEnd"/>
      <w:r>
        <w:t>, Edgar Julián Pineda Toro, Gustavo Horacio Romero</w:t>
      </w:r>
    </w:p>
    <w:p w14:paraId="4F371082" w14:textId="117731B8" w:rsidR="00D114CC" w:rsidRDefault="000249AD" w:rsidP="000249AD">
      <w:r w:rsidRPr="00F02F9D">
        <w:rPr>
          <w:b/>
          <w:bCs/>
        </w:rPr>
        <w:t>Enlace del repositorio:</w:t>
      </w:r>
      <w:r>
        <w:rPr>
          <w:b/>
          <w:bCs/>
        </w:rPr>
        <w:t xml:space="preserve"> </w:t>
      </w:r>
      <w:hyperlink r:id="rId7" w:history="1">
        <w:r w:rsidRPr="00521BC9">
          <w:rPr>
            <w:rStyle w:val="Hipervnculo"/>
            <w:b/>
            <w:bCs/>
          </w:rPr>
          <w:t>https://github.com/shanthalchs/BigDataUBA-Gru</w:t>
        </w:r>
        <w:r w:rsidRPr="00521BC9">
          <w:rPr>
            <w:rStyle w:val="Hipervnculo"/>
            <w:b/>
            <w:bCs/>
          </w:rPr>
          <w:t>p</w:t>
        </w:r>
        <w:r w:rsidRPr="00521BC9">
          <w:rPr>
            <w:rStyle w:val="Hipervnculo"/>
            <w:b/>
            <w:bCs/>
          </w:rPr>
          <w:t>o6</w:t>
        </w:r>
      </w:hyperlink>
    </w:p>
    <w:p w14:paraId="07A750DC" w14:textId="77777777" w:rsidR="000249AD" w:rsidRDefault="000249AD" w:rsidP="000249AD">
      <w:pPr>
        <w:pStyle w:val="Prrafodelista"/>
        <w:numPr>
          <w:ilvl w:val="0"/>
          <w:numId w:val="1"/>
        </w:numPr>
        <w:spacing w:line="259" w:lineRule="auto"/>
        <w:rPr>
          <w:b/>
          <w:bCs/>
        </w:rPr>
      </w:pPr>
      <w:r>
        <w:rPr>
          <w:b/>
          <w:bCs/>
        </w:rPr>
        <w:t>Introducción</w:t>
      </w:r>
    </w:p>
    <w:p w14:paraId="73FEC0BA" w14:textId="70C2A205" w:rsidR="006E211F" w:rsidRPr="006E211F" w:rsidRDefault="006E211F" w:rsidP="006E211F">
      <w:pPr>
        <w:jc w:val="both"/>
        <w:rPr>
          <w:sz w:val="22"/>
          <w:szCs w:val="22"/>
        </w:rPr>
      </w:pPr>
      <w:r w:rsidRPr="006E211F">
        <w:rPr>
          <w:sz w:val="22"/>
          <w:szCs w:val="22"/>
        </w:rPr>
        <w:t>El presente trabajo constituye la segunda etapa del análisis de la Encuesta Permanente de Hogares (EPH) para el Gran Buenos Aires, correspondiente a los primeros trimestres de 2005 y 2025. En esta instancia buscamos profundizar el estudio de las condiciones socioeconómicas de los hogares, con especial atención a las diferencias entre grupos poblacionales en términos de educación, ingresos, pobreza y características laborales.</w:t>
      </w:r>
    </w:p>
    <w:p w14:paraId="226E9719" w14:textId="0F349EF4" w:rsidR="000249AD" w:rsidRDefault="006E211F" w:rsidP="006E211F">
      <w:pPr>
        <w:jc w:val="both"/>
        <w:rPr>
          <w:sz w:val="22"/>
          <w:szCs w:val="22"/>
        </w:rPr>
      </w:pPr>
      <w:r w:rsidRPr="006E211F">
        <w:rPr>
          <w:sz w:val="22"/>
          <w:szCs w:val="22"/>
        </w:rPr>
        <w:t>El trabajo se desarrolla en dos partes complementarias. En la primera, elaboramos variables derivadas que permiten una descripción más precisa de los hogares y las personas —entre ellas, los años de educación, los ingresos ajustados por inflación, las horas totales trabajadas y la edad al cuadrado— y presentamos un análisis descriptivo comparativo entre ambos años. En la segunda parte, aplicamos métodos multivariados, como el Análisis de Componentes Principales (ACP) y la clasificación no supervisada (k-medias), con el propósito de identificar perfiles socioeconómicos y caracterizar la estructura interna de la población bajo estudio.</w:t>
      </w:r>
    </w:p>
    <w:p w14:paraId="49FF2171" w14:textId="40F1925C" w:rsidR="006E211F" w:rsidRDefault="006E211F" w:rsidP="006E211F">
      <w:pPr>
        <w:pStyle w:val="Prrafodelista"/>
        <w:numPr>
          <w:ilvl w:val="0"/>
          <w:numId w:val="1"/>
        </w:numPr>
        <w:spacing w:line="259" w:lineRule="auto"/>
        <w:jc w:val="both"/>
        <w:rPr>
          <w:b/>
          <w:bCs/>
        </w:rPr>
      </w:pPr>
      <w:r>
        <w:rPr>
          <w:b/>
          <w:bCs/>
        </w:rPr>
        <w:t>Metodología</w:t>
      </w:r>
    </w:p>
    <w:p w14:paraId="0B1F3171" w14:textId="77777777" w:rsidR="006E211F" w:rsidRPr="006E211F" w:rsidRDefault="006E211F" w:rsidP="006E211F">
      <w:pPr>
        <w:spacing w:line="259" w:lineRule="auto"/>
        <w:jc w:val="both"/>
        <w:rPr>
          <w:sz w:val="22"/>
          <w:szCs w:val="22"/>
        </w:rPr>
      </w:pPr>
      <w:r w:rsidRPr="006E211F">
        <w:rPr>
          <w:sz w:val="22"/>
          <w:szCs w:val="22"/>
        </w:rPr>
        <w:t>El trabajo se realizó a partir de la base de datos depurada en el TP1, garantizando consistencia entre las variables y la comparabilidad entre años. Inicialmente, se construyeron nuevas variables derivadas:</w:t>
      </w:r>
    </w:p>
    <w:p w14:paraId="46B87239" w14:textId="77777777" w:rsidR="006E211F" w:rsidRPr="006E211F" w:rsidRDefault="006E211F" w:rsidP="006E211F">
      <w:pPr>
        <w:numPr>
          <w:ilvl w:val="0"/>
          <w:numId w:val="3"/>
        </w:numPr>
        <w:spacing w:line="259" w:lineRule="auto"/>
        <w:jc w:val="both"/>
        <w:rPr>
          <w:sz w:val="22"/>
          <w:szCs w:val="22"/>
        </w:rPr>
      </w:pPr>
      <w:r w:rsidRPr="006E211F">
        <w:rPr>
          <w:b/>
          <w:bCs/>
          <w:sz w:val="22"/>
          <w:szCs w:val="22"/>
        </w:rPr>
        <w:t>edad2</w:t>
      </w:r>
      <w:r w:rsidRPr="006E211F">
        <w:rPr>
          <w:sz w:val="22"/>
          <w:szCs w:val="22"/>
        </w:rPr>
        <w:t>, definida como el cuadrado de la edad;</w:t>
      </w:r>
    </w:p>
    <w:p w14:paraId="2D02DB10" w14:textId="77777777" w:rsidR="006E211F" w:rsidRPr="006E211F" w:rsidRDefault="006E211F" w:rsidP="006E211F">
      <w:pPr>
        <w:numPr>
          <w:ilvl w:val="0"/>
          <w:numId w:val="3"/>
        </w:numPr>
        <w:spacing w:line="259" w:lineRule="auto"/>
        <w:jc w:val="both"/>
        <w:rPr>
          <w:sz w:val="22"/>
          <w:szCs w:val="22"/>
        </w:rPr>
      </w:pPr>
      <w:proofErr w:type="spellStart"/>
      <w:r w:rsidRPr="006E211F">
        <w:rPr>
          <w:b/>
          <w:bCs/>
          <w:sz w:val="22"/>
          <w:szCs w:val="22"/>
        </w:rPr>
        <w:t>educ</w:t>
      </w:r>
      <w:proofErr w:type="spellEnd"/>
      <w:r w:rsidRPr="006E211F">
        <w:rPr>
          <w:sz w:val="22"/>
          <w:szCs w:val="22"/>
        </w:rPr>
        <w:t>, que representa los años de educación formal completados según el nivel educativo, finalización y último año aprobado;</w:t>
      </w:r>
    </w:p>
    <w:p w14:paraId="619AACEF" w14:textId="77777777" w:rsidR="006E211F" w:rsidRPr="006E211F" w:rsidRDefault="006E211F" w:rsidP="006E211F">
      <w:pPr>
        <w:numPr>
          <w:ilvl w:val="0"/>
          <w:numId w:val="3"/>
        </w:numPr>
        <w:spacing w:line="259" w:lineRule="auto"/>
        <w:jc w:val="both"/>
        <w:rPr>
          <w:sz w:val="22"/>
          <w:szCs w:val="22"/>
        </w:rPr>
      </w:pPr>
      <w:proofErr w:type="spellStart"/>
      <w:r w:rsidRPr="006E211F">
        <w:rPr>
          <w:b/>
          <w:bCs/>
          <w:sz w:val="22"/>
          <w:szCs w:val="22"/>
        </w:rPr>
        <w:t>ingreso_total_familiar</w:t>
      </w:r>
      <w:proofErr w:type="spellEnd"/>
      <w:r w:rsidRPr="006E211F">
        <w:rPr>
          <w:sz w:val="22"/>
          <w:szCs w:val="22"/>
        </w:rPr>
        <w:t xml:space="preserve">, ajustado a precios de 2025 en función de la </w:t>
      </w:r>
      <w:r w:rsidRPr="006E211F">
        <w:rPr>
          <w:b/>
          <w:bCs/>
          <w:sz w:val="22"/>
          <w:szCs w:val="22"/>
        </w:rPr>
        <w:t>Canasta Básica Total (CBT)</w:t>
      </w:r>
      <w:r w:rsidRPr="006E211F">
        <w:rPr>
          <w:sz w:val="22"/>
          <w:szCs w:val="22"/>
        </w:rPr>
        <w:t>;</w:t>
      </w:r>
    </w:p>
    <w:p w14:paraId="05E9288A" w14:textId="77777777" w:rsidR="006E211F" w:rsidRPr="006E211F" w:rsidRDefault="006E211F" w:rsidP="006E211F">
      <w:pPr>
        <w:numPr>
          <w:ilvl w:val="0"/>
          <w:numId w:val="3"/>
        </w:numPr>
        <w:spacing w:line="259" w:lineRule="auto"/>
        <w:jc w:val="both"/>
        <w:rPr>
          <w:sz w:val="22"/>
          <w:szCs w:val="22"/>
        </w:rPr>
      </w:pPr>
      <w:proofErr w:type="spellStart"/>
      <w:r w:rsidRPr="006E211F">
        <w:rPr>
          <w:b/>
          <w:bCs/>
          <w:sz w:val="22"/>
          <w:szCs w:val="22"/>
        </w:rPr>
        <w:t>horastrab</w:t>
      </w:r>
      <w:proofErr w:type="spellEnd"/>
      <w:r w:rsidRPr="006E211F">
        <w:rPr>
          <w:sz w:val="22"/>
          <w:szCs w:val="22"/>
        </w:rPr>
        <w:t>, correspondiente al total de horas trabajadas en ocupaciones principales y secundarias;</w:t>
      </w:r>
    </w:p>
    <w:p w14:paraId="5CC4F632" w14:textId="77777777" w:rsidR="006E211F" w:rsidRPr="006E211F" w:rsidRDefault="006E211F" w:rsidP="006E211F">
      <w:pPr>
        <w:numPr>
          <w:ilvl w:val="0"/>
          <w:numId w:val="3"/>
        </w:numPr>
        <w:spacing w:line="259" w:lineRule="auto"/>
        <w:jc w:val="both"/>
        <w:rPr>
          <w:sz w:val="22"/>
          <w:szCs w:val="22"/>
        </w:rPr>
      </w:pPr>
      <w:r w:rsidRPr="006E211F">
        <w:rPr>
          <w:sz w:val="22"/>
          <w:szCs w:val="22"/>
        </w:rPr>
        <w:t xml:space="preserve">y </w:t>
      </w:r>
      <w:r w:rsidRPr="006E211F">
        <w:rPr>
          <w:b/>
          <w:bCs/>
          <w:sz w:val="22"/>
          <w:szCs w:val="22"/>
        </w:rPr>
        <w:t>pobre</w:t>
      </w:r>
      <w:r w:rsidRPr="006E211F">
        <w:rPr>
          <w:sz w:val="22"/>
          <w:szCs w:val="22"/>
        </w:rPr>
        <w:t>, que identifica hogares con ingresos insuficientes respecto a su ingreso necesario.</w:t>
      </w:r>
    </w:p>
    <w:p w14:paraId="0B25C19F" w14:textId="77777777" w:rsidR="006E211F" w:rsidRDefault="006E211F" w:rsidP="006E211F">
      <w:pPr>
        <w:spacing w:line="259" w:lineRule="auto"/>
        <w:jc w:val="both"/>
        <w:rPr>
          <w:sz w:val="22"/>
          <w:szCs w:val="22"/>
        </w:rPr>
      </w:pPr>
      <w:r w:rsidRPr="006E211F">
        <w:rPr>
          <w:sz w:val="22"/>
          <w:szCs w:val="22"/>
        </w:rPr>
        <w:t xml:space="preserve">En la segunda parte, trabajamos con las variables normalizadas y aplicamos el Análisis de Componentes Principales (ACP) para reducir la dimensionalidad del conjunto de datos, identificando los factores que explican mayor varianza. Posteriormente, implementamos un </w:t>
      </w:r>
      <w:r w:rsidRPr="006E211F">
        <w:rPr>
          <w:sz w:val="22"/>
          <w:szCs w:val="22"/>
        </w:rPr>
        <w:lastRenderedPageBreak/>
        <w:t>algoritmo de agrupamiento k-medias para clasificar a los individuos según sus características socioeconómicas. Los resultados se presentan mediante gráficos y tablas descriptivas que permiten interpretar la estructura social y económica de la región en ambos períodos.</w:t>
      </w:r>
    </w:p>
    <w:p w14:paraId="1F83805A" w14:textId="5E3E1B3A" w:rsidR="00F8074B" w:rsidRDefault="00F8074B" w:rsidP="00F8074B">
      <w:pPr>
        <w:pStyle w:val="Prrafodelista"/>
        <w:numPr>
          <w:ilvl w:val="0"/>
          <w:numId w:val="1"/>
        </w:numPr>
        <w:spacing w:line="259" w:lineRule="auto"/>
        <w:rPr>
          <w:b/>
          <w:bCs/>
        </w:rPr>
      </w:pPr>
      <w:r w:rsidRPr="00A85BDE">
        <w:rPr>
          <w:b/>
          <w:bCs/>
        </w:rPr>
        <w:t>Resultados</w:t>
      </w:r>
    </w:p>
    <w:p w14:paraId="48A4FC1A" w14:textId="77777777" w:rsidR="003640AD" w:rsidRPr="00ED1798" w:rsidRDefault="00F8074B" w:rsidP="003640AD">
      <w:pPr>
        <w:spacing w:line="259" w:lineRule="auto"/>
        <w:jc w:val="both"/>
        <w:rPr>
          <w:sz w:val="22"/>
          <w:szCs w:val="22"/>
        </w:rPr>
      </w:pPr>
      <w:r w:rsidRPr="00ED1798">
        <w:rPr>
          <w:sz w:val="22"/>
          <w:szCs w:val="22"/>
        </w:rPr>
        <w:t xml:space="preserve">El análisis descriptivo permite caracterizar la estructura sociodemográfica y económica de la población del Gran Buenos Aires a partir de las variables construidas en la primera parte del trabajo. </w:t>
      </w:r>
    </w:p>
    <w:p w14:paraId="68DC6714" w14:textId="77777777" w:rsidR="00ED1798" w:rsidRDefault="003640AD" w:rsidP="003640AD">
      <w:pPr>
        <w:spacing w:line="259" w:lineRule="auto"/>
        <w:jc w:val="both"/>
        <w:rPr>
          <w:sz w:val="22"/>
          <w:szCs w:val="22"/>
        </w:rPr>
      </w:pPr>
      <w:r w:rsidRPr="00ED1798">
        <w:rPr>
          <w:sz w:val="22"/>
          <w:szCs w:val="22"/>
        </w:rPr>
        <w:t>El análisis descriptivo de la edad muestra una estructura poblacional activa en el Gran Buenos Aires, concentrada principalmente entre los 25 y los 55 años. Al comparar la distribución entre pobres y no pobres, se observa que los primeros tienden a ser más jóvenes, lo que sugiere una mayor incidencia de pobreza en hogares encabezados por personas con menor experiencia laboral o menores niveles educativos. En cambio, los no pobres se concentran en edades medias y avanzadas, asociadas a una mayor estabilidad económica y laboral.</w:t>
      </w:r>
    </w:p>
    <w:p w14:paraId="13A22B8D" w14:textId="7CE7EF83" w:rsidR="00F8074B" w:rsidRPr="00ED1798" w:rsidRDefault="00F8074B" w:rsidP="00ED1798">
      <w:pPr>
        <w:spacing w:line="259" w:lineRule="auto"/>
        <w:jc w:val="center"/>
        <w:rPr>
          <w:b/>
          <w:bCs/>
          <w:sz w:val="22"/>
          <w:szCs w:val="22"/>
        </w:rPr>
      </w:pPr>
      <w:r w:rsidRPr="00ED1798">
        <w:rPr>
          <w:b/>
          <w:bCs/>
          <w:sz w:val="22"/>
          <w:szCs w:val="22"/>
        </w:rPr>
        <w:t xml:space="preserve">Gráfico 1. </w:t>
      </w:r>
      <w:r w:rsidR="003640AD" w:rsidRPr="00ED1798">
        <w:rPr>
          <w:b/>
          <w:bCs/>
          <w:sz w:val="22"/>
          <w:szCs w:val="22"/>
        </w:rPr>
        <w:t xml:space="preserve">Distribución de la edad </w:t>
      </w:r>
      <w:r w:rsidRPr="00ED1798">
        <w:rPr>
          <w:b/>
          <w:bCs/>
          <w:sz w:val="22"/>
          <w:szCs w:val="22"/>
        </w:rPr>
        <w:t>– EPH 2005 y 2025</w:t>
      </w:r>
    </w:p>
    <w:p w14:paraId="75357983" w14:textId="0FF31FAC" w:rsidR="00F8074B" w:rsidRPr="006E211F" w:rsidRDefault="00F8074B" w:rsidP="006E211F">
      <w:pPr>
        <w:spacing w:line="259" w:lineRule="auto"/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3E77E1FF" wp14:editId="140801CA">
            <wp:extent cx="5826125" cy="2838450"/>
            <wp:effectExtent l="0" t="0" r="3175" b="0"/>
            <wp:docPr id="1438072778" name="Imagen 1" descr="No se ha proporcionado ninguna descripción para esta imag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se ha proporcionado ninguna descripción para esta imag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646" cy="283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0EC0" w14:textId="77777777" w:rsidR="00F8074B" w:rsidRPr="003105FA" w:rsidRDefault="00F8074B" w:rsidP="00F8074B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59110C7F" w14:textId="7620FD5C" w:rsidR="006E211F" w:rsidRDefault="00E16EB1" w:rsidP="000F50E2">
      <w:pPr>
        <w:spacing w:line="259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cuanto a la variable, </w:t>
      </w:r>
      <w:proofErr w:type="spellStart"/>
      <w:r w:rsidR="000F50E2" w:rsidRPr="000F50E2">
        <w:rPr>
          <w:i/>
          <w:iCs/>
          <w:sz w:val="22"/>
          <w:szCs w:val="22"/>
        </w:rPr>
        <w:t>educ</w:t>
      </w:r>
      <w:proofErr w:type="spellEnd"/>
      <w:r w:rsidR="000F50E2" w:rsidRPr="000F50E2">
        <w:rPr>
          <w:sz w:val="22"/>
          <w:szCs w:val="22"/>
        </w:rPr>
        <w:t xml:space="preserve"> </w:t>
      </w:r>
      <w:r w:rsidR="00ED1798">
        <w:rPr>
          <w:sz w:val="22"/>
          <w:szCs w:val="22"/>
        </w:rPr>
        <w:t xml:space="preserve">(tabla con </w:t>
      </w:r>
      <w:r w:rsidR="003521EA">
        <w:rPr>
          <w:sz w:val="22"/>
          <w:szCs w:val="22"/>
        </w:rPr>
        <w:t xml:space="preserve">estadísticas detalladas se pueden observar en el código anexado) </w:t>
      </w:r>
      <w:r>
        <w:rPr>
          <w:sz w:val="22"/>
          <w:szCs w:val="22"/>
        </w:rPr>
        <w:t xml:space="preserve">se observa que </w:t>
      </w:r>
      <w:r w:rsidR="000F50E2" w:rsidRPr="000F50E2">
        <w:rPr>
          <w:sz w:val="22"/>
          <w:szCs w:val="22"/>
        </w:rPr>
        <w:t xml:space="preserve">presenta un promedio de </w:t>
      </w:r>
      <w:r w:rsidR="000F50E2" w:rsidRPr="000F50E2">
        <w:rPr>
          <w:b/>
          <w:bCs/>
          <w:sz w:val="22"/>
          <w:szCs w:val="22"/>
        </w:rPr>
        <w:t>10,5 años de escolaridad</w:t>
      </w:r>
      <w:r w:rsidR="000F50E2" w:rsidRPr="000F50E2">
        <w:rPr>
          <w:sz w:val="22"/>
          <w:szCs w:val="22"/>
        </w:rPr>
        <w:t xml:space="preserve">, con una mediana de </w:t>
      </w:r>
      <w:r w:rsidR="000F50E2" w:rsidRPr="000F50E2">
        <w:rPr>
          <w:b/>
          <w:bCs/>
          <w:sz w:val="22"/>
          <w:szCs w:val="22"/>
        </w:rPr>
        <w:t>11 años</w:t>
      </w:r>
      <w:r w:rsidR="000F50E2" w:rsidRPr="000F50E2">
        <w:rPr>
          <w:sz w:val="22"/>
          <w:szCs w:val="22"/>
        </w:rPr>
        <w:t xml:space="preserve">, lo que corresponde aproximadamente al nivel secundario completo. El rango de valores va de </w:t>
      </w:r>
      <w:r w:rsidR="000F50E2" w:rsidRPr="000F50E2">
        <w:rPr>
          <w:b/>
          <w:bCs/>
          <w:sz w:val="22"/>
          <w:szCs w:val="22"/>
        </w:rPr>
        <w:t>0 a 23 años</w:t>
      </w:r>
      <w:r w:rsidR="000F50E2" w:rsidRPr="000F50E2">
        <w:rPr>
          <w:sz w:val="22"/>
          <w:szCs w:val="22"/>
        </w:rPr>
        <w:t>, reflejando tanto a quienes no completaron la educación básica como a aquellos con estudios universitarios y de posgrado. Esta dispersión evidencia la heterogeneidad educativa en el Gran Buenos Aires. En promedio, los hogares pobres registran menos años de educación, lo que confirma la estrecha relación entre nivel educativo y condiciones económicas.</w:t>
      </w:r>
    </w:p>
    <w:p w14:paraId="48D4F8EA" w14:textId="77777777" w:rsidR="003640AD" w:rsidRDefault="003640AD" w:rsidP="000F50E2">
      <w:pPr>
        <w:spacing w:line="259" w:lineRule="auto"/>
        <w:jc w:val="both"/>
        <w:rPr>
          <w:sz w:val="22"/>
          <w:szCs w:val="22"/>
        </w:rPr>
      </w:pPr>
    </w:p>
    <w:p w14:paraId="0B4C88BF" w14:textId="77777777" w:rsidR="003640AD" w:rsidRPr="000F50E2" w:rsidRDefault="003640AD" w:rsidP="000F50E2">
      <w:pPr>
        <w:spacing w:line="259" w:lineRule="auto"/>
        <w:jc w:val="both"/>
        <w:rPr>
          <w:sz w:val="22"/>
          <w:szCs w:val="22"/>
        </w:rPr>
      </w:pPr>
    </w:p>
    <w:p w14:paraId="4943D2E9" w14:textId="30298AFA" w:rsidR="006E211F" w:rsidRDefault="000F50E2" w:rsidP="000F50E2">
      <w:pPr>
        <w:jc w:val="both"/>
        <w:rPr>
          <w:sz w:val="22"/>
          <w:szCs w:val="22"/>
        </w:rPr>
      </w:pPr>
      <w:r w:rsidRPr="000F50E2">
        <w:rPr>
          <w:sz w:val="22"/>
          <w:szCs w:val="22"/>
        </w:rPr>
        <w:t xml:space="preserve">El </w:t>
      </w:r>
      <w:r w:rsidRPr="000F50E2">
        <w:rPr>
          <w:b/>
          <w:bCs/>
          <w:sz w:val="22"/>
          <w:szCs w:val="22"/>
        </w:rPr>
        <w:t xml:space="preserve">Gráfico </w:t>
      </w:r>
      <w:r>
        <w:rPr>
          <w:b/>
          <w:bCs/>
          <w:sz w:val="22"/>
          <w:szCs w:val="22"/>
        </w:rPr>
        <w:t xml:space="preserve">2, </w:t>
      </w:r>
      <w:r>
        <w:rPr>
          <w:sz w:val="22"/>
          <w:szCs w:val="22"/>
        </w:rPr>
        <w:t>en el panel A</w:t>
      </w:r>
      <w:r w:rsidRPr="000F50E2">
        <w:rPr>
          <w:sz w:val="22"/>
          <w:szCs w:val="22"/>
        </w:rPr>
        <w:t xml:space="preserve"> muestra una distribución del ingreso familiar fuertemente asimétrica, con alta concentración en los tramos bajos. En el panel B, la comparación entre pobres y no pobres evidencia una clara brecha: los hogares pobres se agrupan muy por debajo de la línea de pobreza, mientras los no pobres presentan ingresos más diversificados.</w:t>
      </w:r>
    </w:p>
    <w:p w14:paraId="719C8B70" w14:textId="43F06C46" w:rsidR="000F50E2" w:rsidRPr="000F50E2" w:rsidRDefault="000F50E2" w:rsidP="000F50E2">
      <w:pPr>
        <w:jc w:val="center"/>
        <w:rPr>
          <w:b/>
          <w:bCs/>
        </w:rPr>
      </w:pPr>
      <w:r>
        <w:rPr>
          <w:b/>
          <w:bCs/>
        </w:rPr>
        <w:t>Gráfico 2. Composición por sexo en Gran Buenos Aires – EPH 2005 y 2025</w:t>
      </w:r>
    </w:p>
    <w:p w14:paraId="7E081DE4" w14:textId="3E75688A" w:rsidR="000F50E2" w:rsidRDefault="000F50E2" w:rsidP="000F50E2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641084D4" wp14:editId="697C4DDF">
            <wp:extent cx="5612130" cy="2771775"/>
            <wp:effectExtent l="0" t="0" r="7620" b="9525"/>
            <wp:docPr id="169671953" name="Imagen 2" descr="No se ha proporcionado ninguna descripción para esta imag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se ha proporcionado ninguna descripción para esta imag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5E2E8" w14:textId="77777777" w:rsidR="000F50E2" w:rsidRPr="003105FA" w:rsidRDefault="000F50E2" w:rsidP="000F50E2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2AEFD5D9" w14:textId="05FAC202" w:rsidR="00936E5A" w:rsidRDefault="00936E5A" w:rsidP="00936E5A">
      <w:pPr>
        <w:jc w:val="both"/>
        <w:rPr>
          <w:sz w:val="22"/>
          <w:szCs w:val="22"/>
        </w:rPr>
      </w:pPr>
      <w:r>
        <w:rPr>
          <w:sz w:val="22"/>
          <w:szCs w:val="22"/>
        </w:rPr>
        <w:t>En cuanto a la</w:t>
      </w:r>
      <w:r w:rsidRPr="00936E5A">
        <w:rPr>
          <w:sz w:val="22"/>
          <w:szCs w:val="22"/>
        </w:rPr>
        <w:t xml:space="preserve"> variable </w:t>
      </w:r>
      <w:proofErr w:type="spellStart"/>
      <w:r w:rsidRPr="00936E5A">
        <w:rPr>
          <w:i/>
          <w:iCs/>
          <w:sz w:val="22"/>
          <w:szCs w:val="22"/>
        </w:rPr>
        <w:t>horastrab</w:t>
      </w:r>
      <w:proofErr w:type="spellEnd"/>
      <w:r w:rsidRPr="00936E5A">
        <w:rPr>
          <w:sz w:val="22"/>
          <w:szCs w:val="22"/>
        </w:rPr>
        <w:t xml:space="preserve">, que mide el total de horas trabajadas por los jefes de hogar, presenta un promedio de </w:t>
      </w:r>
      <w:r w:rsidRPr="00936E5A">
        <w:rPr>
          <w:b/>
          <w:bCs/>
          <w:sz w:val="22"/>
          <w:szCs w:val="22"/>
        </w:rPr>
        <w:t>33,4 horas semanales</w:t>
      </w:r>
      <w:r w:rsidRPr="00936E5A">
        <w:rPr>
          <w:sz w:val="22"/>
          <w:szCs w:val="22"/>
        </w:rPr>
        <w:t xml:space="preserve"> y una mediana de </w:t>
      </w:r>
      <w:r w:rsidRPr="00936E5A">
        <w:rPr>
          <w:b/>
          <w:bCs/>
          <w:sz w:val="22"/>
          <w:szCs w:val="22"/>
        </w:rPr>
        <w:t>29,5 horas</w:t>
      </w:r>
      <w:r w:rsidRPr="00936E5A">
        <w:rPr>
          <w:sz w:val="22"/>
          <w:szCs w:val="22"/>
        </w:rPr>
        <w:t xml:space="preserve">, lo que sugiere una carga laboral ligeramente inferior a la jornada completa típica. La dispersión es elevada, con una desviación estándar de </w:t>
      </w:r>
      <w:r w:rsidRPr="00936E5A">
        <w:rPr>
          <w:b/>
          <w:bCs/>
          <w:sz w:val="22"/>
          <w:szCs w:val="22"/>
        </w:rPr>
        <w:t>83 horas</w:t>
      </w:r>
      <w:r w:rsidRPr="00936E5A">
        <w:rPr>
          <w:sz w:val="22"/>
          <w:szCs w:val="22"/>
        </w:rPr>
        <w:t>, lo que refleja una marcada heterogeneidad en la cantidad de horas trabajadas entre los hogares, coherente con la diversidad de situaciones laborales observadas en la región del Gran Buenos Aires.</w:t>
      </w:r>
    </w:p>
    <w:p w14:paraId="650637FD" w14:textId="4BEC8FDE" w:rsidR="000F50E2" w:rsidRDefault="00936E5A" w:rsidP="000F50E2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Por último, en la tabla </w:t>
      </w:r>
      <w:r w:rsidR="003521EA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936E5A">
        <w:rPr>
          <w:sz w:val="22"/>
          <w:szCs w:val="22"/>
        </w:rPr>
        <w:t xml:space="preserve">presenta un resumen del tamaño y la composición de la base final para el Gran Buenos Aires, diferenciando los años 2005 y 2025. En ella se muestra la cantidad total de observaciones, los registros con valores faltantes en la variable </w:t>
      </w:r>
      <w:r w:rsidRPr="00936E5A">
        <w:rPr>
          <w:i/>
          <w:iCs/>
          <w:sz w:val="22"/>
          <w:szCs w:val="22"/>
        </w:rPr>
        <w:t>pobre</w:t>
      </w:r>
      <w:r w:rsidRPr="00936E5A">
        <w:rPr>
          <w:sz w:val="22"/>
          <w:szCs w:val="22"/>
        </w:rPr>
        <w:t>, y la distribución entre hogares pobres y no pobres, junto con el número de variables limpias y homogéneas en cada período. Esta información permite visualizar la magnitud de la base consolidada y la consistencia del proceso de depuración aplicado antes de los análisis descriptivos y comparativos.</w:t>
      </w:r>
    </w:p>
    <w:p w14:paraId="65A10B80" w14:textId="77777777" w:rsidR="00E16EB1" w:rsidRDefault="00E16EB1" w:rsidP="000F50E2">
      <w:pPr>
        <w:jc w:val="both"/>
        <w:rPr>
          <w:sz w:val="22"/>
          <w:szCs w:val="22"/>
        </w:rPr>
      </w:pPr>
    </w:p>
    <w:p w14:paraId="1DC237AA" w14:textId="77777777" w:rsidR="00E16EB1" w:rsidRDefault="00E16EB1" w:rsidP="000F50E2">
      <w:pPr>
        <w:jc w:val="both"/>
        <w:rPr>
          <w:sz w:val="22"/>
          <w:szCs w:val="22"/>
        </w:rPr>
      </w:pPr>
    </w:p>
    <w:p w14:paraId="709F9F14" w14:textId="77777777" w:rsidR="00E16EB1" w:rsidRDefault="00E16EB1" w:rsidP="000F50E2">
      <w:pPr>
        <w:jc w:val="both"/>
        <w:rPr>
          <w:sz w:val="22"/>
          <w:szCs w:val="22"/>
        </w:rPr>
      </w:pPr>
    </w:p>
    <w:p w14:paraId="375F7D41" w14:textId="77777777" w:rsidR="00E16EB1" w:rsidRDefault="00E16EB1" w:rsidP="000F50E2">
      <w:pPr>
        <w:jc w:val="both"/>
        <w:rPr>
          <w:sz w:val="22"/>
          <w:szCs w:val="22"/>
        </w:rPr>
      </w:pPr>
    </w:p>
    <w:p w14:paraId="03613660" w14:textId="48614609" w:rsidR="00936E5A" w:rsidRPr="00936E5A" w:rsidRDefault="00936E5A" w:rsidP="00936E5A">
      <w:pPr>
        <w:jc w:val="center"/>
        <w:rPr>
          <w:b/>
          <w:bCs/>
        </w:rPr>
      </w:pPr>
      <w:r w:rsidRPr="00936E5A">
        <w:rPr>
          <w:b/>
          <w:bCs/>
        </w:rPr>
        <w:t xml:space="preserve">Tabla </w:t>
      </w:r>
      <w:r w:rsidR="003521EA">
        <w:rPr>
          <w:b/>
          <w:bCs/>
        </w:rPr>
        <w:t>1</w:t>
      </w:r>
      <w:r w:rsidRPr="00936E5A">
        <w:rPr>
          <w:b/>
          <w:bCs/>
        </w:rPr>
        <w:t xml:space="preserve">. Resumen de la base final para la región </w:t>
      </w:r>
      <w:r>
        <w:rPr>
          <w:b/>
          <w:bCs/>
        </w:rPr>
        <w:t>de Gran Buenos Aires</w:t>
      </w:r>
    </w:p>
    <w:tbl>
      <w:tblPr>
        <w:tblW w:w="9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37"/>
        <w:gridCol w:w="1082"/>
        <w:gridCol w:w="928"/>
        <w:gridCol w:w="1081"/>
      </w:tblGrid>
      <w:tr w:rsidR="00936E5A" w14:paraId="1641A205" w14:textId="77777777" w:rsidTr="00E16EB1">
        <w:trPr>
          <w:trHeight w:val="295"/>
        </w:trPr>
        <w:tc>
          <w:tcPr>
            <w:tcW w:w="6337" w:type="dxa"/>
          </w:tcPr>
          <w:p w14:paraId="436FBB05" w14:textId="4A18C271" w:rsidR="00936E5A" w:rsidRPr="00E16EB1" w:rsidRDefault="00936E5A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Ítem</w:t>
            </w:r>
          </w:p>
        </w:tc>
        <w:tc>
          <w:tcPr>
            <w:tcW w:w="1082" w:type="dxa"/>
          </w:tcPr>
          <w:p w14:paraId="306686DC" w14:textId="77777777" w:rsidR="00936E5A" w:rsidRPr="00E16EB1" w:rsidRDefault="00936E5A" w:rsidP="009D402D">
            <w:pPr>
              <w:jc w:val="center"/>
              <w:rPr>
                <w:rFonts w:ascii="Century Schoolbook" w:eastAsia="Century Schoolbook" w:hAnsi="Century Schoolbook" w:cs="Century Schoolbook"/>
                <w:b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b/>
                <w:sz w:val="22"/>
                <w:szCs w:val="22"/>
              </w:rPr>
              <w:t>2005</w:t>
            </w:r>
          </w:p>
        </w:tc>
        <w:tc>
          <w:tcPr>
            <w:tcW w:w="928" w:type="dxa"/>
          </w:tcPr>
          <w:p w14:paraId="685069CE" w14:textId="77777777" w:rsidR="00936E5A" w:rsidRPr="00E16EB1" w:rsidRDefault="00936E5A" w:rsidP="009D402D">
            <w:pPr>
              <w:jc w:val="center"/>
              <w:rPr>
                <w:rFonts w:ascii="Century Schoolbook" w:eastAsia="Century Schoolbook" w:hAnsi="Century Schoolbook" w:cs="Century Schoolbook"/>
                <w:b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b/>
                <w:sz w:val="22"/>
                <w:szCs w:val="22"/>
              </w:rPr>
              <w:t>2025</w:t>
            </w:r>
          </w:p>
        </w:tc>
        <w:tc>
          <w:tcPr>
            <w:tcW w:w="1081" w:type="dxa"/>
          </w:tcPr>
          <w:p w14:paraId="6FF7F367" w14:textId="77777777" w:rsidR="00936E5A" w:rsidRPr="00E16EB1" w:rsidRDefault="00936E5A" w:rsidP="009D402D">
            <w:pPr>
              <w:jc w:val="center"/>
              <w:rPr>
                <w:rFonts w:ascii="Century Schoolbook" w:eastAsia="Century Schoolbook" w:hAnsi="Century Schoolbook" w:cs="Century Schoolbook"/>
                <w:b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b/>
                <w:sz w:val="22"/>
                <w:szCs w:val="22"/>
              </w:rPr>
              <w:t>Total</w:t>
            </w:r>
          </w:p>
        </w:tc>
      </w:tr>
      <w:tr w:rsidR="00936E5A" w14:paraId="5013BEB7" w14:textId="77777777" w:rsidTr="00E16EB1">
        <w:trPr>
          <w:trHeight w:val="613"/>
        </w:trPr>
        <w:tc>
          <w:tcPr>
            <w:tcW w:w="6337" w:type="dxa"/>
          </w:tcPr>
          <w:p w14:paraId="6EF146FF" w14:textId="77777777" w:rsidR="00936E5A" w:rsidRPr="00E16EB1" w:rsidRDefault="00936E5A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 xml:space="preserve">Cantidad observaciones </w:t>
            </w:r>
          </w:p>
        </w:tc>
        <w:tc>
          <w:tcPr>
            <w:tcW w:w="1082" w:type="dxa"/>
          </w:tcPr>
          <w:p w14:paraId="393D92C8" w14:textId="5C4B0BA5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9,484</w:t>
            </w:r>
          </w:p>
        </w:tc>
        <w:tc>
          <w:tcPr>
            <w:tcW w:w="928" w:type="dxa"/>
          </w:tcPr>
          <w:p w14:paraId="0A34DD19" w14:textId="422F4BF3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7,181</w:t>
            </w:r>
          </w:p>
        </w:tc>
        <w:tc>
          <w:tcPr>
            <w:tcW w:w="1081" w:type="dxa"/>
          </w:tcPr>
          <w:p w14:paraId="2912C4C7" w14:textId="44185BB6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16,665</w:t>
            </w:r>
          </w:p>
        </w:tc>
      </w:tr>
      <w:tr w:rsidR="00936E5A" w14:paraId="6F4EDC35" w14:textId="77777777" w:rsidTr="00E16EB1">
        <w:trPr>
          <w:trHeight w:val="295"/>
        </w:trPr>
        <w:tc>
          <w:tcPr>
            <w:tcW w:w="6337" w:type="dxa"/>
          </w:tcPr>
          <w:p w14:paraId="208843B4" w14:textId="77777777" w:rsidR="00936E5A" w:rsidRPr="00E16EB1" w:rsidRDefault="00936E5A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 xml:space="preserve">Cantidad de observaciones con </w:t>
            </w:r>
            <w:proofErr w:type="spellStart"/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NAs</w:t>
            </w:r>
            <w:proofErr w:type="spellEnd"/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 xml:space="preserve"> en la variable “Pobre”</w:t>
            </w:r>
          </w:p>
        </w:tc>
        <w:tc>
          <w:tcPr>
            <w:tcW w:w="1082" w:type="dxa"/>
          </w:tcPr>
          <w:p w14:paraId="269A2656" w14:textId="2B819181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0</w:t>
            </w:r>
          </w:p>
        </w:tc>
        <w:tc>
          <w:tcPr>
            <w:tcW w:w="928" w:type="dxa"/>
          </w:tcPr>
          <w:p w14:paraId="02BD71D6" w14:textId="24B7CEBE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0</w:t>
            </w:r>
          </w:p>
        </w:tc>
        <w:tc>
          <w:tcPr>
            <w:tcW w:w="1081" w:type="dxa"/>
          </w:tcPr>
          <w:p w14:paraId="38C4C1E2" w14:textId="7583358C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0</w:t>
            </w:r>
          </w:p>
        </w:tc>
      </w:tr>
      <w:tr w:rsidR="00936E5A" w14:paraId="22C054BB" w14:textId="77777777" w:rsidTr="00E16EB1">
        <w:trPr>
          <w:trHeight w:val="295"/>
        </w:trPr>
        <w:tc>
          <w:tcPr>
            <w:tcW w:w="6337" w:type="dxa"/>
          </w:tcPr>
          <w:p w14:paraId="3F62DDAE" w14:textId="77777777" w:rsidR="00936E5A" w:rsidRPr="00E16EB1" w:rsidRDefault="00936E5A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Cantidad de Pobres</w:t>
            </w:r>
          </w:p>
        </w:tc>
        <w:tc>
          <w:tcPr>
            <w:tcW w:w="1082" w:type="dxa"/>
          </w:tcPr>
          <w:p w14:paraId="4EDF42F0" w14:textId="7C2753FA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2,506</w:t>
            </w:r>
          </w:p>
        </w:tc>
        <w:tc>
          <w:tcPr>
            <w:tcW w:w="928" w:type="dxa"/>
          </w:tcPr>
          <w:p w14:paraId="6617CC26" w14:textId="2A300390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4,204</w:t>
            </w:r>
          </w:p>
        </w:tc>
        <w:tc>
          <w:tcPr>
            <w:tcW w:w="1081" w:type="dxa"/>
          </w:tcPr>
          <w:p w14:paraId="39FFBB47" w14:textId="078FFA12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6,710</w:t>
            </w:r>
          </w:p>
        </w:tc>
      </w:tr>
      <w:tr w:rsidR="00936E5A" w14:paraId="19F8FFB3" w14:textId="77777777" w:rsidTr="00E16EB1">
        <w:trPr>
          <w:trHeight w:val="295"/>
        </w:trPr>
        <w:tc>
          <w:tcPr>
            <w:tcW w:w="6337" w:type="dxa"/>
          </w:tcPr>
          <w:p w14:paraId="477F5DC7" w14:textId="77777777" w:rsidR="00936E5A" w:rsidRPr="00E16EB1" w:rsidRDefault="00936E5A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Cantidad de No Pobres</w:t>
            </w:r>
          </w:p>
        </w:tc>
        <w:tc>
          <w:tcPr>
            <w:tcW w:w="1082" w:type="dxa"/>
          </w:tcPr>
          <w:p w14:paraId="7C3D7EF2" w14:textId="77C715C1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6,978</w:t>
            </w:r>
          </w:p>
        </w:tc>
        <w:tc>
          <w:tcPr>
            <w:tcW w:w="928" w:type="dxa"/>
          </w:tcPr>
          <w:p w14:paraId="5E3BFA15" w14:textId="1AA4B217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2,977</w:t>
            </w:r>
          </w:p>
        </w:tc>
        <w:tc>
          <w:tcPr>
            <w:tcW w:w="1081" w:type="dxa"/>
          </w:tcPr>
          <w:p w14:paraId="3DF5CE52" w14:textId="0C48831D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9,955</w:t>
            </w:r>
          </w:p>
        </w:tc>
      </w:tr>
      <w:tr w:rsidR="00936E5A" w14:paraId="36AE42B1" w14:textId="77777777" w:rsidTr="00E16EB1">
        <w:trPr>
          <w:trHeight w:val="295"/>
        </w:trPr>
        <w:tc>
          <w:tcPr>
            <w:tcW w:w="6337" w:type="dxa"/>
          </w:tcPr>
          <w:p w14:paraId="00763CB0" w14:textId="77777777" w:rsidR="00936E5A" w:rsidRPr="00E16EB1" w:rsidRDefault="00936E5A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Cantidad de variables limpias y homogeneizadas</w:t>
            </w:r>
          </w:p>
        </w:tc>
        <w:tc>
          <w:tcPr>
            <w:tcW w:w="1082" w:type="dxa"/>
          </w:tcPr>
          <w:p w14:paraId="5302EA6D" w14:textId="2A490156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173</w:t>
            </w:r>
          </w:p>
        </w:tc>
        <w:tc>
          <w:tcPr>
            <w:tcW w:w="928" w:type="dxa"/>
          </w:tcPr>
          <w:p w14:paraId="31E8442C" w14:textId="1BB79E20" w:rsidR="00936E5A" w:rsidRPr="00E16EB1" w:rsidRDefault="003640AD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  <w:r w:rsidRPr="00E16EB1">
              <w:rPr>
                <w:rFonts w:ascii="Century Schoolbook" w:eastAsia="Century Schoolbook" w:hAnsi="Century Schoolbook" w:cs="Century Schoolbook"/>
                <w:sz w:val="22"/>
                <w:szCs w:val="22"/>
              </w:rPr>
              <w:t>90</w:t>
            </w:r>
          </w:p>
        </w:tc>
        <w:tc>
          <w:tcPr>
            <w:tcW w:w="1081" w:type="dxa"/>
          </w:tcPr>
          <w:p w14:paraId="368C127E" w14:textId="77777777" w:rsidR="00936E5A" w:rsidRPr="00E16EB1" w:rsidRDefault="00936E5A" w:rsidP="009D402D">
            <w:pPr>
              <w:rPr>
                <w:rFonts w:ascii="Century Schoolbook" w:eastAsia="Century Schoolbook" w:hAnsi="Century Schoolbook" w:cs="Century Schoolbook"/>
                <w:sz w:val="22"/>
                <w:szCs w:val="22"/>
              </w:rPr>
            </w:pPr>
          </w:p>
        </w:tc>
      </w:tr>
    </w:tbl>
    <w:p w14:paraId="7452505D" w14:textId="5DC646F1" w:rsidR="004C5AC7" w:rsidRDefault="003640AD" w:rsidP="003521EA">
      <w:pPr>
        <w:jc w:val="center"/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7B69F56A" w14:textId="43AFFE2A" w:rsidR="004C5AC7" w:rsidRDefault="00F10425" w:rsidP="004C5AC7">
      <w:pPr>
        <w:pStyle w:val="Prrafodelista"/>
        <w:numPr>
          <w:ilvl w:val="1"/>
          <w:numId w:val="1"/>
        </w:numPr>
        <w:spacing w:line="259" w:lineRule="auto"/>
        <w:rPr>
          <w:b/>
          <w:bCs/>
        </w:rPr>
      </w:pPr>
      <w:r>
        <w:rPr>
          <w:b/>
          <w:bCs/>
        </w:rPr>
        <w:t>Matriz de correlación</w:t>
      </w:r>
    </w:p>
    <w:p w14:paraId="1414EF2E" w14:textId="3726350A" w:rsidR="009F05DA" w:rsidRPr="00ED1798" w:rsidRDefault="00F10425" w:rsidP="008B5608">
      <w:pPr>
        <w:spacing w:line="259" w:lineRule="auto"/>
        <w:jc w:val="both"/>
        <w:rPr>
          <w:sz w:val="22"/>
          <w:szCs w:val="22"/>
        </w:rPr>
      </w:pPr>
      <w:r w:rsidRPr="00ED1798">
        <w:rPr>
          <w:sz w:val="22"/>
          <w:szCs w:val="22"/>
        </w:rPr>
        <w:t xml:space="preserve">Ahora analizamos las correlaciones entre nuestras variables en al gráfico </w:t>
      </w:r>
      <w:r w:rsidR="00C41863">
        <w:rPr>
          <w:sz w:val="22"/>
          <w:szCs w:val="22"/>
        </w:rPr>
        <w:t>3</w:t>
      </w:r>
      <w:r w:rsidR="008B5608" w:rsidRPr="00ED1798">
        <w:rPr>
          <w:sz w:val="22"/>
          <w:szCs w:val="22"/>
        </w:rPr>
        <w:t xml:space="preserve">. </w:t>
      </w:r>
      <w:r w:rsidR="008B5608" w:rsidRPr="00ED1798">
        <w:rPr>
          <w:sz w:val="22"/>
          <w:szCs w:val="22"/>
        </w:rPr>
        <w:t xml:space="preserve">La matriz muestra una fuerte relación entre edad y edad² (0.96), lo cual es esperado dado que una es función de la otra. Se observa una correlación positiva moderada entre educación e ingreso familiar, mientras que el número de miembros del hogar se asocia negativamente con la edad y la educación. En conjunto, las correlaciones son bajas, lo que indica que las variables no están altamente </w:t>
      </w:r>
      <w:proofErr w:type="spellStart"/>
      <w:r w:rsidR="008B5608" w:rsidRPr="00ED1798">
        <w:rPr>
          <w:sz w:val="22"/>
          <w:szCs w:val="22"/>
        </w:rPr>
        <w:t>colineadas</w:t>
      </w:r>
      <w:proofErr w:type="spellEnd"/>
      <w:r w:rsidR="008B5608" w:rsidRPr="00ED1798">
        <w:rPr>
          <w:sz w:val="22"/>
          <w:szCs w:val="22"/>
        </w:rPr>
        <w:t xml:space="preserve"> y son adecuadas para aplicar PCA.</w:t>
      </w:r>
    </w:p>
    <w:p w14:paraId="075E8151" w14:textId="59353E0B" w:rsidR="008B5608" w:rsidRDefault="008B5608" w:rsidP="008B5608">
      <w:pPr>
        <w:jc w:val="center"/>
        <w:rPr>
          <w:b/>
          <w:bCs/>
        </w:rPr>
      </w:pPr>
      <w:r>
        <w:rPr>
          <w:b/>
          <w:bCs/>
        </w:rPr>
        <w:t xml:space="preserve">Gráfico </w:t>
      </w:r>
      <w:r w:rsidR="00C41863"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</w:rPr>
        <w:t>Matriz de correlaciones</w:t>
      </w:r>
    </w:p>
    <w:p w14:paraId="395ACA5F" w14:textId="2E251F7C" w:rsidR="004C5AC7" w:rsidRDefault="00A555B0" w:rsidP="003640AD">
      <w:pPr>
        <w:jc w:val="center"/>
        <w:rPr>
          <w:b/>
          <w:bCs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2915D50C" wp14:editId="1A834842">
            <wp:extent cx="4108450" cy="3146652"/>
            <wp:effectExtent l="0" t="0" r="6350" b="0"/>
            <wp:docPr id="2070569152" name="Imagen 5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69152" name="Imagen 5" descr="Gráfico, Gráfico en cascad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732" cy="31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  <w:lang w:val="es-ES"/>
        </w:rPr>
        <w:br/>
      </w:r>
    </w:p>
    <w:p w14:paraId="424F727D" w14:textId="463BE5D9" w:rsidR="00ED1798" w:rsidRPr="00D4054C" w:rsidRDefault="00A555B0" w:rsidP="00D4054C">
      <w:pPr>
        <w:jc w:val="center"/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66831BA5" w14:textId="56FAE2BC" w:rsidR="00A555B0" w:rsidRDefault="00A555B0" w:rsidP="00A555B0">
      <w:pPr>
        <w:pStyle w:val="Prrafodelista"/>
        <w:numPr>
          <w:ilvl w:val="1"/>
          <w:numId w:val="1"/>
        </w:numPr>
        <w:spacing w:line="259" w:lineRule="auto"/>
        <w:rPr>
          <w:b/>
          <w:bCs/>
        </w:rPr>
      </w:pPr>
      <w:r>
        <w:rPr>
          <w:b/>
          <w:bCs/>
        </w:rPr>
        <w:lastRenderedPageBreak/>
        <w:t>PCA</w:t>
      </w:r>
    </w:p>
    <w:p w14:paraId="083EDF7D" w14:textId="0A0C20F7" w:rsidR="00813E78" w:rsidRPr="00ED1798" w:rsidRDefault="00813E78" w:rsidP="009C2C8D">
      <w:pPr>
        <w:spacing w:line="259" w:lineRule="auto"/>
        <w:jc w:val="both"/>
        <w:rPr>
          <w:sz w:val="22"/>
          <w:szCs w:val="22"/>
        </w:rPr>
      </w:pPr>
      <w:r w:rsidRPr="00ED1798">
        <w:rPr>
          <w:sz w:val="22"/>
          <w:szCs w:val="22"/>
        </w:rPr>
        <w:t>El análisis de componentes principales permite reducir la dimensionalidad conservando la mayor parte de la información. En el gráfico</w:t>
      </w:r>
      <w:r w:rsidR="00B216E8" w:rsidRPr="00ED1798">
        <w:rPr>
          <w:sz w:val="22"/>
          <w:szCs w:val="22"/>
        </w:rPr>
        <w:t xml:space="preserve"> </w:t>
      </w:r>
      <w:r w:rsidR="00D87A1E">
        <w:rPr>
          <w:sz w:val="22"/>
          <w:szCs w:val="22"/>
        </w:rPr>
        <w:t>4</w:t>
      </w:r>
      <w:r w:rsidRPr="00ED1798">
        <w:rPr>
          <w:sz w:val="22"/>
          <w:szCs w:val="22"/>
        </w:rPr>
        <w:t xml:space="preserve"> de dispersión de los dos primeros componentes (que explican alrededor del 57% de la varianza total), se observa que las observaciones se agrupan en torno al origen, con mayor dispersión en el eje del primer componente, asociado principalmente a la edad y al ingreso familiar.</w:t>
      </w:r>
    </w:p>
    <w:p w14:paraId="3BA068E6" w14:textId="6D55AD4B" w:rsidR="004C5AC7" w:rsidRPr="00ED1798" w:rsidRDefault="00093E75" w:rsidP="00093E75">
      <w:pPr>
        <w:spacing w:line="259" w:lineRule="auto"/>
        <w:jc w:val="both"/>
        <w:rPr>
          <w:sz w:val="22"/>
          <w:szCs w:val="22"/>
        </w:rPr>
      </w:pPr>
      <w:r w:rsidRPr="00ED1798">
        <w:rPr>
          <w:sz w:val="22"/>
          <w:szCs w:val="22"/>
        </w:rPr>
        <w:t xml:space="preserve">También en el gráfico </w:t>
      </w:r>
      <w:r w:rsidR="00C41863">
        <w:rPr>
          <w:sz w:val="22"/>
          <w:szCs w:val="22"/>
        </w:rPr>
        <w:t>4</w:t>
      </w:r>
      <w:r w:rsidRPr="00ED1798">
        <w:rPr>
          <w:sz w:val="22"/>
          <w:szCs w:val="22"/>
        </w:rPr>
        <w:t xml:space="preserve"> podemos observar l</w:t>
      </w:r>
      <w:r w:rsidRPr="00ED1798">
        <w:rPr>
          <w:sz w:val="22"/>
          <w:szCs w:val="22"/>
        </w:rPr>
        <w:t xml:space="preserve">as flechas del </w:t>
      </w:r>
      <w:proofErr w:type="spellStart"/>
      <w:r w:rsidRPr="00ED1798">
        <w:rPr>
          <w:sz w:val="22"/>
          <w:szCs w:val="22"/>
        </w:rPr>
        <w:t>biplot</w:t>
      </w:r>
      <w:proofErr w:type="spellEnd"/>
      <w:r w:rsidRPr="00ED1798">
        <w:rPr>
          <w:sz w:val="22"/>
          <w:szCs w:val="22"/>
        </w:rPr>
        <w:t xml:space="preserve"> </w:t>
      </w:r>
      <w:r w:rsidRPr="00ED1798">
        <w:rPr>
          <w:sz w:val="22"/>
          <w:szCs w:val="22"/>
        </w:rPr>
        <w:t xml:space="preserve">que </w:t>
      </w:r>
      <w:r w:rsidRPr="00ED1798">
        <w:rPr>
          <w:sz w:val="22"/>
          <w:szCs w:val="22"/>
        </w:rPr>
        <w:t>muestran que las variables edad y edad² contribuyen fuertemente al primer componente, mientras que la educación y el ingreso total familiar tienen mayor peso en el segundo. Esto sugiere que el PCA separa principalmente a los individuos por características etarias y, en segundo término, por nivel educativo y capacidad económica.</w:t>
      </w:r>
    </w:p>
    <w:p w14:paraId="0B7343C3" w14:textId="34C732EB" w:rsidR="00093E75" w:rsidRDefault="00093E75" w:rsidP="00093E75">
      <w:pPr>
        <w:jc w:val="center"/>
        <w:rPr>
          <w:b/>
          <w:bCs/>
        </w:rPr>
      </w:pPr>
      <w:r>
        <w:rPr>
          <w:b/>
          <w:bCs/>
        </w:rPr>
        <w:t xml:space="preserve">Gráfico </w:t>
      </w:r>
      <w:r w:rsidR="00C41863">
        <w:rPr>
          <w:b/>
          <w:bCs/>
        </w:rPr>
        <w:t>4</w:t>
      </w:r>
      <w:r>
        <w:rPr>
          <w:b/>
          <w:bCs/>
        </w:rPr>
        <w:t xml:space="preserve">. </w:t>
      </w:r>
      <w:r w:rsidR="00774FD3">
        <w:rPr>
          <w:b/>
          <w:bCs/>
        </w:rPr>
        <w:t xml:space="preserve">PCA y </w:t>
      </w:r>
      <w:r w:rsidR="00517EFB">
        <w:rPr>
          <w:b/>
          <w:bCs/>
        </w:rPr>
        <w:t>flechas con los ponderados</w:t>
      </w:r>
    </w:p>
    <w:p w14:paraId="55291F17" w14:textId="0887AA4C" w:rsidR="004C5AC7" w:rsidRDefault="00E73017" w:rsidP="003640AD">
      <w:pPr>
        <w:jc w:val="center"/>
        <w:rPr>
          <w:b/>
          <w:bCs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49D0B1BF" wp14:editId="6343DFBA">
            <wp:extent cx="3867150" cy="3867150"/>
            <wp:effectExtent l="0" t="0" r="0" b="0"/>
            <wp:docPr id="817535650" name="Imagen 6" descr="No se ha proporcionado ninguna descripción para esta imag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se ha proporcionado ninguna descripción para esta imag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5FAB" w14:textId="77777777" w:rsidR="00E73017" w:rsidRPr="003105FA" w:rsidRDefault="00E73017" w:rsidP="00E73017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722EED03" w14:textId="10A6D63A" w:rsidR="004C5AC7" w:rsidRDefault="004F0543" w:rsidP="00ED1798">
      <w:pPr>
        <w:spacing w:line="259" w:lineRule="auto"/>
        <w:jc w:val="both"/>
        <w:rPr>
          <w:sz w:val="22"/>
          <w:szCs w:val="22"/>
        </w:rPr>
      </w:pPr>
      <w:r w:rsidRPr="00ED1798">
        <w:rPr>
          <w:sz w:val="22"/>
          <w:szCs w:val="22"/>
        </w:rPr>
        <w:t>Ahora en e</w:t>
      </w:r>
      <w:r w:rsidRPr="00ED1798">
        <w:rPr>
          <w:sz w:val="22"/>
          <w:szCs w:val="22"/>
        </w:rPr>
        <w:t>l gráfico de varianza explicada indica que los dos primeros componentes concentran aproximadamente el 57% de la información total, mientras que con cuatro componentes se alcanza cerca del 90%. Esto implica que la mayor parte de la variabilidad de las variables originales puede resumirse en pocos factores, lo que valida la utilidad del PCA para simplificar el análisis.</w:t>
      </w:r>
    </w:p>
    <w:p w14:paraId="6EB06B06" w14:textId="77777777" w:rsidR="00D4054C" w:rsidRPr="00ED1798" w:rsidRDefault="00D4054C" w:rsidP="00ED1798">
      <w:pPr>
        <w:spacing w:line="259" w:lineRule="auto"/>
        <w:jc w:val="both"/>
        <w:rPr>
          <w:sz w:val="22"/>
          <w:szCs w:val="22"/>
        </w:rPr>
      </w:pPr>
    </w:p>
    <w:p w14:paraId="2F026F21" w14:textId="1EC878D4" w:rsidR="00572BCA" w:rsidRPr="00572BCA" w:rsidRDefault="00572BCA" w:rsidP="00572BCA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Gráfico </w:t>
      </w:r>
      <w:r w:rsidR="00C41863">
        <w:rPr>
          <w:b/>
          <w:bCs/>
        </w:rPr>
        <w:t>5</w:t>
      </w:r>
      <w:r>
        <w:rPr>
          <w:b/>
          <w:bCs/>
        </w:rPr>
        <w:t xml:space="preserve">. </w:t>
      </w:r>
      <w:r w:rsidR="004F0543">
        <w:rPr>
          <w:b/>
          <w:bCs/>
        </w:rPr>
        <w:t>Varianza explicada</w:t>
      </w:r>
    </w:p>
    <w:p w14:paraId="0A57282B" w14:textId="4D3CC29A" w:rsidR="004C5AC7" w:rsidRDefault="00572BCA" w:rsidP="003640AD">
      <w:pPr>
        <w:jc w:val="center"/>
        <w:rPr>
          <w:b/>
          <w:bCs/>
          <w:sz w:val="18"/>
          <w:szCs w:val="18"/>
          <w:lang w:val="es-ES"/>
        </w:rPr>
      </w:pPr>
      <w:r>
        <w:rPr>
          <w:noProof/>
        </w:rPr>
        <w:drawing>
          <wp:inline distT="0" distB="0" distL="0" distR="0" wp14:anchorId="2DE9D462" wp14:editId="6B7FF610">
            <wp:extent cx="5612130" cy="2105025"/>
            <wp:effectExtent l="0" t="0" r="7620" b="9525"/>
            <wp:docPr id="1828199966" name="Imagen 7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99966" name="Imagen 7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CB3B" w14:textId="77777777" w:rsidR="004C5AC7" w:rsidRDefault="004C5AC7" w:rsidP="00572BCA">
      <w:pPr>
        <w:rPr>
          <w:b/>
          <w:bCs/>
          <w:sz w:val="18"/>
          <w:szCs w:val="18"/>
          <w:lang w:val="es-ES"/>
        </w:rPr>
      </w:pPr>
    </w:p>
    <w:p w14:paraId="2D4668CA" w14:textId="2E9BD21F" w:rsidR="004C5AC7" w:rsidRPr="00936E5A" w:rsidRDefault="00572BCA" w:rsidP="004F0543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6CB8EAD7" w14:textId="18CB4F2C" w:rsidR="00D0005D" w:rsidRPr="00D0005D" w:rsidRDefault="0012515C" w:rsidP="00A555B0">
      <w:pPr>
        <w:pStyle w:val="Prrafodelista"/>
        <w:numPr>
          <w:ilvl w:val="1"/>
          <w:numId w:val="1"/>
        </w:numPr>
        <w:spacing w:line="259" w:lineRule="auto"/>
        <w:rPr>
          <w:b/>
          <w:bCs/>
        </w:rPr>
      </w:pPr>
      <w:r w:rsidRPr="00D0005D">
        <w:rPr>
          <w:b/>
          <w:bCs/>
        </w:rPr>
        <w:t xml:space="preserve">Análisis de </w:t>
      </w:r>
      <w:proofErr w:type="spellStart"/>
      <w:proofErr w:type="gramStart"/>
      <w:r w:rsidRPr="00D0005D">
        <w:rPr>
          <w:b/>
          <w:bCs/>
        </w:rPr>
        <w:t>cl</w:t>
      </w:r>
      <w:r w:rsidR="00D0005D">
        <w:rPr>
          <w:b/>
          <w:bCs/>
        </w:rPr>
        <w:t>u</w:t>
      </w:r>
      <w:r w:rsidRPr="00D0005D">
        <w:rPr>
          <w:b/>
          <w:bCs/>
        </w:rPr>
        <w:t>sters</w:t>
      </w:r>
      <w:proofErr w:type="spellEnd"/>
      <w:proofErr w:type="gramEnd"/>
    </w:p>
    <w:p w14:paraId="693CA8CA" w14:textId="36609313" w:rsidR="00D0005D" w:rsidRDefault="00D0005D" w:rsidP="00D0005D">
      <w:pPr>
        <w:jc w:val="both"/>
        <w:rPr>
          <w:sz w:val="22"/>
          <w:szCs w:val="22"/>
        </w:rPr>
      </w:pPr>
      <w:r w:rsidRPr="00D0005D">
        <w:rPr>
          <w:sz w:val="22"/>
          <w:szCs w:val="22"/>
        </w:rPr>
        <w:t xml:space="preserve">El algoritmo de </w:t>
      </w:r>
      <w:r w:rsidRPr="00D0005D">
        <w:rPr>
          <w:b/>
          <w:bCs/>
          <w:sz w:val="22"/>
          <w:szCs w:val="22"/>
        </w:rPr>
        <w:t>K-medias</w:t>
      </w:r>
      <w:r w:rsidRPr="00D0005D">
        <w:rPr>
          <w:sz w:val="22"/>
          <w:szCs w:val="22"/>
        </w:rPr>
        <w:t xml:space="preserve"> permite segmentar la población del Gran Buenos Aires según edad e ingreso. Con </w:t>
      </w:r>
      <w:r w:rsidRPr="00D0005D">
        <w:rPr>
          <w:b/>
          <w:bCs/>
          <w:sz w:val="22"/>
          <w:szCs w:val="22"/>
        </w:rPr>
        <w:t>k = 2</w:t>
      </w:r>
      <w:r w:rsidRPr="00D0005D">
        <w:rPr>
          <w:sz w:val="22"/>
          <w:szCs w:val="22"/>
        </w:rPr>
        <w:t xml:space="preserve">, logra distinguir parcialmente entre pobres y no pobres, aunque existe solapamiento entre ambos grupos. Al aumentar a </w:t>
      </w:r>
      <w:r w:rsidRPr="00D0005D">
        <w:rPr>
          <w:b/>
          <w:bCs/>
          <w:sz w:val="22"/>
          <w:szCs w:val="22"/>
        </w:rPr>
        <w:t>k = 4</w:t>
      </w:r>
      <w:r w:rsidRPr="00D0005D">
        <w:rPr>
          <w:sz w:val="22"/>
          <w:szCs w:val="22"/>
        </w:rPr>
        <w:t xml:space="preserve">, los </w:t>
      </w:r>
      <w:proofErr w:type="spellStart"/>
      <w:proofErr w:type="gramStart"/>
      <w:r w:rsidRPr="00D0005D">
        <w:rPr>
          <w:sz w:val="22"/>
          <w:szCs w:val="22"/>
        </w:rPr>
        <w:t>clusters</w:t>
      </w:r>
      <w:proofErr w:type="spellEnd"/>
      <w:proofErr w:type="gramEnd"/>
      <w:r w:rsidRPr="00D0005D">
        <w:rPr>
          <w:sz w:val="22"/>
          <w:szCs w:val="22"/>
        </w:rPr>
        <w:t xml:space="preserve"> reflejan mejor la heterogeneidad económica, mientras que con </w:t>
      </w:r>
      <w:r w:rsidRPr="00D0005D">
        <w:rPr>
          <w:b/>
          <w:bCs/>
          <w:sz w:val="22"/>
          <w:szCs w:val="22"/>
        </w:rPr>
        <w:t>k = 10</w:t>
      </w:r>
      <w:r w:rsidRPr="00D0005D">
        <w:rPr>
          <w:sz w:val="22"/>
          <w:szCs w:val="22"/>
        </w:rPr>
        <w:t xml:space="preserve"> la segmentación pierde claridad interpretativa.</w:t>
      </w:r>
      <w:r w:rsidR="0012515C" w:rsidRPr="00D0005D">
        <w:rPr>
          <w:sz w:val="22"/>
          <w:szCs w:val="22"/>
        </w:rPr>
        <w:t xml:space="preserve"> </w:t>
      </w:r>
    </w:p>
    <w:p w14:paraId="05BB11AF" w14:textId="4A1DCC09" w:rsidR="00D0005D" w:rsidRDefault="00D0005D" w:rsidP="00D0005D">
      <w:pPr>
        <w:jc w:val="center"/>
        <w:rPr>
          <w:b/>
          <w:bCs/>
        </w:rPr>
      </w:pPr>
      <w:r>
        <w:rPr>
          <w:b/>
          <w:bCs/>
        </w:rPr>
        <w:t xml:space="preserve">Gráfico </w:t>
      </w:r>
      <w:r w:rsidR="00C41863">
        <w:rPr>
          <w:b/>
          <w:bCs/>
        </w:rPr>
        <w:t>6</w:t>
      </w:r>
      <w:r>
        <w:rPr>
          <w:b/>
          <w:bCs/>
        </w:rPr>
        <w:t xml:space="preserve">. </w:t>
      </w:r>
      <w:r w:rsidR="00606A7A" w:rsidRPr="00606A7A">
        <w:rPr>
          <w:b/>
          <w:bCs/>
        </w:rPr>
        <w:t>Segmentación por edad e ingreso familiar</w:t>
      </w:r>
      <w:r>
        <w:rPr>
          <w:b/>
          <w:bCs/>
        </w:rPr>
        <w:t xml:space="preserve"> en Gran Buenos Aires – EPH 2005 y 2025</w:t>
      </w:r>
    </w:p>
    <w:p w14:paraId="2061BF1B" w14:textId="3695EC03" w:rsidR="00606A7A" w:rsidRPr="000F50E2" w:rsidRDefault="004071DE" w:rsidP="00D0005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0C177F" wp14:editId="583D2504">
            <wp:extent cx="4971415" cy="2387600"/>
            <wp:effectExtent l="0" t="0" r="635" b="0"/>
            <wp:docPr id="84764552" name="Imagen 1" descr="No se ha proporcionado ninguna descripción para esta imag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se ha proporcionado ninguna descripción para esta imagen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08" cy="23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18B7" w14:textId="77777777" w:rsidR="004071DE" w:rsidRPr="00936E5A" w:rsidRDefault="004071DE" w:rsidP="004071DE">
      <w:pPr>
        <w:jc w:val="center"/>
        <w:rPr>
          <w:sz w:val="18"/>
          <w:szCs w:val="18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3FA81E34" w14:textId="0AB6A8D6" w:rsidR="006169FE" w:rsidRPr="0000665E" w:rsidRDefault="00DC406A" w:rsidP="00D0005D">
      <w:pPr>
        <w:jc w:val="both"/>
        <w:rPr>
          <w:sz w:val="22"/>
          <w:szCs w:val="22"/>
        </w:rPr>
      </w:pPr>
      <w:r w:rsidRPr="0000665E">
        <w:rPr>
          <w:sz w:val="22"/>
          <w:szCs w:val="22"/>
        </w:rPr>
        <w:t xml:space="preserve">También </w:t>
      </w:r>
      <w:r w:rsidR="00EE441B" w:rsidRPr="0000665E">
        <w:rPr>
          <w:sz w:val="22"/>
          <w:szCs w:val="22"/>
        </w:rPr>
        <w:t>aplicamos el método del codo (</w:t>
      </w:r>
      <w:proofErr w:type="spellStart"/>
      <w:r w:rsidR="00EE441B" w:rsidRPr="0000665E">
        <w:rPr>
          <w:i/>
          <w:iCs/>
          <w:sz w:val="22"/>
          <w:szCs w:val="22"/>
        </w:rPr>
        <w:t>Elbow</w:t>
      </w:r>
      <w:proofErr w:type="spellEnd"/>
      <w:r w:rsidR="00EE441B" w:rsidRPr="0000665E">
        <w:rPr>
          <w:sz w:val="22"/>
          <w:szCs w:val="22"/>
        </w:rPr>
        <w:t>) con el objetivo de determinar el número óptimo de grupos que puede identificar el algoritmo de K-</w:t>
      </w:r>
      <w:proofErr w:type="spellStart"/>
      <w:r w:rsidR="00EE441B" w:rsidRPr="0000665E">
        <w:rPr>
          <w:sz w:val="22"/>
          <w:szCs w:val="22"/>
        </w:rPr>
        <w:t>means</w:t>
      </w:r>
      <w:proofErr w:type="spellEnd"/>
      <w:r w:rsidR="00EE441B" w:rsidRPr="0000665E">
        <w:rPr>
          <w:sz w:val="22"/>
          <w:szCs w:val="22"/>
        </w:rPr>
        <w:t xml:space="preserve"> a partir de las</w:t>
      </w:r>
      <w:r w:rsidR="00EE441B" w:rsidRPr="00EE441B">
        <w:t xml:space="preserve"> variables </w:t>
      </w:r>
      <w:r w:rsidR="00EE441B" w:rsidRPr="00EE441B">
        <w:rPr>
          <w:b/>
          <w:bCs/>
        </w:rPr>
        <w:t>edad</w:t>
      </w:r>
      <w:r w:rsidR="00EE441B" w:rsidRPr="00EE441B">
        <w:t xml:space="preserve"> e </w:t>
      </w:r>
      <w:r w:rsidR="00EE441B" w:rsidRPr="0000665E">
        <w:rPr>
          <w:b/>
          <w:bCs/>
          <w:sz w:val="22"/>
          <w:szCs w:val="22"/>
        </w:rPr>
        <w:lastRenderedPageBreak/>
        <w:t>ingreso familiar</w:t>
      </w:r>
      <w:r w:rsidR="00EE441B" w:rsidRPr="0000665E">
        <w:rPr>
          <w:sz w:val="22"/>
          <w:szCs w:val="22"/>
        </w:rPr>
        <w:t xml:space="preserve">. El gráfico muestra una reducción pronunciada en la inercia hasta aproximadamente </w:t>
      </w:r>
      <w:r w:rsidR="00EE441B" w:rsidRPr="0000665E">
        <w:rPr>
          <w:b/>
          <w:bCs/>
          <w:sz w:val="22"/>
          <w:szCs w:val="22"/>
        </w:rPr>
        <w:t>k = 3</w:t>
      </w:r>
      <w:r w:rsidR="00EE441B" w:rsidRPr="0000665E">
        <w:rPr>
          <w:sz w:val="22"/>
          <w:szCs w:val="22"/>
        </w:rPr>
        <w:t xml:space="preserve">, a partir de donde las mejoras se vuelven marginales. Esto sugiere que el número óptimo de </w:t>
      </w:r>
      <w:proofErr w:type="spellStart"/>
      <w:proofErr w:type="gramStart"/>
      <w:r w:rsidR="00EE441B" w:rsidRPr="0000665E">
        <w:rPr>
          <w:sz w:val="22"/>
          <w:szCs w:val="22"/>
        </w:rPr>
        <w:t>clusters</w:t>
      </w:r>
      <w:proofErr w:type="spellEnd"/>
      <w:proofErr w:type="gramEnd"/>
      <w:r w:rsidR="00EE441B" w:rsidRPr="0000665E">
        <w:rPr>
          <w:sz w:val="22"/>
          <w:szCs w:val="22"/>
        </w:rPr>
        <w:t xml:space="preserve"> para la región del Gran Buenos Aires se sitúa en torno a </w:t>
      </w:r>
      <w:r w:rsidR="00EE441B" w:rsidRPr="0000665E">
        <w:rPr>
          <w:b/>
          <w:bCs/>
          <w:sz w:val="22"/>
          <w:szCs w:val="22"/>
        </w:rPr>
        <w:t>tres grupos</w:t>
      </w:r>
      <w:r w:rsidR="00EE441B" w:rsidRPr="0000665E">
        <w:rPr>
          <w:sz w:val="22"/>
          <w:szCs w:val="22"/>
        </w:rPr>
        <w:t>. Esta cantidad de agrupamientos permite captar diferencias socioeconómicas relevantes dentro de la población, distinguiendo no solo entre pobres y no pobres, sino también entre distintos niveles de ingreso o estabilidad económica.</w:t>
      </w:r>
    </w:p>
    <w:p w14:paraId="04BB772B" w14:textId="72EEB2C2" w:rsidR="00E0254F" w:rsidRDefault="001C61A1" w:rsidP="006D37AD">
      <w:pPr>
        <w:jc w:val="center"/>
        <w:rPr>
          <w:b/>
          <w:bCs/>
        </w:rPr>
      </w:pPr>
      <w:r>
        <w:rPr>
          <w:b/>
          <w:bCs/>
        </w:rPr>
        <w:t xml:space="preserve">Gráfico </w:t>
      </w:r>
      <w:r w:rsidR="00C41863">
        <w:rPr>
          <w:b/>
          <w:bCs/>
        </w:rPr>
        <w:t>7</w:t>
      </w:r>
      <w:r>
        <w:rPr>
          <w:b/>
          <w:bCs/>
        </w:rPr>
        <w:t xml:space="preserve">. </w:t>
      </w:r>
      <w:r w:rsidR="006D37AD">
        <w:rPr>
          <w:b/>
          <w:bCs/>
        </w:rPr>
        <w:t xml:space="preserve">Inspección visual de </w:t>
      </w:r>
      <w:proofErr w:type="spellStart"/>
      <w:r w:rsidR="00310811">
        <w:rPr>
          <w:b/>
          <w:bCs/>
        </w:rPr>
        <w:t>E</w:t>
      </w:r>
      <w:r w:rsidR="006D37AD">
        <w:rPr>
          <w:b/>
          <w:bCs/>
        </w:rPr>
        <w:t>lbow</w:t>
      </w:r>
      <w:proofErr w:type="spellEnd"/>
    </w:p>
    <w:p w14:paraId="2550B582" w14:textId="77777777" w:rsidR="00DC406A" w:rsidRPr="00936E5A" w:rsidRDefault="00DC406A" w:rsidP="00DC406A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13BB6228" wp14:editId="5158CF61">
            <wp:extent cx="3473450" cy="2148996"/>
            <wp:effectExtent l="0" t="0" r="0" b="3810"/>
            <wp:docPr id="2002929901" name="Imagen 2" descr="No se ha proporcionado ninguna descripción para esta imag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se ha proporcionado ninguna descripción para esta imag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357" cy="216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p w14:paraId="1A9F68AE" w14:textId="4116050B" w:rsidR="00A449E4" w:rsidRPr="00A449E4" w:rsidRDefault="00D03004" w:rsidP="00A555B0">
      <w:pPr>
        <w:pStyle w:val="Prrafodelista"/>
        <w:numPr>
          <w:ilvl w:val="1"/>
          <w:numId w:val="1"/>
        </w:numPr>
        <w:spacing w:line="259" w:lineRule="auto"/>
        <w:rPr>
          <w:b/>
          <w:bCs/>
        </w:rPr>
      </w:pPr>
      <w:proofErr w:type="spellStart"/>
      <w:r>
        <w:rPr>
          <w:b/>
          <w:bCs/>
        </w:rPr>
        <w:t>C</w:t>
      </w:r>
      <w:r w:rsidRPr="00170EEC">
        <w:rPr>
          <w:b/>
          <w:bCs/>
        </w:rPr>
        <w:t>lustering</w:t>
      </w:r>
      <w:proofErr w:type="spellEnd"/>
      <w:r w:rsidR="00A449E4">
        <w:rPr>
          <w:b/>
          <w:bCs/>
        </w:rPr>
        <w:t xml:space="preserve"> jerárquico</w:t>
      </w:r>
    </w:p>
    <w:p w14:paraId="250EE91B" w14:textId="7B5657D1" w:rsidR="00ED1798" w:rsidRPr="00ED1798" w:rsidRDefault="00A449E4" w:rsidP="00ED1798">
      <w:pPr>
        <w:jc w:val="both"/>
        <w:rPr>
          <w:sz w:val="22"/>
          <w:szCs w:val="22"/>
        </w:rPr>
      </w:pPr>
      <w:r w:rsidRPr="00ED1798">
        <w:rPr>
          <w:sz w:val="22"/>
          <w:szCs w:val="22"/>
        </w:rPr>
        <w:t>Ahora realizamos e</w:t>
      </w:r>
      <w:r w:rsidR="00554046" w:rsidRPr="00ED1798">
        <w:rPr>
          <w:sz w:val="22"/>
          <w:szCs w:val="22"/>
        </w:rPr>
        <w:t xml:space="preserve">l </w:t>
      </w:r>
      <w:proofErr w:type="spellStart"/>
      <w:r w:rsidR="00554046" w:rsidRPr="00ED1798">
        <w:rPr>
          <w:sz w:val="22"/>
          <w:szCs w:val="22"/>
        </w:rPr>
        <w:t>dendrograma</w:t>
      </w:r>
      <w:proofErr w:type="spellEnd"/>
      <w:r w:rsidR="00D03004" w:rsidRPr="00ED1798">
        <w:rPr>
          <w:sz w:val="22"/>
          <w:szCs w:val="22"/>
        </w:rPr>
        <w:t xml:space="preserve">, el cual nos </w:t>
      </w:r>
      <w:r w:rsidR="00554046" w:rsidRPr="00ED1798">
        <w:rPr>
          <w:sz w:val="22"/>
          <w:szCs w:val="22"/>
        </w:rPr>
        <w:t xml:space="preserve">permite visualizar la estructura jerárquica de los grupos formados a partir de las variables edad e ingreso familiar. Cada unión entre ramas representa una fusión entre individuos o grupos similares según la distancia euclídea. Se observa que los primeros conglomerados se forman entre observaciones con ingresos y edades cercanas, mientras que las divisiones principales reflejan contrastes más marcados en el nivel de ingreso. En este sentido, el </w:t>
      </w:r>
      <w:proofErr w:type="spellStart"/>
      <w:r w:rsidR="00554046" w:rsidRPr="00ED1798">
        <w:rPr>
          <w:sz w:val="22"/>
          <w:szCs w:val="22"/>
        </w:rPr>
        <w:t>dendrograma</w:t>
      </w:r>
      <w:proofErr w:type="spellEnd"/>
      <w:r w:rsidR="00554046" w:rsidRPr="00ED1798">
        <w:rPr>
          <w:sz w:val="22"/>
          <w:szCs w:val="22"/>
        </w:rPr>
        <w:t xml:space="preserve"> evidencia la existencia de grupos socioeconómicos diferenciados, aunque no una separación exacta entre pobres y no pobres</w:t>
      </w:r>
      <w:r w:rsidR="00ED1798" w:rsidRPr="00ED1798">
        <w:rPr>
          <w:sz w:val="22"/>
          <w:szCs w:val="22"/>
        </w:rPr>
        <w:t>.</w:t>
      </w:r>
    </w:p>
    <w:p w14:paraId="5F584675" w14:textId="7D0BEFA9" w:rsidR="00170EEC" w:rsidRPr="00170EEC" w:rsidRDefault="00170EEC" w:rsidP="00170EEC">
      <w:pPr>
        <w:jc w:val="center"/>
        <w:rPr>
          <w:b/>
          <w:bCs/>
        </w:rPr>
      </w:pPr>
      <w:r>
        <w:rPr>
          <w:b/>
          <w:bCs/>
        </w:rPr>
        <w:t xml:space="preserve">Gráfico </w:t>
      </w:r>
      <w:r w:rsidR="00C41863">
        <w:rPr>
          <w:b/>
          <w:bCs/>
        </w:rPr>
        <w:t>8</w:t>
      </w:r>
      <w:r>
        <w:rPr>
          <w:b/>
          <w:bCs/>
        </w:rPr>
        <w:t xml:space="preserve">. </w:t>
      </w:r>
      <w:proofErr w:type="spellStart"/>
      <w:r w:rsidRPr="00170EEC">
        <w:rPr>
          <w:b/>
          <w:bCs/>
        </w:rPr>
        <w:t>Dendrograma</w:t>
      </w:r>
      <w:proofErr w:type="spellEnd"/>
      <w:r w:rsidRPr="00170EEC">
        <w:rPr>
          <w:b/>
          <w:bCs/>
        </w:rPr>
        <w:t xml:space="preserve"> del </w:t>
      </w:r>
      <w:proofErr w:type="spellStart"/>
      <w:r w:rsidRPr="00170EEC">
        <w:rPr>
          <w:b/>
          <w:bCs/>
        </w:rPr>
        <w:t>clustering</w:t>
      </w:r>
      <w:proofErr w:type="spellEnd"/>
      <w:r w:rsidRPr="00170EEC">
        <w:rPr>
          <w:b/>
          <w:bCs/>
        </w:rPr>
        <w:t xml:space="preserve"> jerárquico</w:t>
      </w:r>
    </w:p>
    <w:p w14:paraId="4D22BD45" w14:textId="658B6578" w:rsidR="00DC406A" w:rsidRDefault="00905908" w:rsidP="00170EEC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F2713E7" wp14:editId="55D6D1BC">
            <wp:simplePos x="0" y="0"/>
            <wp:positionH relativeFrom="column">
              <wp:posOffset>729615</wp:posOffset>
            </wp:positionH>
            <wp:positionV relativeFrom="paragraph">
              <wp:posOffset>1905</wp:posOffset>
            </wp:positionV>
            <wp:extent cx="4152265" cy="1822450"/>
            <wp:effectExtent l="0" t="0" r="635" b="6350"/>
            <wp:wrapNone/>
            <wp:docPr id="1117253653" name="Imagen 4" descr="No se ha proporcionado ninguna descripción para esta imag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se ha proporcionado ninguna descripción para esta image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26243" w14:textId="77777777" w:rsidR="00B82174" w:rsidRDefault="00B82174" w:rsidP="00ED1798">
      <w:pPr>
        <w:jc w:val="center"/>
        <w:rPr>
          <w:b/>
          <w:bCs/>
          <w:sz w:val="18"/>
          <w:szCs w:val="18"/>
          <w:lang w:val="es-ES"/>
        </w:rPr>
      </w:pPr>
    </w:p>
    <w:p w14:paraId="10EFD359" w14:textId="77777777" w:rsidR="00B82174" w:rsidRDefault="00B82174" w:rsidP="00ED1798">
      <w:pPr>
        <w:jc w:val="center"/>
        <w:rPr>
          <w:b/>
          <w:bCs/>
          <w:sz w:val="18"/>
          <w:szCs w:val="18"/>
          <w:lang w:val="es-ES"/>
        </w:rPr>
      </w:pPr>
    </w:p>
    <w:p w14:paraId="1CBC7C53" w14:textId="77777777" w:rsidR="00B82174" w:rsidRDefault="00B82174" w:rsidP="00ED1798">
      <w:pPr>
        <w:jc w:val="center"/>
        <w:rPr>
          <w:b/>
          <w:bCs/>
          <w:sz w:val="18"/>
          <w:szCs w:val="18"/>
          <w:lang w:val="es-ES"/>
        </w:rPr>
      </w:pPr>
    </w:p>
    <w:p w14:paraId="6DB97A5A" w14:textId="77777777" w:rsidR="00B82174" w:rsidRDefault="00B82174" w:rsidP="00ED1798">
      <w:pPr>
        <w:jc w:val="center"/>
        <w:rPr>
          <w:b/>
          <w:bCs/>
          <w:sz w:val="18"/>
          <w:szCs w:val="18"/>
          <w:lang w:val="es-ES"/>
        </w:rPr>
      </w:pPr>
    </w:p>
    <w:p w14:paraId="7AA4A4DB" w14:textId="77777777" w:rsidR="00B82174" w:rsidRDefault="00B82174" w:rsidP="00ED1798">
      <w:pPr>
        <w:jc w:val="center"/>
        <w:rPr>
          <w:b/>
          <w:bCs/>
          <w:sz w:val="18"/>
          <w:szCs w:val="18"/>
          <w:lang w:val="es-ES"/>
        </w:rPr>
      </w:pPr>
    </w:p>
    <w:p w14:paraId="7D9DAB08" w14:textId="77777777" w:rsidR="00B82174" w:rsidRDefault="00B82174" w:rsidP="00ED1798">
      <w:pPr>
        <w:jc w:val="center"/>
        <w:rPr>
          <w:b/>
          <w:bCs/>
          <w:sz w:val="18"/>
          <w:szCs w:val="18"/>
          <w:lang w:val="es-ES"/>
        </w:rPr>
      </w:pPr>
    </w:p>
    <w:p w14:paraId="0CB82FDF" w14:textId="24B73BDB" w:rsidR="00ED1798" w:rsidRPr="00ED1798" w:rsidRDefault="00E16EB1" w:rsidP="00ED1798">
      <w:pPr>
        <w:jc w:val="center"/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Fuente</w:t>
      </w:r>
      <w:r w:rsidRPr="00A25860">
        <w:rPr>
          <w:b/>
          <w:bCs/>
          <w:sz w:val="18"/>
          <w:szCs w:val="18"/>
          <w:lang w:val="es-ES"/>
        </w:rPr>
        <w:t xml:space="preserve">: </w:t>
      </w:r>
      <w:r>
        <w:rPr>
          <w:b/>
          <w:bCs/>
          <w:sz w:val="18"/>
          <w:szCs w:val="18"/>
          <w:lang w:val="es-ES"/>
        </w:rPr>
        <w:t>Elaboración propia a partir de la EPH 2005 Y 2025</w:t>
      </w:r>
      <w:r w:rsidRPr="00A25860">
        <w:rPr>
          <w:b/>
          <w:bCs/>
          <w:sz w:val="18"/>
          <w:szCs w:val="18"/>
          <w:lang w:val="es-ES"/>
        </w:rPr>
        <w:t>.</w:t>
      </w:r>
    </w:p>
    <w:sectPr w:rsidR="00ED1798" w:rsidRPr="00ED1798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DBEA3" w14:textId="77777777" w:rsidR="00706E36" w:rsidRDefault="00706E36" w:rsidP="00706E36">
      <w:pPr>
        <w:spacing w:after="0" w:line="240" w:lineRule="auto"/>
      </w:pPr>
      <w:r>
        <w:separator/>
      </w:r>
    </w:p>
  </w:endnote>
  <w:endnote w:type="continuationSeparator" w:id="0">
    <w:p w14:paraId="36D8C290" w14:textId="77777777" w:rsidR="00706E36" w:rsidRDefault="00706E36" w:rsidP="0070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4349235"/>
      <w:docPartObj>
        <w:docPartGallery w:val="Page Numbers (Bottom of Page)"/>
        <w:docPartUnique/>
      </w:docPartObj>
    </w:sdtPr>
    <w:sdtContent>
      <w:p w14:paraId="07AC0277" w14:textId="6A61EBD6" w:rsidR="00706E36" w:rsidRDefault="00706E3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74F5DA" w14:textId="77777777" w:rsidR="00706E36" w:rsidRDefault="00706E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8232D" w14:textId="77777777" w:rsidR="00706E36" w:rsidRDefault="00706E36" w:rsidP="00706E36">
      <w:pPr>
        <w:spacing w:after="0" w:line="240" w:lineRule="auto"/>
      </w:pPr>
      <w:r>
        <w:separator/>
      </w:r>
    </w:p>
  </w:footnote>
  <w:footnote w:type="continuationSeparator" w:id="0">
    <w:p w14:paraId="31947607" w14:textId="77777777" w:rsidR="00706E36" w:rsidRDefault="00706E36" w:rsidP="00706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33BA6"/>
    <w:multiLevelType w:val="multilevel"/>
    <w:tmpl w:val="1AC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B4DC4"/>
    <w:multiLevelType w:val="multilevel"/>
    <w:tmpl w:val="FD346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F507AD"/>
    <w:multiLevelType w:val="multilevel"/>
    <w:tmpl w:val="FD346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AB23990"/>
    <w:multiLevelType w:val="multilevel"/>
    <w:tmpl w:val="FD346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D1D5336"/>
    <w:multiLevelType w:val="multilevel"/>
    <w:tmpl w:val="FD346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52F6173"/>
    <w:multiLevelType w:val="multilevel"/>
    <w:tmpl w:val="FD346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79F611B"/>
    <w:multiLevelType w:val="multilevel"/>
    <w:tmpl w:val="FD346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9B67BCD"/>
    <w:multiLevelType w:val="hybridMultilevel"/>
    <w:tmpl w:val="606A4A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684540">
    <w:abstractNumId w:val="5"/>
  </w:num>
  <w:num w:numId="2" w16cid:durableId="288704373">
    <w:abstractNumId w:val="4"/>
  </w:num>
  <w:num w:numId="3" w16cid:durableId="5792722">
    <w:abstractNumId w:val="0"/>
  </w:num>
  <w:num w:numId="4" w16cid:durableId="109395551">
    <w:abstractNumId w:val="3"/>
  </w:num>
  <w:num w:numId="5" w16cid:durableId="1381200185">
    <w:abstractNumId w:val="7"/>
  </w:num>
  <w:num w:numId="6" w16cid:durableId="535197088">
    <w:abstractNumId w:val="1"/>
  </w:num>
  <w:num w:numId="7" w16cid:durableId="465589958">
    <w:abstractNumId w:val="2"/>
  </w:num>
  <w:num w:numId="8" w16cid:durableId="134956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AD"/>
    <w:rsid w:val="0000665E"/>
    <w:rsid w:val="000249AD"/>
    <w:rsid w:val="00052517"/>
    <w:rsid w:val="00093E75"/>
    <w:rsid w:val="000F50E2"/>
    <w:rsid w:val="0012515C"/>
    <w:rsid w:val="00170EEC"/>
    <w:rsid w:val="001A708D"/>
    <w:rsid w:val="001C61A1"/>
    <w:rsid w:val="001E0C60"/>
    <w:rsid w:val="00265D85"/>
    <w:rsid w:val="002E6879"/>
    <w:rsid w:val="00310811"/>
    <w:rsid w:val="00343984"/>
    <w:rsid w:val="003521EA"/>
    <w:rsid w:val="003640AD"/>
    <w:rsid w:val="003849BC"/>
    <w:rsid w:val="004071DE"/>
    <w:rsid w:val="004C5AC7"/>
    <w:rsid w:val="004F0543"/>
    <w:rsid w:val="00517EFB"/>
    <w:rsid w:val="00554046"/>
    <w:rsid w:val="00572BCA"/>
    <w:rsid w:val="00606A7A"/>
    <w:rsid w:val="006169FE"/>
    <w:rsid w:val="0062536C"/>
    <w:rsid w:val="006D37AD"/>
    <w:rsid w:val="006E211F"/>
    <w:rsid w:val="00706E36"/>
    <w:rsid w:val="00774FD3"/>
    <w:rsid w:val="007F3BC7"/>
    <w:rsid w:val="00813E78"/>
    <w:rsid w:val="008B5608"/>
    <w:rsid w:val="00905908"/>
    <w:rsid w:val="00936E5A"/>
    <w:rsid w:val="009C2C8D"/>
    <w:rsid w:val="009F05DA"/>
    <w:rsid w:val="009F5B8D"/>
    <w:rsid w:val="00A449E4"/>
    <w:rsid w:val="00A555B0"/>
    <w:rsid w:val="00AA4DFB"/>
    <w:rsid w:val="00B216E8"/>
    <w:rsid w:val="00B50E85"/>
    <w:rsid w:val="00B82174"/>
    <w:rsid w:val="00BA7F70"/>
    <w:rsid w:val="00C41863"/>
    <w:rsid w:val="00CB34ED"/>
    <w:rsid w:val="00CD3259"/>
    <w:rsid w:val="00D0005D"/>
    <w:rsid w:val="00D03004"/>
    <w:rsid w:val="00D114CC"/>
    <w:rsid w:val="00D4054C"/>
    <w:rsid w:val="00D7017D"/>
    <w:rsid w:val="00D87A1E"/>
    <w:rsid w:val="00DB7BA0"/>
    <w:rsid w:val="00DC406A"/>
    <w:rsid w:val="00E0254F"/>
    <w:rsid w:val="00E16EB1"/>
    <w:rsid w:val="00E52343"/>
    <w:rsid w:val="00E73017"/>
    <w:rsid w:val="00ED1798"/>
    <w:rsid w:val="00EE441B"/>
    <w:rsid w:val="00EF0E3B"/>
    <w:rsid w:val="00EF4643"/>
    <w:rsid w:val="00F10425"/>
    <w:rsid w:val="00F8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B750"/>
  <w15:chartTrackingRefBased/>
  <w15:docId w15:val="{CE95F5D4-0476-4BD1-96B0-9F28B595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9AD"/>
    <w:pPr>
      <w:spacing w:line="278" w:lineRule="auto"/>
    </w:pPr>
    <w:rPr>
      <w:rFonts w:eastAsiaTheme="minorEastAsia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24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4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4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4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4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4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4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4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4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4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4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4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49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49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49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49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49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49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4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4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4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4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4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49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49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49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4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49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49A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249AD"/>
    <w:rPr>
      <w:color w:val="467886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174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06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E36"/>
    <w:rPr>
      <w:rFonts w:eastAsiaTheme="minorEastAsia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706E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E36"/>
    <w:rPr>
      <w:rFonts w:eastAsiaTheme="minorEastAsia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nthalchs/BigDataUBA-Grupo6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1569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Julian Pineda Toro</dc:creator>
  <cp:keywords/>
  <dc:description/>
  <cp:lastModifiedBy>Edgar Julian Pineda Toro</cp:lastModifiedBy>
  <cp:revision>29</cp:revision>
  <cp:lastPrinted>2025-10-24T15:37:00Z</cp:lastPrinted>
  <dcterms:created xsi:type="dcterms:W3CDTF">2025-10-24T15:30:00Z</dcterms:created>
  <dcterms:modified xsi:type="dcterms:W3CDTF">2025-10-24T15:38:00Z</dcterms:modified>
</cp:coreProperties>
</file>