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1B365D"/>
          <w:sz w:val="52"/>
        </w:rPr>
        <w:t>MODUL PANDUAN BELAJAR ERPNEXT</w:t>
      </w:r>
    </w:p>
    <w:p>
      <w:pPr>
        <w:spacing w:before="0" w:after="320"/>
      </w:pPr>
      <w:r>
        <w:rPr>
          <w:rFonts w:ascii="Calibri" w:hAnsi="Calibri"/>
          <w:color w:val="2B6CB0"/>
          <w:sz w:val="26"/>
        </w:rPr>
        <w:t>Panduan Dasar hingga Praktis: Arsitektur Sistem, Modul Operasional, Instalasi, dan Pengembangan Sistem</w:t>
      </w:r>
    </w:p>
    <w:tbl>
      <w:tblPr>
        <w:tblW w:type="auto" w:w="0"/>
        <w:jc w:val="center"/>
        <w:tblLayout w:type="fixed"/>
        <w:tblLook w:firstColumn="1" w:firstRow="1" w:lastColumn="0" w:lastRow="0" w:noHBand="0" w:noVBand="1" w:val="04A0"/>
      </w:tblPr>
      <w:tblGrid>
        <w:gridCol w:w="4680"/>
        <w:gridCol w:w="4680"/>
      </w:tblGrid>
      <w:tr>
        <w:tc>
          <w:tcPr>
            <w:tcW w:type="dxa" w:w="4680"/>
            <w:shd w:fill="F0F4F8"/>
            <w:tcMar>
              <w:top w:w="80" w:type="dxa"/>
              <w:bottom w:w="80" w:type="dxa"/>
              <w:left w:w="120" w:type="dxa"/>
              <w:right w:w="120" w:type="dxa"/>
            </w:tcMar>
          </w:tcPr>
          <w:p>
            <w:r>
              <w:rPr>
                <w:b/>
                <w:sz w:val="19"/>
              </w:rPr>
              <w:t xml:space="preserve">Target Pembaca: </w:t>
            </w:r>
            <w:r>
              <w:rPr>
                <w:sz w:val="19"/>
              </w:rPr>
              <w:t>Pengguna Akhir, Sysadmin &amp; Developer</w:t>
            </w:r>
          </w:p>
        </w:tc>
        <w:tc>
          <w:tcPr>
            <w:tcW w:type="dxa" w:w="4680"/>
            <w:shd w:fill="F0F4F8"/>
            <w:tcMar>
              <w:top w:w="80" w:type="dxa"/>
              <w:bottom w:w="80" w:type="dxa"/>
              <w:left w:w="120" w:type="dxa"/>
              <w:right w:w="120" w:type="dxa"/>
            </w:tcMar>
          </w:tcPr>
          <w:p>
            <w:r>
              <w:rPr>
                <w:b/>
                <w:sz w:val="19"/>
              </w:rPr>
              <w:t xml:space="preserve">Lisensi Software: </w:t>
            </w:r>
            <w:r>
              <w:rPr>
                <w:sz w:val="19"/>
              </w:rPr>
              <w:t>Open Source (GPL-3.0)</w:t>
            </w:r>
          </w:p>
        </w:tc>
      </w:tr>
      <w:tr>
        <w:tc>
          <w:tcPr>
            <w:tcW w:type="dxa" w:w="4680"/>
            <w:shd w:fill="F0F4F8"/>
            <w:tcMar>
              <w:top w:w="80" w:type="dxa"/>
              <w:bottom w:w="80" w:type="dxa"/>
              <w:left w:w="120" w:type="dxa"/>
              <w:right w:w="120" w:type="dxa"/>
            </w:tcMar>
          </w:tcPr>
          <w:p>
            <w:r>
              <w:rPr>
                <w:b/>
                <w:sz w:val="19"/>
              </w:rPr>
              <w:t xml:space="preserve">Basis Framework: </w:t>
            </w:r>
            <w:r>
              <w:rPr>
                <w:sz w:val="19"/>
              </w:rPr>
              <w:t>Frappe Framework &amp; Frappe UI</w:t>
            </w:r>
          </w:p>
        </w:tc>
        <w:tc>
          <w:tcPr>
            <w:tcW w:type="dxa" w:w="4680"/>
            <w:shd w:fill="F0F4F8"/>
            <w:tcMar>
              <w:top w:w="80" w:type="dxa"/>
              <w:bottom w:w="80" w:type="dxa"/>
              <w:left w:w="120" w:type="dxa"/>
              <w:right w:w="120" w:type="dxa"/>
            </w:tcMar>
          </w:tcPr>
          <w:p>
            <w:r>
              <w:rPr>
                <w:b/>
                <w:sz w:val="19"/>
              </w:rPr>
              <w:t xml:space="preserve">Status Repositori: </w:t>
            </w:r>
            <w:r>
              <w:rPr>
                <w:sz w:val="19"/>
              </w:rPr>
              <w:t>39.6k Stars | 12.9k Forks</w:t>
            </w:r>
          </w:p>
        </w:tc>
      </w:tr>
    </w:tbl>
    <w:p>
      <w:pPr>
        <w:spacing w:before="240" w:after="240"/>
      </w:pPr>
    </w:p>
    <w:p>
      <w:pPr>
        <w:pStyle w:val="Heading1"/>
        <w:keepNext/>
        <w:spacing w:before="360" w:after="120"/>
        <w:pBdr>
          <w:bottom w:val="single" w:sz="12" w:space="4" w:color="2B6CB0"/>
        </w:pBdr>
      </w:pPr>
      <w:r>
        <w:rPr>
          <w:rFonts w:ascii="Calibri" w:hAnsi="Calibri"/>
          <w:b/>
          <w:color w:val="1B365D"/>
          <w:sz w:val="36"/>
        </w:rPr>
        <w:t>Daftar Isi Modul</w:t>
      </w:r>
    </w:p>
    <w:p>
      <w:pPr>
        <w:spacing w:after="120"/>
      </w:pPr>
      <w:r>
        <w:rPr>
          <w:i/>
          <w:color w:val="718096"/>
          <w:sz w:val="19"/>
        </w:rPr>
        <w:t>(Daftar isi di bawah ini dikompilasi secara otomatis. Saat membuka dokumen ini di Microsoft Word atau Google Docs, klik kanan tabel dan pilih 'Update Field' jika diperlukan).</w:t>
      </w:r>
    </w:p>
    <w:p>
      <w:pPr>
        <w:spacing w:before="80" w:after="360"/>
      </w:pPr>
      <w:r>
        <w:fldChar w:fldCharType="begin"/>
        <w:instrText xml:space="preserve"> TOC \o "1-3" \h \z \u </w:instrText>
        <w:fldChar w:fldCharType="separate"/>
        <w:fldChar w:fldCharType="end"/>
      </w:r>
    </w:p>
    <w:p>
      <w:pPr>
        <w:spacing w:after="240"/>
      </w:pPr>
      <w:r>
        <w:rPr>
          <w:sz w:val="20"/>
        </w:rPr>
        <w:t>• Modul 1: Pengenalan &amp; Arsitektur Utama ERPNext</w:t>
        <w:br/>
        <w:t>• Modul 2: Modul Operasional &amp; Fitur Utama Bisnis</w:t>
        <w:br/>
        <w:t>• Modul 3: Metode Instalasi &amp; Lingkungan Deployment</w:t>
        <w:br/>
        <w:t>• Modul 4: Roadmap Pembelajaran &amp; Sumber Daya Komunitas</w:t>
      </w:r>
    </w:p>
    <w:p>
      <w:pPr>
        <w:pStyle w:val="Heading1"/>
        <w:keepNext/>
        <w:spacing w:before="360" w:after="120"/>
        <w:pBdr>
          <w:bottom w:val="single" w:sz="12" w:space="4" w:color="2B6CB0"/>
        </w:pBdr>
      </w:pPr>
      <w:r>
        <w:rPr>
          <w:rFonts w:ascii="Calibri" w:hAnsi="Calibri"/>
          <w:b/>
          <w:color w:val="1B365D"/>
          <w:sz w:val="36"/>
        </w:rPr>
        <w:t>Modul 1: Pengenalan &amp; Arsitektur Utama ERPNext</w:t>
      </w:r>
    </w:p>
    <w:p>
      <w:pPr>
        <w:pStyle w:val="Heading2"/>
        <w:keepNext/>
        <w:spacing w:before="280" w:after="80"/>
      </w:pPr>
      <w:r>
        <w:rPr>
          <w:rFonts w:ascii="Calibri" w:hAnsi="Calibri"/>
          <w:b/>
          <w:color w:val="2B6CB0"/>
          <w:sz w:val="28"/>
        </w:rPr>
        <w:t>1.1 Filosofi Enterprise Resource Planning Open-Source</w:t>
      </w:r>
    </w:p>
    <w:p>
      <w:r>
        <w:t>Mengelola operasional bisnis modern membutuhkan koordinasi erat antar berbagai divisi, mulai dari keuangan, inventaris, manufaktur, hingga sumber daya manusia. Dalam praktek tradisional, perusahaan sering menggunakan perangkat lunak terpisah untuk setiap fungsi tersebut, yang menyebabkan fragmentasi data, biaya lisensi tinggi, dan ketidaksinkronan informasi. ERPNext hadir sebagai solusi Enterprise Resource Planning (ERP) 100% open-source dengan lisensi GNU General Public License (GPL-3.0) yang menyatukan seluruh kebutuhan operasional bisnis ke dalam satu platform terpusat.</w:t>
      </w:r>
    </w:p>
    <w:p>
      <w:r>
        <w:t>Repositori utama ERPNext dikembangkan secara aktif oleh komunitas global dan tim Frappe Technologies. Hingga saat ini, repositori ini telah meraih lebih dari 39.600 stars, 12.900 forks, dan melibatkan lebih dari 739 kontributor aktif dengan riwayat lebih dari 1.800 rilis versi resmi (versi utama saat ini mencapai v16.36.0).</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top w:val="none"/>
              <w:left w:val="single" w:sz="24" w:space="0" w:color="1B365D"/>
              <w:bottom w:val="none"/>
              <w:right w:val="none"/>
            </w:tcBorders>
          </w:tcPr>
          <w:p>
            <w:pPr>
              <w:spacing w:before="40" w:after="40"/>
            </w:pPr>
            <w:r>
              <w:rPr>
                <w:rFonts w:ascii="Calibri" w:hAnsi="Calibri"/>
                <w:b/>
                <w:color w:val="1B365D"/>
                <w:sz w:val="21"/>
              </w:rPr>
              <w:t>📌 Mengapa Memilih ERPNext?</w:t>
              <w:br/>
            </w:r>
            <w:r>
              <w:rPr>
                <w:rFonts w:ascii="Calibri" w:hAnsi="Calibri"/>
                <w:color w:val="2D3748"/>
                <w:sz w:val="20"/>
              </w:rPr>
              <w:t>ERPNext menyediakan alternatif bebas lisensi berulang (license-fee free) dibanding perangkat lunak ERP proprietary. Platform ini memberikan kontrol penuh atas data perusahaan, fleksibilitas kustomisasi tanpa batas, dan transparansi kode sumber.</w:t>
            </w:r>
          </w:p>
        </w:tc>
      </w:tr>
    </w:tbl>
    <w:p>
      <w:pPr>
        <w:spacing w:before="0" w:after="80"/>
      </w:pPr>
    </w:p>
    <w:p>
      <w:pPr>
        <w:pStyle w:val="Heading2"/>
        <w:keepNext/>
        <w:spacing w:before="280" w:after="80"/>
      </w:pPr>
      <w:r>
        <w:rPr>
          <w:rFonts w:ascii="Calibri" w:hAnsi="Calibri"/>
          <w:b/>
          <w:color w:val="2B6CB0"/>
          <w:sz w:val="28"/>
        </w:rPr>
        <w:t>1.2 Arsitektur Sistem: Frappe Framework &amp; Frappe UI</w:t>
      </w:r>
    </w:p>
    <w:p>
      <w:r>
        <w:t>Keunggulan teknis ERPNext bersumber dari fondasi arsitektur modern yang melandasinya, yaitu Frappe Framework dan Frappe UI:</w:t>
      </w:r>
    </w:p>
    <w:p>
      <w:pPr>
        <w:pStyle w:val="ListBullet"/>
      </w:pPr>
      <w:r>
        <w:rPr>
          <w:b/>
        </w:rPr>
        <w:t xml:space="preserve">Frappe Framework: </w:t>
      </w:r>
      <w:r>
        <w:t>Merupakan full-stack web application framework berbasis Python dan JavaScript. Framework ini menyediakan komponen inti seperti lapisan abstraksi basis data (Database Abstraction Layer/ORM), sistem manajemen autentikasi &amp; otorisasi peran, penjadwalan tugas (background jobs), serta pembuatan REST API otomatis untuk seluruh entitas data (DocType).</w:t>
      </w:r>
    </w:p>
    <w:p>
      <w:pPr>
        <w:pStyle w:val="ListBullet"/>
      </w:pPr>
      <w:r>
        <w:rPr>
          <w:b/>
        </w:rPr>
        <w:t xml:space="preserve">Frappe UI: </w:t>
      </w:r>
      <w:r>
        <w:t>Merupakan pustaka antarmuka pengguna modern berbasis Vue.js. Frappe UI menyediakan komponen antarmuka yang siap pakai untuk membangun Single Page Applications (SPA) yang responsif, interaktif, dan cepat di atas struktur backend Frappe.</w:t>
      </w:r>
    </w:p>
    <w:p>
      <w:pPr>
        <w:pStyle w:val="Heading2"/>
        <w:keepNext/>
        <w:spacing w:before="280" w:after="80"/>
      </w:pPr>
      <w:r>
        <w:rPr>
          <w:rFonts w:ascii="Calibri" w:hAnsi="Calibri"/>
          <w:b/>
          <w:color w:val="2B6CB0"/>
          <w:sz w:val="28"/>
        </w:rPr>
        <w:t>1.3 Komposisi Kode &amp; Bahasa Pemrograman</w:t>
      </w:r>
    </w:p>
    <w:p>
      <w:r>
        <w:t>Repositori ERPNext dibangun mengombinasikan beberapa bahasa pemrograman utama untuk mengoptimalkan kinerja logika bisnis backend dan antarmuka frontend:</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B365D"/>
            <w:tcMar>
              <w:top w:w="120" w:type="dxa"/>
              <w:bottom w:w="120" w:type="dxa"/>
              <w:left w:w="150" w:type="dxa"/>
              <w:right w:w="150" w:type="dxa"/>
            </w:tcMar>
          </w:tcPr>
          <w:p>
            <w:pPr>
              <w:jc w:val="left"/>
            </w:pPr>
            <w:r>
              <w:rPr>
                <w:b/>
                <w:color w:val="FFFFFF"/>
              </w:rPr>
              <w:t>Bahasa Pemrograman</w:t>
            </w:r>
          </w:p>
        </w:tc>
        <w:tc>
          <w:tcPr>
            <w:tcW w:type="dxa" w:w="2160"/>
            <w:shd w:fill="1B365D"/>
            <w:tcMar>
              <w:top w:w="120" w:type="dxa"/>
              <w:bottom w:w="120" w:type="dxa"/>
              <w:left w:w="150" w:type="dxa"/>
              <w:right w:w="150" w:type="dxa"/>
            </w:tcMar>
          </w:tcPr>
          <w:p>
            <w:pPr>
              <w:jc w:val="left"/>
            </w:pPr>
            <w:r>
              <w:rPr>
                <w:b/>
                <w:color w:val="FFFFFF"/>
              </w:rPr>
              <w:t>Persentase Kode</w:t>
            </w:r>
          </w:p>
        </w:tc>
        <w:tc>
          <w:tcPr>
            <w:tcW w:type="dxa" w:w="4320"/>
            <w:shd w:fill="1B365D"/>
            <w:tcMar>
              <w:top w:w="120" w:type="dxa"/>
              <w:bottom w:w="120" w:type="dxa"/>
              <w:left w:w="150" w:type="dxa"/>
              <w:right w:w="150" w:type="dxa"/>
            </w:tcMar>
          </w:tcPr>
          <w:p>
            <w:pPr>
              <w:jc w:val="left"/>
            </w:pPr>
            <w:r>
              <w:rPr>
                <w:b/>
                <w:color w:val="FFFFFF"/>
              </w:rPr>
              <w:t>Peran dalam Arsitektur ERPNext</w:t>
            </w:r>
          </w:p>
        </w:tc>
      </w:tr>
      <w:tr>
        <w:tc>
          <w:tcPr>
            <w:tcW w:type="dxa" w:w="2880"/>
            <w:shd w:fill="F7FAFC"/>
            <w:tcMar>
              <w:top w:w="80" w:type="dxa"/>
              <w:bottom w:w="80" w:type="dxa"/>
              <w:left w:w="120" w:type="dxa"/>
              <w:right w:w="120" w:type="dxa"/>
            </w:tcMar>
          </w:tcPr>
          <w:p>
            <w:r>
              <w:rPr>
                <w:sz w:val="20"/>
              </w:rPr>
              <w:t>Python</w:t>
            </w:r>
          </w:p>
        </w:tc>
        <w:tc>
          <w:tcPr>
            <w:tcW w:type="dxa" w:w="2160"/>
            <w:shd w:fill="F7FAFC"/>
            <w:tcMar>
              <w:top w:w="80" w:type="dxa"/>
              <w:bottom w:w="80" w:type="dxa"/>
              <w:left w:w="120" w:type="dxa"/>
              <w:right w:w="120" w:type="dxa"/>
            </w:tcMar>
          </w:tcPr>
          <w:p>
            <w:r>
              <w:rPr>
                <w:sz w:val="20"/>
              </w:rPr>
              <w:t>79.0%</w:t>
            </w:r>
          </w:p>
        </w:tc>
        <w:tc>
          <w:tcPr>
            <w:tcW w:type="dxa" w:w="4320"/>
            <w:shd w:fill="F7FAFC"/>
            <w:tcMar>
              <w:top w:w="80" w:type="dxa"/>
              <w:bottom w:w="80" w:type="dxa"/>
              <w:left w:w="120" w:type="dxa"/>
              <w:right w:w="120" w:type="dxa"/>
            </w:tcMar>
          </w:tcPr>
          <w:p>
            <w:r>
              <w:rPr>
                <w:sz w:val="20"/>
              </w:rPr>
              <w:t>Logika bisnis backend, controller DocType, ORM, REST API, dan kalkulasi transaksi.</w:t>
            </w:r>
          </w:p>
        </w:tc>
      </w:tr>
      <w:tr>
        <w:tc>
          <w:tcPr>
            <w:tcW w:type="dxa" w:w="2880"/>
            <w:shd w:fill="FFFFFF"/>
            <w:tcMar>
              <w:top w:w="80" w:type="dxa"/>
              <w:bottom w:w="80" w:type="dxa"/>
              <w:left w:w="120" w:type="dxa"/>
              <w:right w:w="120" w:type="dxa"/>
            </w:tcMar>
          </w:tcPr>
          <w:p>
            <w:r>
              <w:rPr>
                <w:sz w:val="20"/>
              </w:rPr>
              <w:t>JavaScript</w:t>
            </w:r>
          </w:p>
        </w:tc>
        <w:tc>
          <w:tcPr>
            <w:tcW w:type="dxa" w:w="2160"/>
            <w:shd w:fill="FFFFFF"/>
            <w:tcMar>
              <w:top w:w="80" w:type="dxa"/>
              <w:bottom w:w="80" w:type="dxa"/>
              <w:left w:w="120" w:type="dxa"/>
              <w:right w:w="120" w:type="dxa"/>
            </w:tcMar>
          </w:tcPr>
          <w:p>
            <w:r>
              <w:rPr>
                <w:sz w:val="20"/>
              </w:rPr>
              <w:t>14.1%</w:t>
            </w:r>
          </w:p>
        </w:tc>
        <w:tc>
          <w:tcPr>
            <w:tcW w:type="dxa" w:w="4320"/>
            <w:shd w:fill="FFFFFF"/>
            <w:tcMar>
              <w:top w:w="80" w:type="dxa"/>
              <w:bottom w:w="80" w:type="dxa"/>
              <w:left w:w="120" w:type="dxa"/>
              <w:right w:w="120" w:type="dxa"/>
            </w:tcMar>
          </w:tcPr>
          <w:p>
            <w:r>
              <w:rPr>
                <w:sz w:val="20"/>
              </w:rPr>
              <w:t>Skrip antarmuka klien (Client Scripts), logika formulir interaktif, dan event handler.</w:t>
            </w:r>
          </w:p>
        </w:tc>
      </w:tr>
      <w:tr>
        <w:tc>
          <w:tcPr>
            <w:tcW w:type="dxa" w:w="2880"/>
            <w:shd w:fill="F7FAFC"/>
            <w:tcMar>
              <w:top w:w="80" w:type="dxa"/>
              <w:bottom w:w="80" w:type="dxa"/>
              <w:left w:w="120" w:type="dxa"/>
              <w:right w:w="120" w:type="dxa"/>
            </w:tcMar>
          </w:tcPr>
          <w:p>
            <w:r>
              <w:rPr>
                <w:sz w:val="20"/>
              </w:rPr>
              <w:t>TypeScript</w:t>
            </w:r>
          </w:p>
        </w:tc>
        <w:tc>
          <w:tcPr>
            <w:tcW w:type="dxa" w:w="2160"/>
            <w:shd w:fill="F7FAFC"/>
            <w:tcMar>
              <w:top w:w="80" w:type="dxa"/>
              <w:bottom w:w="80" w:type="dxa"/>
              <w:left w:w="120" w:type="dxa"/>
              <w:right w:w="120" w:type="dxa"/>
            </w:tcMar>
          </w:tcPr>
          <w:p>
            <w:r>
              <w:rPr>
                <w:sz w:val="20"/>
              </w:rPr>
              <w:t>4.6%</w:t>
            </w:r>
          </w:p>
        </w:tc>
        <w:tc>
          <w:tcPr>
            <w:tcW w:type="dxa" w:w="4320"/>
            <w:shd w:fill="F7FAFC"/>
            <w:tcMar>
              <w:top w:w="80" w:type="dxa"/>
              <w:bottom w:w="80" w:type="dxa"/>
              <w:left w:w="120" w:type="dxa"/>
              <w:right w:w="120" w:type="dxa"/>
            </w:tcMar>
          </w:tcPr>
          <w:p>
            <w:r>
              <w:rPr>
                <w:sz w:val="20"/>
              </w:rPr>
              <w:t>Pengembangan komponen antarmuka modern berbasis tipe terdefinisi pada Frappe UI.</w:t>
            </w:r>
          </w:p>
        </w:tc>
      </w:tr>
      <w:tr>
        <w:tc>
          <w:tcPr>
            <w:tcW w:type="dxa" w:w="2880"/>
            <w:shd w:fill="FFFFFF"/>
            <w:tcMar>
              <w:top w:w="80" w:type="dxa"/>
              <w:bottom w:w="80" w:type="dxa"/>
              <w:left w:w="120" w:type="dxa"/>
              <w:right w:w="120" w:type="dxa"/>
            </w:tcMar>
          </w:tcPr>
          <w:p>
            <w:r>
              <w:rPr>
                <w:sz w:val="20"/>
              </w:rPr>
              <w:t>HTML</w:t>
            </w:r>
          </w:p>
        </w:tc>
        <w:tc>
          <w:tcPr>
            <w:tcW w:type="dxa" w:w="2160"/>
            <w:shd w:fill="FFFFFF"/>
            <w:tcMar>
              <w:top w:w="80" w:type="dxa"/>
              <w:bottom w:w="80" w:type="dxa"/>
              <w:left w:w="120" w:type="dxa"/>
              <w:right w:w="120" w:type="dxa"/>
            </w:tcMar>
          </w:tcPr>
          <w:p>
            <w:r>
              <w:rPr>
                <w:sz w:val="20"/>
              </w:rPr>
              <w:t>1.7%</w:t>
            </w:r>
          </w:p>
        </w:tc>
        <w:tc>
          <w:tcPr>
            <w:tcW w:type="dxa" w:w="4320"/>
            <w:shd w:fill="FFFFFF"/>
            <w:tcMar>
              <w:top w:w="80" w:type="dxa"/>
              <w:bottom w:w="80" w:type="dxa"/>
              <w:left w:w="120" w:type="dxa"/>
              <w:right w:w="120" w:type="dxa"/>
            </w:tcMar>
          </w:tcPr>
          <w:p>
            <w:r>
              <w:rPr>
                <w:sz w:val="20"/>
              </w:rPr>
              <w:t>Template tampilan, format cetak (Print Formats), dan dokumen laporan Web.</w:t>
            </w:r>
          </w:p>
        </w:tc>
      </w:tr>
      <w:tr>
        <w:tc>
          <w:tcPr>
            <w:tcW w:type="dxa" w:w="2880"/>
            <w:shd w:fill="F7FAFC"/>
            <w:tcMar>
              <w:top w:w="80" w:type="dxa"/>
              <w:bottom w:w="80" w:type="dxa"/>
              <w:left w:w="120" w:type="dxa"/>
              <w:right w:w="120" w:type="dxa"/>
            </w:tcMar>
          </w:tcPr>
          <w:p>
            <w:r>
              <w:rPr>
                <w:sz w:val="20"/>
              </w:rPr>
              <w:t>Lainnya (CSS/Shell)</w:t>
            </w:r>
          </w:p>
        </w:tc>
        <w:tc>
          <w:tcPr>
            <w:tcW w:type="dxa" w:w="2160"/>
            <w:shd w:fill="F7FAFC"/>
            <w:tcMar>
              <w:top w:w="80" w:type="dxa"/>
              <w:bottom w:w="80" w:type="dxa"/>
              <w:left w:w="120" w:type="dxa"/>
              <w:right w:w="120" w:type="dxa"/>
            </w:tcMar>
          </w:tcPr>
          <w:p>
            <w:r>
              <w:rPr>
                <w:sz w:val="20"/>
              </w:rPr>
              <w:t>0.6%</w:t>
            </w:r>
          </w:p>
        </w:tc>
        <w:tc>
          <w:tcPr>
            <w:tcW w:type="dxa" w:w="4320"/>
            <w:shd w:fill="F7FAFC"/>
            <w:tcMar>
              <w:top w:w="80" w:type="dxa"/>
              <w:bottom w:w="80" w:type="dxa"/>
              <w:left w:w="120" w:type="dxa"/>
              <w:right w:w="120" w:type="dxa"/>
            </w:tcMar>
          </w:tcPr>
          <w:p>
            <w:r>
              <w:rPr>
                <w:sz w:val="20"/>
              </w:rPr>
              <w:t>Gaya visual antarmuka dan skrip otomatisasi instalasi/bench CLI.</w:t>
            </w:r>
          </w:p>
        </w:tc>
      </w:tr>
    </w:tbl>
    <w:p>
      <w:pPr>
        <w:spacing w:after="240"/>
      </w:pPr>
    </w:p>
    <w:p>
      <w:pPr>
        <w:pStyle w:val="Heading1"/>
        <w:keepNext/>
        <w:spacing w:before="360" w:after="120"/>
        <w:pBdr>
          <w:bottom w:val="single" w:sz="12" w:space="4" w:color="2B6CB0"/>
        </w:pBdr>
      </w:pPr>
      <w:r>
        <w:rPr>
          <w:rFonts w:ascii="Calibri" w:hAnsi="Calibri"/>
          <w:b/>
          <w:color w:val="1B365D"/>
          <w:sz w:val="36"/>
        </w:rPr>
        <w:t>Modul 2: Modul Operasional &amp; Fitur Utama Bisnis</w:t>
      </w:r>
    </w:p>
    <w:p>
      <w:r>
        <w:t>ERPNext menyediakan serangkaian modul terintegrasi yang mencakup seluruh spektrum kebutuhan operasional perusahaan. Berikut adalah penjelasan mendalam mengenai lima modul inti yang menjadi pilar operasional ERPNext:</w:t>
      </w:r>
    </w:p>
    <w:p>
      <w:pPr>
        <w:pStyle w:val="Heading2"/>
        <w:keepNext/>
        <w:spacing w:before="280" w:after="80"/>
      </w:pPr>
      <w:r>
        <w:rPr>
          <w:rFonts w:ascii="Calibri" w:hAnsi="Calibri"/>
          <w:b/>
          <w:color w:val="2B6CB0"/>
          <w:sz w:val="28"/>
        </w:rPr>
        <w:t>2.1 Accounting (Akuntansi &amp; Keuangan)</w:t>
      </w:r>
    </w:p>
    <w:p>
      <w:r>
        <w:t>Modul Akuntansi menyediakan alat lengkap untuk mengelola arus kas dan kesehatan keuangan perusahaan. Fungsi utamanya meliputi pencatatan jurnal umum otomatis dari transaksi penjualan dan pembelian, pengelolaan Chart of Accounts (Bagan Akun) multi-entitas, rekonsiliasi bank otomatis, manajemen piutang (Accounts Receivable), serta utang usaha (Accounts Payable). Modul ini secara otomatis menyajikan laporan keuangan standar seperti Laba Rugi (Profit and Loss), Neraca (Balance Sheet), dan Laporan Arus Kas (Cash Flow).</w:t>
      </w:r>
    </w:p>
    <w:p>
      <w:pPr>
        <w:pStyle w:val="Heading2"/>
        <w:keepNext/>
        <w:spacing w:before="280" w:after="80"/>
      </w:pPr>
      <w:r>
        <w:rPr>
          <w:rFonts w:ascii="Calibri" w:hAnsi="Calibri"/>
          <w:b/>
          <w:color w:val="2B6CB0"/>
          <w:sz w:val="28"/>
        </w:rPr>
        <w:t>2.2 Order Management (Manajemen Pesanan &amp; Stok)</w:t>
      </w:r>
    </w:p>
    <w:p>
      <w:r>
        <w:t>Modul ini menangani alur inventaris dan perdagangan dari hulu ke hilir. Pengguna dapat melacak tingkat stok barang secara real-time di berbagai gudang (multi-warehouse), mengatur aturan pemesanan ulang otomatis (auto-reorder thresholds), serta mengelola seluruh siklus penjualan (Quotation -&gt; Sales Order -&gt; Delivery Note -&gt; Sales Invoice) dan pembelian (Material Request -&gt; Purchase Order -&gt; Purchase Receipt -&gt; Purchase Invoice).</w:t>
      </w:r>
    </w:p>
    <w:p>
      <w:pPr>
        <w:pStyle w:val="Heading2"/>
        <w:keepNext/>
        <w:spacing w:before="280" w:after="80"/>
      </w:pPr>
      <w:r>
        <w:rPr>
          <w:rFonts w:ascii="Calibri" w:hAnsi="Calibri"/>
          <w:b/>
          <w:color w:val="2B6CB0"/>
          <w:sz w:val="28"/>
        </w:rPr>
        <w:t>2.3 Manufacturing (Manufaktur &amp; Produksi)</w:t>
      </w:r>
    </w:p>
    <w:p>
      <w:r>
        <w:t>Dirancang untuk industri pengolahan dan perakitan, modul Manufaktur menyederhanakan siklus produksi melalui perencanaan Bill of Materials (BOM) berlapis. Modul ini mendukung perencanaan kebutuhan material (MRP), penjadwalan Work Order, pelacakan konsumsi bahan baku, alokasi stasiun kerja (Workstations), perencanaan kapasitas produksi, hingga pekerjaan subkontrak (subcontracting).</w:t>
      </w:r>
    </w:p>
    <w:p>
      <w:pPr>
        <w:pStyle w:val="Heading2"/>
        <w:keepNext/>
        <w:spacing w:before="280" w:after="80"/>
      </w:pPr>
      <w:r>
        <w:rPr>
          <w:rFonts w:ascii="Calibri" w:hAnsi="Calibri"/>
          <w:b/>
          <w:color w:val="2B6CB0"/>
          <w:sz w:val="28"/>
        </w:rPr>
        <w:t>2.4 Asset Management (Manajemen Aset Organisasi)</w:t>
      </w:r>
    </w:p>
    <w:p>
      <w:r>
        <w:t>Modul Aset memungkinkan perusahaan memantau seluruh siklus hidup aset fisik, mulai dari akuisisi/pembelian, penjadwalan penyusutan nilai aset otomatis (depreciation entry), pemeliharaan berkala, hingga penghapusan/penjualan aset (disposal). Modul ini mencakup pemantauan infrastruktur IT, mesin manufaktur, hingga kendaraan operasional.</w:t>
      </w:r>
    </w:p>
    <w:p>
      <w:pPr>
        <w:pStyle w:val="Heading2"/>
        <w:keepNext/>
        <w:spacing w:before="280" w:after="80"/>
      </w:pPr>
      <w:r>
        <w:rPr>
          <w:rFonts w:ascii="Calibri" w:hAnsi="Calibri"/>
          <w:b/>
          <w:color w:val="2B6CB0"/>
          <w:sz w:val="28"/>
        </w:rPr>
        <w:t>2.5 Projects (Manajemen Proyek &amp; Timesheet)</w:t>
      </w:r>
    </w:p>
    <w:p>
      <w:r>
        <w:t>Modul Proyek memastikan pelaksanaan proyek internal maupun layanan klien berjalan tepat waktu dan sesuai anggaran. Fitur utamanya meliputi pembagian tugas (Tasks), tampilan Gantt Chart, pencatatan jam kerja karyawan (Timesheets), serta analisis profitabilitas proyek secara real-time yang terhubung langsung dengan invoicing dan beban biaya.</w:t>
      </w:r>
    </w:p>
    <w:p>
      <w:pPr>
        <w:pStyle w:val="Heading2"/>
        <w:keepNext/>
        <w:spacing w:before="280" w:after="80"/>
      </w:pPr>
      <w:r>
        <w:rPr>
          <w:rFonts w:ascii="Calibri" w:hAnsi="Calibri"/>
          <w:b/>
          <w:color w:val="2B6CB0"/>
          <w:sz w:val="28"/>
        </w:rPr>
        <w:t>2.6 Ringkasan Matriks Fitur Operasional</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Mar>
              <w:top w:w="120" w:type="dxa"/>
              <w:bottom w:w="120" w:type="dxa"/>
              <w:left w:w="150" w:type="dxa"/>
              <w:right w:w="150" w:type="dxa"/>
            </w:tcMar>
          </w:tcPr>
          <w:p>
            <w:r>
              <w:rPr>
                <w:b/>
                <w:color w:val="FFFFFF"/>
              </w:rPr>
              <w:t>Modul ERPNext</w:t>
            </w:r>
          </w:p>
        </w:tc>
        <w:tc>
          <w:tcPr>
            <w:tcW w:type="dxa" w:w="4608"/>
            <w:shd w:fill="1B365D"/>
            <w:tcMar>
              <w:top w:w="120" w:type="dxa"/>
              <w:bottom w:w="120" w:type="dxa"/>
              <w:left w:w="150" w:type="dxa"/>
              <w:right w:w="150" w:type="dxa"/>
            </w:tcMar>
          </w:tcPr>
          <w:p>
            <w:r>
              <w:rPr>
                <w:b/>
                <w:color w:val="FFFFFF"/>
              </w:rPr>
              <w:t>Fungsi Operasional Utama</w:t>
            </w:r>
          </w:p>
        </w:tc>
        <w:tc>
          <w:tcPr>
            <w:tcW w:type="dxa" w:w="2160"/>
            <w:shd w:fill="1B365D"/>
            <w:tcMar>
              <w:top w:w="120" w:type="dxa"/>
              <w:bottom w:w="120" w:type="dxa"/>
              <w:left w:w="150" w:type="dxa"/>
              <w:right w:w="150" w:type="dxa"/>
            </w:tcMar>
          </w:tcPr>
          <w:p>
            <w:r>
              <w:rPr>
                <w:b/>
                <w:color w:val="FFFFFF"/>
              </w:rPr>
              <w:t>Entitas Data Kunci (DocTypes)</w:t>
            </w:r>
          </w:p>
        </w:tc>
      </w:tr>
      <w:tr>
        <w:tc>
          <w:tcPr>
            <w:tcW w:type="dxa" w:w="2592"/>
            <w:shd w:fill="F7FAFC"/>
            <w:tcMar>
              <w:top w:w="80" w:type="dxa"/>
              <w:bottom w:w="80" w:type="dxa"/>
              <w:left w:w="120" w:type="dxa"/>
              <w:right w:w="120" w:type="dxa"/>
            </w:tcMar>
          </w:tcPr>
          <w:p>
            <w:r>
              <w:rPr>
                <w:sz w:val="20"/>
              </w:rPr>
              <w:t>Accounting</w:t>
            </w:r>
          </w:p>
        </w:tc>
        <w:tc>
          <w:tcPr>
            <w:tcW w:type="dxa" w:w="4608"/>
            <w:shd w:fill="F7FAFC"/>
            <w:tcMar>
              <w:top w:w="80" w:type="dxa"/>
              <w:bottom w:w="80" w:type="dxa"/>
              <w:left w:w="120" w:type="dxa"/>
              <w:right w:w="120" w:type="dxa"/>
            </w:tcMar>
          </w:tcPr>
          <w:p>
            <w:r>
              <w:rPr>
                <w:sz w:val="20"/>
              </w:rPr>
              <w:t>Pencatatan keuangan, jurnal, piutang/utang, laporan laba rugi.</w:t>
            </w:r>
          </w:p>
        </w:tc>
        <w:tc>
          <w:tcPr>
            <w:tcW w:type="dxa" w:w="2160"/>
            <w:shd w:fill="F7FAFC"/>
            <w:tcMar>
              <w:top w:w="80" w:type="dxa"/>
              <w:bottom w:w="80" w:type="dxa"/>
              <w:left w:w="120" w:type="dxa"/>
              <w:right w:w="120" w:type="dxa"/>
            </w:tcMar>
          </w:tcPr>
          <w:p>
            <w:r>
              <w:rPr>
                <w:sz w:val="20"/>
              </w:rPr>
              <w:t>Journal Entry, Sales Invoice, Payment Entry</w:t>
            </w:r>
          </w:p>
        </w:tc>
      </w:tr>
      <w:tr>
        <w:tc>
          <w:tcPr>
            <w:tcW w:type="dxa" w:w="2592"/>
            <w:shd w:fill="FFFFFF"/>
            <w:tcMar>
              <w:top w:w="80" w:type="dxa"/>
              <w:bottom w:w="80" w:type="dxa"/>
              <w:left w:w="120" w:type="dxa"/>
              <w:right w:w="120" w:type="dxa"/>
            </w:tcMar>
          </w:tcPr>
          <w:p>
            <w:r>
              <w:rPr>
                <w:sz w:val="20"/>
              </w:rPr>
              <w:t>Order Management</w:t>
            </w:r>
          </w:p>
        </w:tc>
        <w:tc>
          <w:tcPr>
            <w:tcW w:type="dxa" w:w="4608"/>
            <w:shd w:fill="FFFFFF"/>
            <w:tcMar>
              <w:top w:w="80" w:type="dxa"/>
              <w:bottom w:w="80" w:type="dxa"/>
              <w:left w:w="120" w:type="dxa"/>
              <w:right w:w="120" w:type="dxa"/>
            </w:tcMar>
          </w:tcPr>
          <w:p>
            <w:r>
              <w:rPr>
                <w:sz w:val="20"/>
              </w:rPr>
              <w:t>Pelacakan inventaris, pesanan penjualan, pengiriman, persediaan.</w:t>
            </w:r>
          </w:p>
        </w:tc>
        <w:tc>
          <w:tcPr>
            <w:tcW w:type="dxa" w:w="2160"/>
            <w:shd w:fill="FFFFFF"/>
            <w:tcMar>
              <w:top w:w="80" w:type="dxa"/>
              <w:bottom w:w="80" w:type="dxa"/>
              <w:left w:w="120" w:type="dxa"/>
              <w:right w:w="120" w:type="dxa"/>
            </w:tcMar>
          </w:tcPr>
          <w:p>
            <w:r>
              <w:rPr>
                <w:sz w:val="20"/>
              </w:rPr>
              <w:t>Item, Sales Order, Delivery Note, Stock Entry</w:t>
            </w:r>
          </w:p>
        </w:tc>
      </w:tr>
      <w:tr>
        <w:tc>
          <w:tcPr>
            <w:tcW w:type="dxa" w:w="2592"/>
            <w:shd w:fill="F7FAFC"/>
            <w:tcMar>
              <w:top w:w="80" w:type="dxa"/>
              <w:bottom w:w="80" w:type="dxa"/>
              <w:left w:w="120" w:type="dxa"/>
              <w:right w:w="120" w:type="dxa"/>
            </w:tcMar>
          </w:tcPr>
          <w:p>
            <w:r>
              <w:rPr>
                <w:sz w:val="20"/>
              </w:rPr>
              <w:t>Manufacturing</w:t>
            </w:r>
          </w:p>
        </w:tc>
        <w:tc>
          <w:tcPr>
            <w:tcW w:type="dxa" w:w="4608"/>
            <w:shd w:fill="F7FAFC"/>
            <w:tcMar>
              <w:top w:w="80" w:type="dxa"/>
              <w:bottom w:w="80" w:type="dxa"/>
              <w:left w:w="120" w:type="dxa"/>
              <w:right w:w="120" w:type="dxa"/>
            </w:tcMar>
          </w:tcPr>
          <w:p>
            <w:r>
              <w:rPr>
                <w:sz w:val="20"/>
              </w:rPr>
              <w:t>Perencanaan produksi, BOM, work order, konsumsi material.</w:t>
            </w:r>
          </w:p>
        </w:tc>
        <w:tc>
          <w:tcPr>
            <w:tcW w:type="dxa" w:w="2160"/>
            <w:shd w:fill="F7FAFC"/>
            <w:tcMar>
              <w:top w:w="80" w:type="dxa"/>
              <w:bottom w:w="80" w:type="dxa"/>
              <w:left w:w="120" w:type="dxa"/>
              <w:right w:w="120" w:type="dxa"/>
            </w:tcMar>
          </w:tcPr>
          <w:p>
            <w:r>
              <w:rPr>
                <w:sz w:val="20"/>
              </w:rPr>
              <w:t>BOM, Work Order, Workstation, Job Card</w:t>
            </w:r>
          </w:p>
        </w:tc>
      </w:tr>
      <w:tr>
        <w:tc>
          <w:tcPr>
            <w:tcW w:type="dxa" w:w="2592"/>
            <w:shd w:fill="FFFFFF"/>
            <w:tcMar>
              <w:top w:w="80" w:type="dxa"/>
              <w:bottom w:w="80" w:type="dxa"/>
              <w:left w:w="120" w:type="dxa"/>
              <w:right w:w="120" w:type="dxa"/>
            </w:tcMar>
          </w:tcPr>
          <w:p>
            <w:r>
              <w:rPr>
                <w:sz w:val="20"/>
              </w:rPr>
              <w:t>Asset Management</w:t>
            </w:r>
          </w:p>
        </w:tc>
        <w:tc>
          <w:tcPr>
            <w:tcW w:type="dxa" w:w="4608"/>
            <w:shd w:fill="FFFFFF"/>
            <w:tcMar>
              <w:top w:w="80" w:type="dxa"/>
              <w:bottom w:w="80" w:type="dxa"/>
              <w:left w:w="120" w:type="dxa"/>
              <w:right w:w="120" w:type="dxa"/>
            </w:tcMar>
          </w:tcPr>
          <w:p>
            <w:r>
              <w:rPr>
                <w:sz w:val="20"/>
              </w:rPr>
              <w:t>Siklus hidup aset, depresiasi otomatis, pemeliharaan.</w:t>
            </w:r>
          </w:p>
        </w:tc>
        <w:tc>
          <w:tcPr>
            <w:tcW w:type="dxa" w:w="2160"/>
            <w:shd w:fill="FFFFFF"/>
            <w:tcMar>
              <w:top w:w="80" w:type="dxa"/>
              <w:bottom w:w="80" w:type="dxa"/>
              <w:left w:w="120" w:type="dxa"/>
              <w:right w:w="120" w:type="dxa"/>
            </w:tcMar>
          </w:tcPr>
          <w:p>
            <w:r>
              <w:rPr>
                <w:sz w:val="20"/>
              </w:rPr>
              <w:t>Asset, Asset Depreciation Ledger, Asset Repair</w:t>
            </w:r>
          </w:p>
        </w:tc>
      </w:tr>
      <w:tr>
        <w:tc>
          <w:tcPr>
            <w:tcW w:type="dxa" w:w="2592"/>
            <w:shd w:fill="F7FAFC"/>
            <w:tcMar>
              <w:top w:w="80" w:type="dxa"/>
              <w:bottom w:w="80" w:type="dxa"/>
              <w:left w:w="120" w:type="dxa"/>
              <w:right w:w="120" w:type="dxa"/>
            </w:tcMar>
          </w:tcPr>
          <w:p>
            <w:r>
              <w:rPr>
                <w:sz w:val="20"/>
              </w:rPr>
              <w:t>Projects</w:t>
            </w:r>
          </w:p>
        </w:tc>
        <w:tc>
          <w:tcPr>
            <w:tcW w:type="dxa" w:w="4608"/>
            <w:shd w:fill="F7FAFC"/>
            <w:tcMar>
              <w:top w:w="80" w:type="dxa"/>
              <w:bottom w:w="80" w:type="dxa"/>
              <w:left w:w="120" w:type="dxa"/>
              <w:right w:w="120" w:type="dxa"/>
            </w:tcMar>
          </w:tcPr>
          <w:p>
            <w:r>
              <w:rPr>
                <w:sz w:val="20"/>
              </w:rPr>
              <w:t>Manajemen tugas proyek, timesheet, alokasi sumber daya.</w:t>
            </w:r>
          </w:p>
        </w:tc>
        <w:tc>
          <w:tcPr>
            <w:tcW w:type="dxa" w:w="2160"/>
            <w:shd w:fill="F7FAFC"/>
            <w:tcMar>
              <w:top w:w="80" w:type="dxa"/>
              <w:bottom w:w="80" w:type="dxa"/>
              <w:left w:w="120" w:type="dxa"/>
              <w:right w:w="120" w:type="dxa"/>
            </w:tcMar>
          </w:tcPr>
          <w:p>
            <w:r>
              <w:rPr>
                <w:sz w:val="20"/>
              </w:rPr>
              <w:t>Project, Task, Timesheet, Issue</w:t>
            </w:r>
          </w:p>
        </w:tc>
      </w:tr>
    </w:tbl>
    <w:p>
      <w:pPr>
        <w:spacing w:after="240"/>
      </w:pPr>
    </w:p>
    <w:p>
      <w:pPr>
        <w:pStyle w:val="Heading1"/>
        <w:keepNext/>
        <w:spacing w:before="360" w:after="120"/>
        <w:pBdr>
          <w:bottom w:val="single" w:sz="12" w:space="4" w:color="2B6CB0"/>
        </w:pBdr>
      </w:pPr>
      <w:r>
        <w:rPr>
          <w:rFonts w:ascii="Calibri" w:hAnsi="Calibri"/>
          <w:b/>
          <w:color w:val="1B365D"/>
          <w:sz w:val="36"/>
        </w:rPr>
        <w:t>Modul 3: Metode Instalasi &amp; Lingkungan Deployment</w:t>
      </w:r>
    </w:p>
    <w:p>
      <w:r>
        <w:t>ERPNext menyediakan fleksibilitas penuh dalam metode penyebaran (deployment), mulai dari opsi managed hosting berbasis awan hingga instalasi mandiri di server lokal maupun infrastruktur cloud pribadi.</w:t>
      </w:r>
    </w:p>
    <w:p>
      <w:pPr>
        <w:pStyle w:val="Heading2"/>
        <w:keepNext/>
        <w:spacing w:before="280" w:after="80"/>
      </w:pPr>
      <w:r>
        <w:rPr>
          <w:rFonts w:ascii="Calibri" w:hAnsi="Calibri"/>
          <w:b/>
          <w:color w:val="2B6CB0"/>
          <w:sz w:val="28"/>
        </w:rPr>
        <w:t>3.1 Opsi Managed Hosting: Frappe Cloud</w:t>
      </w:r>
    </w:p>
    <w:p>
      <w:r>
        <w:t>Bagi organisasi yang menginginkan kemudahan tanpa perlu mengelola infrastruktur server secara mandiri, Frappe Cloud (frappecloud.com) menyediakan layanan managed hosting resmi. Frappe Cloud menangani seluruh proses setup, pembaruan sistem otomatis (auto-upgrades), pencadangan data berkala (backups), pemantauan ketersediaan (monitoring), serta isolasi keamanan tinggi.</w:t>
      </w:r>
    </w:p>
    <w:p>
      <w:pPr>
        <w:pStyle w:val="Heading2"/>
        <w:keepNext/>
        <w:spacing w:before="280" w:after="80"/>
      </w:pPr>
      <w:r>
        <w:rPr>
          <w:rFonts w:ascii="Calibri" w:hAnsi="Calibri"/>
          <w:b/>
          <w:color w:val="2B6CB0"/>
          <w:sz w:val="28"/>
        </w:rPr>
        <w:t>3.2 Uji Coba Cepat Berbasis Docker Compose</w:t>
      </w:r>
    </w:p>
    <w:p>
      <w:r>
        <w:t>Untuk kebutuhan evaluasi cepat dan pengujian antarmuka tanpa konfigurasi sistem yang rumit, komunitas Frappe menyediakan repositori frappe_docker yang memungkinkan ERPNext dijalankan dalam hitungan menit menggunakan Docker Compose v2.</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top w:val="none"/>
              <w:left w:val="single" w:sz="24" w:space="0" w:color="1B365D"/>
              <w:bottom w:val="none"/>
              <w:right w:val="none"/>
            </w:tcBorders>
          </w:tcPr>
          <w:p>
            <w:pPr>
              <w:spacing w:before="40" w:after="40"/>
            </w:pPr>
            <w:r>
              <w:rPr>
                <w:rFonts w:ascii="Calibri" w:hAnsi="Calibri"/>
                <w:b/>
                <w:color w:val="1B365D"/>
                <w:sz w:val="21"/>
              </w:rPr>
              <w:t>📌 Peringatan Lingkungan Uji Coba Docker (pwd.yml)</w:t>
              <w:br/>
            </w:r>
            <w:r>
              <w:rPr>
                <w:rFonts w:ascii="Calibri" w:hAnsi="Calibri"/>
                <w:color w:val="2D3748"/>
                <w:sz w:val="20"/>
              </w:rPr>
              <w:t>Konfigurasi pwd.yml dirancang khusus untuk evaluasi dan demonstrasi cepat. Lingkungan ini bersifat disposable (dapat dibuang) dan tidak direkomendasikan untuk produksi atau instalasi custom apps. Untuk penyebaran produksi berbasis Docker, gunakan panduan konfigurasi produksi lengkap pada dokumentasi frappe_docker.</w:t>
            </w:r>
          </w:p>
        </w:tc>
      </w:tr>
    </w:tbl>
    <w:p>
      <w:pPr>
        <w:spacing w:before="0" w:after="80"/>
      </w:pPr>
    </w:p>
    <w:p>
      <w:r>
        <w:t>Langkah-langkah menjalankan ERPNext evaluasi cepat berbasis Docker:</w:t>
      </w:r>
    </w:p>
    <w:tbl>
      <w:tblPr>
        <w:tblW w:type="auto" w:w="0"/>
        <w:jc w:val="center"/>
        <w:tblLayout w:type="fixed"/>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single" w:sz="4" w:space="0" w:color="CBD5E0"/>
              <w:left w:val="single" w:sz="18" w:space="0" w:color="2B6CB0"/>
              <w:bottom w:val="single" w:sz="4" w:space="0" w:color="CBD5E0"/>
              <w:right w:val="single" w:sz="4" w:space="0" w:color="CBD5E0"/>
            </w:tcBorders>
          </w:tcPr>
          <w:p>
            <w:pPr>
              <w:spacing w:before="40" w:after="40" w:line="252" w:lineRule="auto"/>
            </w:pPr>
            <w:r>
              <w:rPr>
                <w:rFonts w:ascii="Consolas" w:hAnsi="Consolas"/>
                <w:color w:val="1A202C"/>
                <w:sz w:val="19"/>
              </w:rPr>
              <w:t># 1. Clone repositori frappe_docker</w:t>
              <w:br/>
              <w:t>git clone https://github.com/frappe/frappe_docker</w:t>
              <w:br/>
              <w:t>cd frappe_docker</w:t>
              <w:br/>
              <w:br/>
              <w:t># 2. Jalankan container ERPNext menggunakan file pwd.yml</w:t>
              <w:br/>
              <w:t>docker compose -f pwd.yml up -d</w:t>
              <w:br/>
              <w:br/>
              <w:t># 3. Akses melalui browser di alamat http://localhost:8080</w:t>
              <w:br/>
              <w:t># Kredensial Default -&gt; Username: Administrator | Password: admin</w:t>
            </w:r>
          </w:p>
        </w:tc>
      </w:tr>
    </w:tbl>
    <w:p>
      <w:pPr>
        <w:spacing w:before="0" w:after="80"/>
      </w:pPr>
    </w:p>
    <w:p>
      <w:pPr>
        <w:pStyle w:val="Heading2"/>
        <w:keepNext/>
        <w:spacing w:before="280" w:after="80"/>
      </w:pPr>
      <w:r>
        <w:rPr>
          <w:rFonts w:ascii="Calibri" w:hAnsi="Calibri"/>
          <w:b/>
          <w:color w:val="2B6CB0"/>
          <w:sz w:val="28"/>
        </w:rPr>
        <w:t>3.3 Setup Lingkungan Pengembang (Development Setup via Bench CLI)</w:t>
      </w:r>
    </w:p>
    <w:p>
      <w:r>
        <w:t xml:space="preserve">Untuk melakukan kustomisasi kode, pembuatan aplikasi kustom (custom apps), atau kontribusi pengembangan, Anda perlu menyiapkan lingkungan pengembangan lokal menggunakan alat CLI resmi bernama </w:t>
      </w:r>
      <w:r>
        <w:rPr>
          <w:b/>
        </w:rPr>
        <w:t>Bench</w:t>
      </w:r>
      <w:r>
        <w:t>. Bench mengelola lifecycle lingkungan Frappe, dependency Python/Node, basis data MariaDB/Redis, dan situs lokal.</w:t>
      </w:r>
    </w:p>
    <w:p>
      <w:r>
        <w:t>Prosedur standar penyiapan lingkungan pengembang lokal:</w:t>
      </w:r>
    </w:p>
    <w:tbl>
      <w:tblPr>
        <w:tblW w:type="auto" w:w="0"/>
        <w:jc w:val="center"/>
        <w:tblLayout w:type="fixed"/>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single" w:sz="4" w:space="0" w:color="CBD5E0"/>
              <w:left w:val="single" w:sz="18" w:space="0" w:color="2B6CB0"/>
              <w:bottom w:val="single" w:sz="4" w:space="0" w:color="CBD5E0"/>
              <w:right w:val="single" w:sz="4" w:space="0" w:color="CBD5E0"/>
            </w:tcBorders>
          </w:tcPr>
          <w:p>
            <w:pPr>
              <w:spacing w:before="40" w:after="40" w:line="252" w:lineRule="auto"/>
            </w:pPr>
            <w:r>
              <w:rPr>
                <w:rFonts w:ascii="Consolas" w:hAnsi="Consolas"/>
                <w:color w:val="1A202C"/>
                <w:sz w:val="19"/>
              </w:rPr>
              <w:t># 1. Jalankan server bench lokal</w:t>
              <w:br/>
              <w:t>bench start</w:t>
              <w:br/>
              <w:br/>
              <w:t># 2. Buka terminal baru dan buat situs lokal baru</w:t>
              <w:br/>
              <w:t>bench new-site erpnext.localhost</w:t>
              <w:br/>
              <w:br/>
              <w:t># 3. Unduh repositori aplikasi ERPNext</w:t>
              <w:br/>
              <w:t>bench get-app https://github.com/frappe/erpnext</w:t>
              <w:br/>
              <w:br/>
              <w:t># 4. Pasang aplikasi ERPNext ke situs lokal</w:t>
              <w:br/>
              <w:t>bench --site erpnext.localhost install-app erpnext</w:t>
              <w:br/>
              <w:br/>
              <w:t># 5. Akses aplikasi melalui browser:</w:t>
              <w:br/>
              <w:t># URL: http://erpnext.localhost:8000/app</w:t>
            </w:r>
          </w:p>
        </w:tc>
      </w:tr>
    </w:tbl>
    <w:p>
      <w:pPr>
        <w:spacing w:before="0" w:after="80"/>
      </w:pPr>
    </w:p>
    <w:p>
      <w:pPr>
        <w:pStyle w:val="Heading1"/>
        <w:keepNext/>
        <w:spacing w:before="360" w:after="120"/>
        <w:pBdr>
          <w:bottom w:val="single" w:sz="12" w:space="4" w:color="2B6CB0"/>
        </w:pBdr>
      </w:pPr>
      <w:r>
        <w:rPr>
          <w:rFonts w:ascii="Calibri" w:hAnsi="Calibri"/>
          <w:b/>
          <w:color w:val="1B365D"/>
          <w:sz w:val="36"/>
        </w:rPr>
        <w:t>Modul 4: Roadmap Pembelajaran &amp; Ekosistem Komunitas</w:t>
      </w:r>
    </w:p>
    <w:p>
      <w:r>
        <w:t>Mempelajari ERPNext secara efektif membutuhkan pendekatan bertahap sesuai dengan peran yang ingin Anda capai (Pengguna Bisnis, Administrator Sistem, atau Pengembang Software).</w:t>
      </w:r>
    </w:p>
    <w:p>
      <w:pPr>
        <w:pStyle w:val="Heading2"/>
        <w:keepNext/>
        <w:spacing w:before="280" w:after="80"/>
      </w:pPr>
      <w:r>
        <w:rPr>
          <w:rFonts w:ascii="Calibri" w:hAnsi="Calibri"/>
          <w:b/>
          <w:color w:val="2B6CB0"/>
          <w:sz w:val="28"/>
        </w:rPr>
        <w:t>4.1 Roadmap Pembelajaran Bertahap</w:t>
      </w:r>
    </w:p>
    <w:p>
      <w:pPr>
        <w:spacing w:after="80"/>
        <w:ind w:left="240"/>
      </w:pPr>
      <w:r>
        <w:rPr>
          <w:b/>
          <w:color w:val="2B6CB0"/>
        </w:rPr>
        <w:t>► Tahap 1: Penguasai Pengguna Akhir (End-User Mastery)</w:t>
        <w:br/>
      </w:r>
      <w:r>
        <w:rPr>
          <w:sz w:val="21"/>
        </w:rPr>
        <w:t>Fokus pada pemahaman navigasi antarmuka, pembuatan data master (Customer, Supplier, Item), dan simulasi alur transaksi bisnis utama seperti Procure-to-Pay (Pembelian) dan Order-to-Cash (Penjualan).</w:t>
      </w:r>
    </w:p>
    <w:p>
      <w:pPr>
        <w:spacing w:after="80"/>
        <w:ind w:left="240"/>
      </w:pPr>
      <w:r>
        <w:rPr>
          <w:b/>
          <w:color w:val="2B6CB0"/>
        </w:rPr>
        <w:t>► Tahap 2: Administrator &amp; Kustomisasi Tanpa Kode (No-Code Customization)</w:t>
        <w:br/>
      </w:r>
      <w:r>
        <w:rPr>
          <w:sz w:val="21"/>
        </w:rPr>
        <w:t>Memahami arsitektur DocType, penambahan Custom Fields, pengaturan hak akses pengguna (Role Permissions Manager), serta pembuatan alur kerja persetujuan dokumen (Workflow) tanpa mengubah kode sumber.</w:t>
      </w:r>
    </w:p>
    <w:p>
      <w:pPr>
        <w:spacing w:after="80"/>
        <w:ind w:left="240"/>
      </w:pPr>
      <w:r>
        <w:rPr>
          <w:b/>
          <w:color w:val="2B6CB0"/>
        </w:rPr>
        <w:t>► Tahap 3: Pengembang Sistem (Developer Level)</w:t>
        <w:br/>
      </w:r>
      <w:r>
        <w:rPr>
          <w:sz w:val="21"/>
        </w:rPr>
        <w:t>Mempelajari pengembangan backend berbasis Python (DocType Controllers), skrip antarmuka klien berbasis JavaScript (Client Scripts), skrip server (Server Scripts), pembuatan laporan kustom (Query Report &amp; Script Report), serta integrasi REST API.</w:t>
      </w:r>
    </w:p>
    <w:p>
      <w:pPr>
        <w:pStyle w:val="Heading2"/>
        <w:keepNext/>
        <w:spacing w:before="280" w:after="80"/>
      </w:pPr>
      <w:r>
        <w:rPr>
          <w:rFonts w:ascii="Calibri" w:hAnsi="Calibri"/>
          <w:b/>
          <w:color w:val="2B6CB0"/>
          <w:sz w:val="28"/>
        </w:rPr>
        <w:t>4.2 Sumber Daya Resmi Pembelajaran &amp; Komunitas Global</w:t>
      </w:r>
    </w:p>
    <w:p>
      <w:r>
        <w:t>Gunakan saluran pembelajaran resmi dan wadah komunitas berikut untuk mendukung proses belajar dan pemecahan masalah:</w:t>
      </w:r>
    </w:p>
    <w:p>
      <w:pPr>
        <w:pStyle w:val="ListBullet"/>
      </w:pPr>
      <w:r>
        <w:rPr>
          <w:b/>
        </w:rPr>
        <w:t xml:space="preserve">Frappe School (school.frappe.io): </w:t>
      </w:r>
      <w:r>
        <w:t>Platform kursus interaktif resmi yang menyediakan materi pelatihan terstruktur mengenai Frappe Framework dan ERPNext dari para pengembang inti.</w:t>
      </w:r>
    </w:p>
    <w:p>
      <w:pPr>
        <w:pStyle w:val="ListBullet"/>
      </w:pPr>
      <w:r>
        <w:rPr>
          <w:b/>
        </w:rPr>
        <w:t xml:space="preserve">Dokumentasi Resmi (docs.erpnext.com): </w:t>
      </w:r>
      <w:r>
        <w:t>Dokumentasi pengguna komprehensif, panduan fitur per modul, serta referensi API teknis.</w:t>
      </w:r>
    </w:p>
    <w:p>
      <w:pPr>
        <w:pStyle w:val="ListBullet"/>
      </w:pPr>
      <w:r>
        <w:rPr>
          <w:b/>
        </w:rPr>
        <w:t xml:space="preserve">Forum Diskusi Komunitas (discuss.frappe.io): </w:t>
      </w:r>
      <w:r>
        <w:t>Wadah diskusi global tempat berbagi solusi, bertanya kendala teknis, dan berinteraksi dengan ribuan praktisi ERPNext.</w:t>
      </w:r>
    </w:p>
    <w:p>
      <w:pPr>
        <w:pStyle w:val="ListBullet"/>
      </w:pPr>
      <w:r>
        <w:rPr>
          <w:b/>
        </w:rPr>
        <w:t xml:space="preserve">Grup Telegram Resmi (erpnext_public.t.me): </w:t>
      </w:r>
      <w:r>
        <w:t>Komunitas obrolan langsung untuk mendapatkan bantuan cepat dari sesama pengguna dan pengembang di seluruh dunia.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18096"/>
        <w:sz w:val="18"/>
      </w:rPr>
      <w:t xml:space="preserve">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ERPNext — Modul Panduan Belajar Dasar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