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 — Multi-Channel Restaurant Profitability Analysis</w:t>
      </w:r>
    </w:p>
    <w:p>
      <w:r>
        <w:t>This project evaluates the true profitability of multi-channel restaurant operations by decomposing revenue, cost structure, and unit economics across In-Store, Uber Eats, DoorDash, and Self-Delivery channels. The analysis prioritizes net profit and margin efficiency over top-line revenue to identify sustainable growth levers.</w:t>
      </w:r>
    </w:p>
    <w:p>
      <w:pPr>
        <w:pStyle w:val="Heading1"/>
      </w:pPr>
      <w:r>
        <w:t>Key Findings</w:t>
      </w:r>
    </w:p>
    <w:p>
      <w:pPr>
        <w:pStyle w:val="ListBullet"/>
      </w:pPr>
      <w:r>
        <w:t>In-Store dining remains the most margin-efficient channel due to the absence of third-party commissions.</w:t>
      </w:r>
    </w:p>
    <w:p>
      <w:pPr>
        <w:pStyle w:val="ListBullet"/>
      </w:pPr>
      <w:r>
        <w:t>Aggregator platforms (Uber Eats and DoorDash) exhibit margin compression driven primarily by commission fees.</w:t>
      </w:r>
    </w:p>
    <w:p>
      <w:pPr>
        <w:pStyle w:val="ListBullet"/>
      </w:pPr>
      <w:r>
        <w:t>Self-Delivery profitability is highly sensitive to delivery cost structure, with several restaurants near breakeven.</w:t>
      </w:r>
    </w:p>
    <w:p>
      <w:pPr>
        <w:pStyle w:val="ListBullet"/>
      </w:pPr>
      <w:r>
        <w:t>Cuisine-level variability indicates that channel strategy should be tailored by concept rather than applied uniformly.</w:t>
      </w:r>
    </w:p>
    <w:p>
      <w:pPr>
        <w:pStyle w:val="ListBullet"/>
      </w:pPr>
      <w:r>
        <w:t>Profit volatility analysis identifies a subset of high-risk restaurants with unstable cross-channel margins.</w:t>
      </w:r>
    </w:p>
    <w:p>
      <w:pPr>
        <w:pStyle w:val="Heading1"/>
      </w:pPr>
      <w:r>
        <w:t>Business Implications</w:t>
      </w:r>
    </w:p>
    <w:p>
      <w:pPr>
        <w:pStyle w:val="ListBullet"/>
      </w:pPr>
      <w:r>
        <w:t>Prioritize in-store demand recovery and direct ordering channels to protect margins.</w:t>
      </w:r>
    </w:p>
    <w:p>
      <w:pPr>
        <w:pStyle w:val="ListBullet"/>
      </w:pPr>
      <w:r>
        <w:t>Negotiate lower commission tiers or rebalance mix toward owned delivery to improve aggregator economics.</w:t>
      </w:r>
    </w:p>
    <w:p>
      <w:pPr>
        <w:pStyle w:val="ListBullet"/>
      </w:pPr>
      <w:r>
        <w:t>Expand self-delivery selectively with strict monitoring of per-order delivery costs.</w:t>
      </w:r>
    </w:p>
    <w:p>
      <w:pPr>
        <w:pStyle w:val="ListBullet"/>
      </w:pPr>
      <w:r>
        <w:t>Adopt cuisine-specific channel strategies to unlock incremental profitability.</w:t>
      </w:r>
    </w:p>
    <w:p>
      <w:pPr>
        <w:pStyle w:val="Heading1"/>
      </w:pPr>
      <w:r>
        <w:t>Deliverables</w:t>
      </w:r>
    </w:p>
    <w:p>
      <w:pPr>
        <w:pStyle w:val="ListBullet"/>
      </w:pPr>
      <w:r>
        <w:t>End-to-end financial validation of channel profitability</w:t>
      </w:r>
    </w:p>
    <w:p>
      <w:pPr>
        <w:pStyle w:val="ListBullet"/>
      </w:pPr>
      <w:r>
        <w:t>Interactive Streamlit dashboard with what-if simulation</w:t>
      </w:r>
    </w:p>
    <w:p>
      <w:pPr>
        <w:pStyle w:val="ListBullet"/>
      </w:pPr>
      <w:r>
        <w:t>Cost decomposition and sensitivity analysis</w:t>
      </w:r>
    </w:p>
    <w:p>
      <w:pPr>
        <w:pStyle w:val="ListBullet"/>
      </w:pPr>
      <w:r>
        <w:t>Risk and volatility segmentation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