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BEC-2011 — </w:t>
      </w:r>
      <w:bookmarkStart w:id="0" w:name="_GoBack"/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CHAPTERS &amp; SECTIONS</w:t>
      </w:r>
      <w:bookmarkEnd w:id="0"/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1 — GENERAL</w:t>
      </w:r>
    </w:p>
    <w:p w:rsidR="00543739" w:rsidRPr="00543739" w:rsidRDefault="00543739" w:rsidP="00543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1.1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Scope</w:t>
      </w:r>
    </w:p>
    <w:p w:rsidR="00543739" w:rsidRPr="00543739" w:rsidRDefault="00543739" w:rsidP="00543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1.2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Compliance</w:t>
      </w:r>
    </w:p>
    <w:p w:rsidR="00543739" w:rsidRPr="00543739" w:rsidRDefault="00543739" w:rsidP="00543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1.3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Definitions</w:t>
      </w:r>
    </w:p>
    <w:p w:rsidR="00543739" w:rsidRPr="00543739" w:rsidRDefault="00543739" w:rsidP="00543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1.4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Climate Zones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i/>
          <w:iCs/>
          <w:sz w:val="24"/>
          <w:szCs w:val="24"/>
        </w:rPr>
        <w:t>(Establishes applicability and baseline requirements.)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2 — ADMINISTRATION AND ENFORCEMENT</w:t>
      </w:r>
    </w:p>
    <w:p w:rsidR="00543739" w:rsidRPr="00543739" w:rsidRDefault="00543739" w:rsidP="00543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2.1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Compliance Documents</w:t>
      </w:r>
    </w:p>
    <w:p w:rsidR="00543739" w:rsidRPr="00543739" w:rsidRDefault="00543739" w:rsidP="00543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Enforcement</w:t>
      </w:r>
    </w:p>
    <w:p w:rsidR="00543739" w:rsidRPr="00543739" w:rsidRDefault="00543739" w:rsidP="00543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2.3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Supplementary Information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3 — BUILDING ENVELOPE</w:t>
      </w:r>
    </w:p>
    <w:p w:rsidR="00543739" w:rsidRPr="00543739" w:rsidRDefault="00543739" w:rsidP="00543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3.1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543739" w:rsidRPr="00543739" w:rsidRDefault="00543739" w:rsidP="00543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3.2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Mandatory Requirements</w:t>
      </w:r>
    </w:p>
    <w:p w:rsidR="00543739" w:rsidRPr="00543739" w:rsidRDefault="00543739" w:rsidP="005437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3.2.1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Building Envelope</w:t>
      </w:r>
    </w:p>
    <w:p w:rsidR="00543739" w:rsidRPr="00543739" w:rsidRDefault="00543739" w:rsidP="0054373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3.2.1.1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External Walls and Roofs</w:t>
      </w:r>
    </w:p>
    <w:p w:rsidR="00543739" w:rsidRPr="00543739" w:rsidRDefault="00543739" w:rsidP="0054373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3.2.1.2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Glass and Framing System</w:t>
      </w:r>
    </w:p>
    <w:p w:rsidR="00543739" w:rsidRPr="00543739" w:rsidRDefault="00543739" w:rsidP="005437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3.2.2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Window-to-Wall Ratio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Example: The envelope U-value limits table appears in Section 4 image (Table 4.2.1.1) showing wall and roof limits. 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BCP-Energy-Provisions-2011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4 — HVAC (HEATING, VENTILATION AND AIR CONDITIONING)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4.1 General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4.2 Mandatory Requirements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739">
        <w:rPr>
          <w:rFonts w:ascii="Times New Roman" w:eastAsia="Times New Roman" w:hAnsi="Times New Roman" w:cs="Times New Roman"/>
          <w:b/>
          <w:bCs/>
          <w:sz w:val="27"/>
          <w:szCs w:val="27"/>
        </w:rPr>
        <w:t>Major subsections:</w:t>
      </w:r>
    </w:p>
    <w:p w:rsidR="00543739" w:rsidRPr="00543739" w:rsidRDefault="00543739" w:rsidP="00543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HVAC Equipment Efficiency</w:t>
      </w:r>
    </w:p>
    <w:p w:rsidR="00543739" w:rsidRPr="00543739" w:rsidRDefault="00543739" w:rsidP="00543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Piping and Ductwork</w:t>
      </w:r>
    </w:p>
    <w:p w:rsidR="00543739" w:rsidRPr="00543739" w:rsidRDefault="00543739" w:rsidP="00543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4.2.3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System Balancing</w:t>
      </w:r>
    </w:p>
    <w:p w:rsidR="00543739" w:rsidRPr="00543739" w:rsidRDefault="00543739" w:rsidP="005437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4.2.3.1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:rsidR="00543739" w:rsidRPr="00543739" w:rsidRDefault="00543739" w:rsidP="005437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4.2.3.2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Air System Balancing</w:t>
      </w:r>
    </w:p>
    <w:p w:rsidR="00543739" w:rsidRPr="00543739" w:rsidRDefault="00543739" w:rsidP="005437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4.2.3.3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Hydronic System Balancing</w:t>
      </w:r>
    </w:p>
    <w:p w:rsidR="00543739" w:rsidRPr="00543739" w:rsidRDefault="00543739" w:rsidP="00543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4.2.4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Condenser</w:t>
      </w:r>
    </w:p>
    <w:p w:rsidR="00543739" w:rsidRPr="00543739" w:rsidRDefault="00543739" w:rsidP="005437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4.2.4.1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Condenser Location</w:t>
      </w:r>
    </w:p>
    <w:p w:rsidR="00543739" w:rsidRPr="00543739" w:rsidRDefault="00543739" w:rsidP="005437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4.2.4.2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Treated Water for Condenser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These subsections and efficiency tables are visible across pp. 10–20 of the code. 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BCP-Energy-Provisions-2011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5 — SERVICE WATER HEATING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5.1 General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5.2 Mandatory Requirements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739">
        <w:rPr>
          <w:rFonts w:ascii="Times New Roman" w:eastAsia="Times New Roman" w:hAnsi="Times New Roman" w:cs="Times New Roman"/>
          <w:b/>
          <w:bCs/>
          <w:sz w:val="27"/>
          <w:szCs w:val="27"/>
        </w:rPr>
        <w:t>Detailed subsections:</w:t>
      </w:r>
    </w:p>
    <w:p w:rsidR="00543739" w:rsidRPr="00543739" w:rsidRDefault="00543739" w:rsidP="00543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5.2.1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Piping Insulation</w:t>
      </w:r>
    </w:p>
    <w:p w:rsidR="00543739" w:rsidRPr="00543739" w:rsidRDefault="00543739" w:rsidP="00543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5.2.2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Equipment Efficiency</w:t>
      </w:r>
    </w:p>
    <w:p w:rsidR="00543739" w:rsidRPr="00543739" w:rsidRDefault="00543739" w:rsidP="00543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5.2.3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Swimming Pools</w:t>
      </w:r>
    </w:p>
    <w:p w:rsidR="00543739" w:rsidRPr="00543739" w:rsidRDefault="00543739" w:rsidP="005437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5.2.3.1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Pool Covers</w:t>
      </w:r>
    </w:p>
    <w:p w:rsidR="00543739" w:rsidRPr="00543739" w:rsidRDefault="00543739" w:rsidP="005437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5.2.3.2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Pool Heaters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5.3 Voluntary Adoption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Efficiency tables for water heating equipment appear on pp. 22–24. 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BCP-Energy-Provisions-2011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6 — LIGHTING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6.1 General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6.2 Interior Lighting</w:t>
      </w:r>
    </w:p>
    <w:p w:rsidR="00543739" w:rsidRPr="00543739" w:rsidRDefault="00543739" w:rsidP="00543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Lighting Power Density (LPD)</w:t>
      </w:r>
    </w:p>
    <w:p w:rsidR="00543739" w:rsidRPr="00543739" w:rsidRDefault="00543739" w:rsidP="00543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Space-by-space method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6.3 Exterior Lighting</w:t>
      </w:r>
    </w:p>
    <w:p w:rsidR="00543739" w:rsidRPr="00543739" w:rsidRDefault="00543739" w:rsidP="00543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Exterior lighting power limits</w:t>
      </w:r>
    </w:p>
    <w:p w:rsidR="00543739" w:rsidRPr="00543739" w:rsidRDefault="00543739" w:rsidP="00543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Exceptions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Interior LPD tables and exterior limits appear on pp. 31–32. 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BCP-Energy-Provisions-2011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7 — ELECTRICAL POWER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7.1 General</w: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37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437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7.2 Electric Motors</w:t>
      </w:r>
    </w:p>
    <w:p w:rsidR="00543739" w:rsidRPr="00543739" w:rsidRDefault="00543739" w:rsidP="00543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7.2.2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Energy Efficient Motors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Segoe UI Symbol" w:eastAsia="Times New Roman" w:hAnsi="Segoe UI Symbol" w:cs="Segoe UI Symbol"/>
          <w:sz w:val="24"/>
          <w:szCs w:val="24"/>
        </w:rPr>
        <w:lastRenderedPageBreak/>
        <w:t>📍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Minimum motor efficiency table shown on p. 36. </w:t>
      </w:r>
    </w:p>
    <w:p w:rsidR="00543739" w:rsidRPr="00543739" w:rsidRDefault="00543739" w:rsidP="0054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BCP-Energy-Provisions-2011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8 — COMPLIANCE</w:t>
      </w:r>
    </w:p>
    <w:p w:rsidR="00543739" w:rsidRPr="00543739" w:rsidRDefault="00543739" w:rsidP="00543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8.1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Compliance Approaches</w:t>
      </w:r>
    </w:p>
    <w:p w:rsidR="00543739" w:rsidRPr="00543739" w:rsidRDefault="00543739" w:rsidP="00543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8.2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543739" w:rsidRPr="00543739" w:rsidRDefault="00543739" w:rsidP="00543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b/>
          <w:bCs/>
          <w:sz w:val="24"/>
          <w:szCs w:val="24"/>
        </w:rPr>
        <w:t>8.3</w:t>
      </w:r>
      <w:r w:rsidRPr="00543739">
        <w:rPr>
          <w:rFonts w:ascii="Times New Roman" w:eastAsia="Times New Roman" w:hAnsi="Times New Roman" w:cs="Times New Roman"/>
          <w:sz w:val="24"/>
          <w:szCs w:val="24"/>
        </w:rPr>
        <w:t xml:space="preserve"> Verification</w:t>
      </w:r>
    </w:p>
    <w:p w:rsidR="00543739" w:rsidRPr="00543739" w:rsidRDefault="00543739" w:rsidP="0054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3739" w:rsidRPr="00543739" w:rsidRDefault="00543739" w:rsidP="0054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7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9 — REFERENCED STANDARDS</w:t>
      </w:r>
    </w:p>
    <w:p w:rsidR="00543739" w:rsidRPr="00543739" w:rsidRDefault="00543739" w:rsidP="00543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ASHRAE references</w:t>
      </w:r>
    </w:p>
    <w:p w:rsidR="00543739" w:rsidRPr="00543739" w:rsidRDefault="00543739" w:rsidP="00543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739">
        <w:rPr>
          <w:rFonts w:ascii="Times New Roman" w:eastAsia="Times New Roman" w:hAnsi="Times New Roman" w:cs="Times New Roman"/>
          <w:sz w:val="24"/>
          <w:szCs w:val="24"/>
        </w:rPr>
        <w:t>Test procedure standards</w:t>
      </w:r>
    </w:p>
    <w:p w:rsidR="00021F93" w:rsidRDefault="00021F93"/>
    <w:sectPr w:rsidR="0002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1024F"/>
    <w:multiLevelType w:val="multilevel"/>
    <w:tmpl w:val="594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2EBC"/>
    <w:multiLevelType w:val="multilevel"/>
    <w:tmpl w:val="5DA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F69CC"/>
    <w:multiLevelType w:val="multilevel"/>
    <w:tmpl w:val="2F6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5E26"/>
    <w:multiLevelType w:val="multilevel"/>
    <w:tmpl w:val="68D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B65AA"/>
    <w:multiLevelType w:val="multilevel"/>
    <w:tmpl w:val="E3F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811A0"/>
    <w:multiLevelType w:val="multilevel"/>
    <w:tmpl w:val="991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3026B"/>
    <w:multiLevelType w:val="multilevel"/>
    <w:tmpl w:val="FEA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40BBE"/>
    <w:multiLevelType w:val="multilevel"/>
    <w:tmpl w:val="35C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C1C00"/>
    <w:multiLevelType w:val="multilevel"/>
    <w:tmpl w:val="E87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D22F2"/>
    <w:multiLevelType w:val="multilevel"/>
    <w:tmpl w:val="979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0"/>
  </w:num>
  <w:num w:numId="6">
    <w:abstractNumId w:val="8"/>
  </w:num>
  <w:num w:numId="7">
    <w:abstractNumId w:val="1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739"/>
    <w:rsid w:val="00021F93"/>
    <w:rsid w:val="0054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5699E-CA26-48B0-808E-8840720F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37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37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3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37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37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39"/>
    <w:rPr>
      <w:b/>
      <w:bCs/>
    </w:rPr>
  </w:style>
  <w:style w:type="character" w:styleId="Emphasis">
    <w:name w:val="Emphasis"/>
    <w:basedOn w:val="DefaultParagraphFont"/>
    <w:uiPriority w:val="20"/>
    <w:qFormat/>
    <w:rsid w:val="00543739"/>
    <w:rPr>
      <w:i/>
      <w:iCs/>
    </w:rPr>
  </w:style>
  <w:style w:type="character" w:customStyle="1" w:styleId="relative">
    <w:name w:val="relative"/>
    <w:basedOn w:val="DefaultParagraphFont"/>
    <w:rsid w:val="00543739"/>
  </w:style>
  <w:style w:type="paragraph" w:customStyle="1" w:styleId="not-prose">
    <w:name w:val="not-prose"/>
    <w:basedOn w:val="Normal"/>
    <w:rsid w:val="0054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2026-02-18T10:23:00Z</dcterms:created>
  <dcterms:modified xsi:type="dcterms:W3CDTF">2026-02-18T10:24:00Z</dcterms:modified>
</cp:coreProperties>
</file>