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p>
      <w:r>
        <w:fldChar w:fldCharType="begin"/>
      </w:r>
      <w:r>
        <w:instrText xml:space="preserve"> TOC \o "1-3" \h \z \u </w:instrText>
      </w:r>
      <w:r>
        <w:fldChar w:fldCharType="separate"/>
      </w:r>
      <w:r>
        <w:t>Right-click and update the table of contents after inserting figures.</w:t>
      </w:r>
      <w:r>
        <w:fldChar w:fldCharType="end"/>
      </w:r>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Controlled rejection of an inconsistent AHP matrix</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 Scope and evidence boundaries</w:t>
      </w:r>
    </w:p>
    <w:p w14:paraId="0CC1C154" w14:textId="77777777" w:rsidR="00C50885" w:rsidRDefault="00000000">
      <w:pPr>
        <w:ind w:firstLine="360"/>
      </w:pPr>
      <w:r>
        <w:t>Table 3.1: Related systems and frameworks compared with KnowledgeGuard</w:t>
      </w:r>
    </w:p>
    <w:p w14:paraId="00226785" w14:textId="77777777" w:rsidR="00C50885" w:rsidRDefault="00000000">
      <w:pPr>
        <w:ind w:firstLine="360"/>
      </w:pPr>
      <w:r>
        <w:t>Table 3.2: Literature basis for the KnowledgeGuard indicators</w:t>
      </w:r>
    </w:p>
    <w:p w14:paraId="42EA0F0A" w14:textId="77777777" w:rsidR="00C50885" w:rsidRDefault="00000000">
      <w:pPr>
        <w:ind w:firstLine="360"/>
      </w:pPr>
      <w:r>
        <w:t>Table 4.1: Data sources and permitted interpretation</w:t>
      </w:r>
    </w:p>
    <w:p w14:paraId="284FD58B" w14:textId="77777777" w:rsidR="00C50885" w:rsidRDefault="00000000">
      <w:pPr>
        <w:ind w:firstLine="360"/>
      </w:pPr>
      <w:r>
        <w:t>Table 4.2: Stakeholders and their role in the workflow</w:t>
      </w:r>
    </w:p>
    <w:p w14:paraId="19BFEE5F" w14:textId="77777777" w:rsidR="00C50885" w:rsidRDefault="00000000">
      <w:pPr>
        <w:ind w:firstLine="360"/>
      </w:pPr>
      <w:r>
        <w:t>Table 4.3: Functional requirements and observable checks</w:t>
      </w:r>
    </w:p>
    <w:p w14:paraId="732860D1" w14:textId="77777777" w:rsidR="00C50885" w:rsidRDefault="00000000">
      <w:pPr>
        <w:ind w:firstLine="360"/>
      </w:pPr>
      <w:r>
        <w:t>Table 4.4: KnowledgeGuard indicators and initial weights</w:t>
      </w:r>
    </w:p>
    <w:p w14:paraId="6F171581" w14:textId="77777777" w:rsidR="00C50885" w:rsidRDefault="00000000">
      <w:pPr>
        <w:ind w:firstLine="360"/>
      </w:pPr>
      <w:r>
        <w:t>Table 4.5: Supporting machine-learning component</w:t>
      </w:r>
    </w:p>
    <w:p w14:paraId="63A0DF23" w14:textId="77777777" w:rsidR="00C50885" w:rsidRDefault="00000000">
      <w:pPr>
        <w:ind w:firstLine="360"/>
      </w:pPr>
      <w:r>
        <w:t>Table 4.6: Configured operational risk tiers</w:t>
      </w:r>
    </w:p>
    <w:p w14:paraId="2D9D237F" w14:textId="77777777" w:rsidR="00C50885" w:rsidRDefault="00000000">
      <w:pPr>
        <w:ind w:firstLine="360"/>
      </w:pPr>
      <w:r>
        <w:t>Table 4.7: Evaluation measures and evidence required</w:t>
      </w:r>
    </w:p>
    <w:p w14:paraId="00679A8E" w14:textId="77777777" w:rsidR="00C50885" w:rsidRDefault="00000000">
      <w:pPr>
        <w:ind w:firstLine="360"/>
      </w:pPr>
      <w:r>
        <w:t>Table 4.8: Quarterly assessment questionnaire design</w:t>
      </w:r>
    </w:p>
    <w:p w14:paraId="21A0DDC7" w14:textId="77777777" w:rsidR="00C50885" w:rsidRDefault="00000000">
      <w:pPr>
        <w:ind w:firstLine="360"/>
      </w:pPr>
      <w:r>
        <w:t>Table 5.1: Final evaluation setting</w:t>
      </w:r>
    </w:p>
    <w:p w14:paraId="3368EADF" w14:textId="77777777" w:rsidR="00C50885" w:rsidRDefault="00000000">
      <w:pPr>
        <w:ind w:firstLine="360"/>
      </w:pPr>
      <w:r>
        <w:t>Table 5.2: Simulated knowledge-transfer score trace</w:t>
      </w:r>
    </w:p>
    <w:p w14:paraId="5B072B20" w14:textId="77777777" w:rsidR="00C50885" w:rsidRDefault="00000000">
      <w:pPr>
        <w:ind w:firstLine="360"/>
      </w:pPr>
      <w:r>
        <w:t>Table 5.3: Core functional test results and implementation evidence</w:t>
      </w:r>
    </w:p>
    <w:p w14:paraId="3D0E5AB8" w14:textId="77777777" w:rsidR="00C50885" w:rsidRDefault="00000000">
      <w:pPr>
        <w:ind w:firstLine="360"/>
      </w:pPr>
      <w:r>
        <w:t>Table 5.4: Predefined baseline and exploratory AHP group weights</w:t>
      </w:r>
    </w:p>
    <w:p w14:paraId="6ABB147E" w14:textId="77777777" w:rsidR="00C50885" w:rsidRDefault="00000000">
      <w:pPr>
        <w:ind w:firstLine="360"/>
      </w:pPr>
      <w:r>
        <w:t>Table 5.5: System-evaluation questionnaire summaries</w:t>
      </w:r>
    </w:p>
    <w:p w14:paraId="260E02D6" w14:textId="77777777" w:rsidR="00C50885" w:rsidRDefault="00000000">
      <w:pPr>
        <w:ind w:firstLine="360"/>
      </w:pPr>
      <w:r>
        <w:t>Table 5.6: Saved machine-learning metrics and interpretation</w:t>
      </w:r>
    </w:p>
    <w:p w14:paraId="028F9626" w14:textId="77777777" w:rsidR="00C50885" w:rsidRDefault="00000000">
      <w:pPr>
        <w:ind w:firstLine="360"/>
      </w:pPr>
      <w:r>
        <w:t>Table 5.7: Results by objective</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pPr>
        <w:pStyle w:val="Heading1"/>
        <w:spacing w:after="200" w:before="240"/>
      </w:pPr>
      <w:r>
        <w:rPr>
          <w:rFonts w:ascii="Times New Roman" w:cs="Times New Roman" w:eastAsia="Times New Roman" w:hAnsi="Times New Roman"/>
          <w:b/>
          <w:bCs/>
          <w:sz w:val="32"/>
          <w:szCs w:val="32"/>
        </w:rPr>
        <w:t xml:space="preserve">1. INTRODUCTION</w:t>
      </w:r>
    </w:p>
    <w:p>
      <w:pPr>
        <w:pStyle w:val="Heading2"/>
        <w:spacing w:after="120" w:before="240"/>
      </w:pPr>
      <w:r>
        <w:rPr>
          <w:rFonts w:ascii="Times New Roman" w:cs="Times New Roman" w:eastAsia="Times New Roman" w:hAnsi="Times New Roman"/>
          <w:b/>
          <w:bCs/>
          <w:sz w:val="28"/>
          <w:szCs w:val="28"/>
        </w:rPr>
        <w:t xml:space="preserve">1.1 Chapter overview</w:t>
      </w:r>
    </w:p>
    <w:p>
      <w:pPr>
        <w:spacing w:after="120" w:line="360"/>
        <w:ind w:firstLine="360"/>
        <w:jc w:val="both"/>
      </w:pPr>
      <w:r>
        <w:rPr>
          <w:rFonts w:ascii="Times New Roman" w:cs="Times New Roman" w:eastAsia="Times New Roman" w:hAnsi="Times New Roman"/>
          <w:sz w:val="24"/>
          <w:szCs w:val="24"/>
        </w:rPr>
        <w:t xml:space="preserve">This chapter introduces the problem of knowledge loss during employee transitions and explains why an assessment linked to knowledge-transfer action is needed. It presents the problem, research gap, questions, significance, scope, and proposed solution.</w:t>
      </w:r>
    </w:p>
    <w:p>
      <w:pPr>
        <w:pStyle w:val="Heading2"/>
        <w:spacing w:after="120" w:before="240"/>
      </w:pPr>
      <w:r>
        <w:rPr>
          <w:rFonts w:ascii="Times New Roman" w:cs="Times New Roman" w:eastAsia="Times New Roman" w:hAnsi="Times New Roman"/>
          <w:b/>
          <w:bCs/>
          <w:sz w:val="28"/>
          <w:szCs w:val="28"/>
        </w:rPr>
        <w:t xml:space="preserve">1.2 Background</w:t>
      </w:r>
    </w:p>
    <w:p>
      <w:pPr>
        <w:spacing w:after="120" w:line="360"/>
        <w:ind w:firstLine="360"/>
        <w:jc w:val="both"/>
      </w:pPr>
      <w:r>
        <w:rPr>
          <w:rFonts w:ascii="Times New Roman" w:cs="Times New Roman" w:eastAsia="Times New Roman" w:hAnsi="Times New Roman"/>
          <w:sz w:val="24"/>
          <w:szCs w:val="24"/>
        </w:rPr>
        <w:t xml:space="preserve">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pPr>
        <w:spacing w:after="120" w:line="360"/>
        <w:ind w:firstLine="360"/>
        <w:jc w:val="both"/>
      </w:pPr>
      <w:r>
        <w:rPr>
          <w:rFonts w:ascii="Times New Roman" w:cs="Times New Roman" w:eastAsia="Times New Roman" w:hAnsi="Times New Roman"/>
          <w:sz w:val="24"/>
          <w:szCs w:val="24"/>
        </w:rPr>
        <w:t xml:space="preserve">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pPr>
        <w:spacing w:after="120" w:line="360"/>
        <w:ind w:firstLine="360"/>
        <w:jc w:val="both"/>
      </w:pPr>
      <w:r>
        <w:rPr>
          <w:rFonts w:ascii="Times New Roman" w:cs="Times New Roman" w:eastAsia="Times New Roman" w:hAnsi="Times New Roman"/>
          <w:sz w:val="24"/>
          <w:szCs w:val="24"/>
        </w:rPr>
        <w:t xml:space="preserve">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pPr>
        <w:spacing w:after="120" w:line="360"/>
        <w:ind w:firstLine="360"/>
        <w:jc w:val="both"/>
      </w:pPr>
      <w:r>
        <w:rPr>
          <w:rFonts w:ascii="Times New Roman" w:cs="Times New Roman" w:eastAsia="Times New Roman" w:hAnsi="Times New Roman"/>
          <w:sz w:val="24"/>
          <w:szCs w:val="24"/>
        </w:rPr>
        <w:t xml:space="preserve">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pPr>
        <w:pStyle w:val="Heading2"/>
        <w:spacing w:after="120" w:before="240"/>
      </w:pPr>
      <w:r>
        <w:rPr>
          <w:rFonts w:ascii="Times New Roman" w:cs="Times New Roman" w:eastAsia="Times New Roman" w:hAnsi="Times New Roman"/>
          <w:b/>
          <w:bCs/>
          <w:sz w:val="28"/>
          <w:szCs w:val="28"/>
        </w:rPr>
        <w:t xml:space="preserve">1.3 Problem statement</w:t>
      </w:r>
    </w:p>
    <w:p>
      <w:pPr>
        <w:spacing w:after="120" w:line="360"/>
        <w:ind w:firstLine="360"/>
        <w:jc w:val="both"/>
      </w:pPr>
      <w:r>
        <w:rPr>
          <w:rFonts w:ascii="Times New Roman" w:cs="Times New Roman" w:eastAsia="Times New Roman" w:hAnsi="Times New Roman"/>
          <w:sz w:val="24"/>
          <w:szCs w:val="24"/>
        </w:rPr>
        <w:t xml:space="preserve">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pPr>
        <w:spacing w:after="120" w:line="360"/>
        <w:ind w:firstLine="360"/>
        <w:jc w:val="both"/>
      </w:pPr>
      <w:r>
        <w:rPr>
          <w:rFonts w:ascii="Times New Roman" w:cs="Times New Roman" w:eastAsia="Times New Roman" w:hAnsi="Times New Roman"/>
          <w:sz w:val="24"/>
          <w:szCs w:val="24"/>
        </w:rPr>
        <w:t xml:space="preserve">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pPr>
        <w:spacing w:after="120" w:line="360"/>
        <w:ind w:firstLine="360"/>
        <w:jc w:val="both"/>
      </w:pPr>
      <w:r>
        <w:rPr>
          <w:rFonts w:ascii="Times New Roman" w:cs="Times New Roman" w:eastAsia="Times New Roman" w:hAnsi="Times New Roman"/>
          <w:sz w:val="24"/>
          <w:szCs w:val="24"/>
        </w:rPr>
        <w:t xml:space="preserve">Research on knowledge loss identifies workforce transitions, limited knowledge sharing, and inadequate retention practices as sources of organizational exposure [3], [4]. These findings support the need for a structured assessment linked to transfer preparation.</w:t>
      </w:r>
    </w:p>
    <w:p>
      <w:pPr>
        <w:spacing w:after="120" w:line="360"/>
        <w:ind w:firstLine="360"/>
        <w:jc w:val="both"/>
      </w:pPr>
      <w:r>
        <w:rPr>
          <w:rFonts w:ascii="Times New Roman" w:cs="Times New Roman" w:eastAsia="Times New Roman" w:hAnsi="Times New Roman"/>
          <w:sz w:val="24"/>
          <w:szCs w:val="24"/>
        </w:rPr>
        <w:t xml:space="preserve">The central problem is how a decision support system can help identify employee-level knowledge-loss risk and support structured knowledge-transfer decisions during organizational transitions.</w:t>
      </w:r>
    </w:p>
    <w:p>
      <w:pPr>
        <w:pStyle w:val="Heading2"/>
        <w:spacing w:after="120" w:before="240"/>
      </w:pPr>
      <w:r>
        <w:rPr>
          <w:rFonts w:ascii="Times New Roman" w:cs="Times New Roman" w:eastAsia="Times New Roman" w:hAnsi="Times New Roman"/>
          <w:b/>
          <w:bCs/>
          <w:sz w:val="28"/>
          <w:szCs w:val="28"/>
        </w:rPr>
        <w:t xml:space="preserve">1.4 Research gap</w:t>
      </w:r>
    </w:p>
    <w:p>
      <w:pPr>
        <w:spacing w:after="120" w:line="360"/>
        <w:ind w:firstLine="360"/>
        <w:jc w:val="both"/>
      </w:pPr>
      <w:r>
        <w:rPr>
          <w:rFonts w:ascii="Times New Roman" w:cs="Times New Roman" w:eastAsia="Times New Roman" w:hAnsi="Times New Roman"/>
          <w:sz w:val="24"/>
          <w:szCs w:val="24"/>
        </w:rPr>
        <w:t xml:space="preserve">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pPr>
        <w:spacing w:after="120" w:line="360"/>
        <w:ind w:firstLine="360"/>
        <w:jc w:val="both"/>
      </w:pPr>
      <w:r>
        <w:rPr>
          <w:rFonts w:ascii="Times New Roman" w:cs="Times New Roman" w:eastAsia="Times New Roman" w:hAnsi="Times New Roman"/>
          <w:sz w:val="24"/>
          <w:szCs w:val="24"/>
        </w:rPr>
        <w:t xml:space="preserve">This study does not claim to invent a new theory of knowledge transfer, or that no similar product exists. Its contribution is the design, implementation, and limited evaluation of KnowledgeGuard, a prototype that links employee-level risk assessment to manager review and assigned transfer activities.</w:t>
      </w:r>
    </w:p>
    <w:p>
      <w:pPr>
        <w:spacing w:after="120" w:line="360"/>
        <w:ind w:firstLine="360"/>
        <w:jc w:val="both"/>
      </w:pPr>
      <w:r>
        <w:rPr>
          <w:rFonts w:ascii="Times New Roman" w:cs="Times New Roman" w:eastAsia="Times New Roman" w:hAnsi="Times New Roman"/>
          <w:sz w:val="24"/>
          <w:szCs w:val="24"/>
        </w:rPr>
        <w:t xml:space="preserve">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pPr>
        <w:spacing w:after="120" w:line="360"/>
        <w:ind w:firstLine="360"/>
        <w:jc w:val="both"/>
      </w:pPr>
      <w:r>
        <w:rPr>
          <w:rFonts w:ascii="Times New Roman" w:cs="Times New Roman" w:eastAsia="Times New Roman" w:hAnsi="Times New Roman"/>
          <w:sz w:val="24"/>
          <w:szCs w:val="24"/>
        </w:rPr>
        <w:t xml:space="preserve">The gap is also practical. Research identifies useful transfer mechanisms, but shows that sector and work context shape retention [6], so a generic score needs local testing. This project tests whether assessment, review and transfer can be joined in one traceable prototype. Validating real-world outcomes is left to future organizational study.</w:t>
      </w:r>
    </w:p>
    <w:p>
      <w:pPr>
        <w:pStyle w:val="Heading2"/>
        <w:spacing w:after="120" w:before="240"/>
      </w:pPr>
      <w:r>
        <w:rPr>
          <w:rFonts w:ascii="Times New Roman" w:cs="Times New Roman" w:eastAsia="Times New Roman" w:hAnsi="Times New Roman"/>
          <w:b/>
          <w:bCs/>
          <w:sz w:val="28"/>
          <w:szCs w:val="28"/>
        </w:rPr>
        <w:t xml:space="preserve">1.5 Research questions</w:t>
      </w:r>
    </w:p>
    <w:p>
      <w:pPr>
        <w:spacing w:after="120" w:line="360"/>
        <w:ind w:firstLine="360"/>
        <w:jc w:val="both"/>
      </w:pPr>
      <w:r>
        <w:rPr>
          <w:rFonts w:ascii="Times New Roman" w:cs="Times New Roman" w:eastAsia="Times New Roman" w:hAnsi="Times New Roman"/>
          <w:sz w:val="24"/>
          <w:szCs w:val="24"/>
        </w:rPr>
        <w:t xml:space="preserve">The main research question is: How can a decision support system help identify employee-level knowledge-loss risk and support structured knowledge-transfer decisions during organizational transitions?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RQ1. How can literature-informed indicators of employee-level knowledge-loss risk be operationalized in a structured prototype assessment?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RQ2. How can indicator-based assessment, manager judgement, and supporting machine-learning analysis be integrated into a decision support workflow?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RQ3. How can the system support the planning, completion, and review of knowledge-transfer activities after a high-risk case is identified?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RQ4. How usable and acceptable is the prototype to its evaluators, and which aspects of its intended workflow can be demonstrated through testing?</w:t>
      </w:r>
    </w:p>
    <w:p>
      <w:pPr>
        <w:pStyle w:val="Heading2"/>
        <w:spacing w:after="120" w:before="240"/>
      </w:pPr>
      <w:r>
        <w:rPr>
          <w:rFonts w:ascii="Times New Roman" w:cs="Times New Roman" w:eastAsia="Times New Roman" w:hAnsi="Times New Roman"/>
          <w:b/>
          <w:bCs/>
          <w:sz w:val="28"/>
          <w:szCs w:val="28"/>
        </w:rPr>
        <w:t xml:space="preserve">1.6 Research motivation and significance</w:t>
      </w:r>
    </w:p>
    <w:p>
      <w:pPr>
        <w:spacing w:after="120" w:line="360"/>
        <w:ind w:firstLine="360"/>
        <w:jc w:val="both"/>
      </w:pPr>
      <w:r>
        <w:rPr>
          <w:rFonts w:ascii="Times New Roman" w:cs="Times New Roman" w:eastAsia="Times New Roman" w:hAnsi="Times New Roman"/>
          <w:sz w:val="24"/>
          <w:szCs w:val="24"/>
        </w:rPr>
        <w:t xml:space="preserve">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pPr>
        <w:spacing w:after="120" w:line="360"/>
        <w:ind w:firstLine="360"/>
        <w:jc w:val="both"/>
      </w:pPr>
      <w:r>
        <w:rPr>
          <w:rFonts w:ascii="Times New Roman" w:cs="Times New Roman" w:eastAsia="Times New Roman" w:hAnsi="Times New Roman"/>
          <w:sz w:val="24"/>
          <w:szCs w:val="24"/>
        </w:rPr>
        <w:t xml:space="preserve">The research significance lies in examining whether established methods can be connected into one auditable workflow. Design science research supports building and evaluating an information-system artefact in response to a practical problem [5]. The value demonstrated in this study concerns the prototype and its evaluated functions (see Section 1.7).</w:t>
      </w:r>
    </w:p>
    <w:p>
      <w:pPr>
        <w:pStyle w:val="Heading2"/>
        <w:spacing w:after="120" w:before="240"/>
      </w:pPr>
      <w:r>
        <w:rPr>
          <w:rFonts w:ascii="Times New Roman" w:cs="Times New Roman" w:eastAsia="Times New Roman" w:hAnsi="Times New Roman"/>
          <w:b/>
          <w:bCs/>
          <w:sz w:val="28"/>
          <w:szCs w:val="28"/>
        </w:rPr>
        <w:t xml:space="preserve">1.7 Scope</w:t>
      </w:r>
    </w:p>
    <w:p>
      <w:pPr>
        <w:spacing w:after="120" w:line="360"/>
        <w:ind w:firstLine="360"/>
        <w:jc w:val="both"/>
      </w:pPr>
      <w:r>
        <w:rPr>
          <w:rFonts w:ascii="Times New Roman" w:cs="Times New Roman" w:eastAsia="Times New Roman" w:hAnsi="Times New Roman"/>
          <w:sz w:val="24"/>
          <w:szCs w:val="24"/>
        </w:rPr>
        <w:t xml:space="preserve">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pPr>
        <w:spacing w:after="120" w:line="360"/>
        <w:ind w:firstLine="360"/>
        <w:jc w:val="both"/>
      </w:pPr>
      <w:r>
        <w:rPr>
          <w:rFonts w:ascii="Times New Roman" w:cs="Times New Roman" w:eastAsia="Times New Roman" w:hAnsi="Times New Roman"/>
          <w:sz w:val="24"/>
          <w:szCs w:val="24"/>
        </w:rPr>
        <w:t xml:space="preserve">The study covers prototype development and evaluation using 30 anonymized standalone industry-colleague assessments, a separate generated Q1-Q4 workflow dataset, ten pairwise-comparison responses and ten system-evaluation responses. The prototype was deployed online for evaluator access, not a partner-organization field study. AHP provided an exploratory comparison with the predefined weights; it did not change the scoring configuration used in the evaluation.</w:t>
      </w:r>
    </w:p>
    <w:p>
      <w:pPr>
        <w:spacing w:after="120" w:line="360"/>
        <w:ind w:firstLine="360"/>
        <w:jc w:val="both"/>
      </w:pPr>
      <w:r>
        <w:rPr>
          <w:rFonts w:ascii="Times New Roman" w:cs="Times New Roman" w:eastAsia="Times New Roman" w:hAnsi="Times New Roman"/>
          <w:sz w:val="24"/>
          <w:szCs w:val="24"/>
        </w:rPr>
        <w:t xml:space="preserve">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Included in this study</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Outside the demonstrated evidence</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Prototype assessment and manager-reviewed KT workflow</w:t>
            </w:r>
          </w:p>
        </w:tc>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Deployment or observed outcomes in a partner organization</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Standalone colleague responses and a separate generated Q1-Q4 test dataset</w:t>
            </w:r>
          </w:p>
        </w:tc>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 real four-quarter cohort or observed retention over time</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Exploratory AHP comparisons and usability responses</w:t>
            </w:r>
          </w:p>
        </w:tc>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Validated indicator weights or population-wide acceptance</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Scoring and functional demonstration</w:t>
            </w:r>
          </w:p>
        </w:tc>
        <w:tc>
          <w:tcPr>
            <w:tcW w:type="dxa" w:w="45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Independent prediction of departures or knowledge loss</w:t>
            </w:r>
          </w:p>
        </w:tc>
      </w:tr>
    </w:tbl>
    <w:p>
      <w:pPr>
        <w:spacing w:after="200" w:before="80"/>
        <w:jc w:val="center"/>
      </w:pPr>
      <w:r>
        <w:rPr>
          <w:rFonts w:ascii="Times New Roman" w:cs="Times New Roman" w:eastAsia="Times New Roman" w:hAnsi="Times New Roman"/>
          <w:i/>
          <w:iCs/>
          <w:sz w:val="22"/>
          <w:szCs w:val="22"/>
        </w:rPr>
        <w:t xml:space="preserve">Table 1.1: Scope and evidence boundaries</w:t>
      </w:r>
    </w:p>
    <w:p>
      <w:pPr>
        <w:pStyle w:val="Heading2"/>
        <w:spacing w:after="120" w:before="240"/>
      </w:pPr>
      <w:r>
        <w:rPr>
          <w:rFonts w:ascii="Times New Roman" w:cs="Times New Roman" w:eastAsia="Times New Roman" w:hAnsi="Times New Roman"/>
          <w:b/>
          <w:bCs/>
          <w:sz w:val="28"/>
          <w:szCs w:val="28"/>
        </w:rPr>
        <w:t xml:space="preserve">1.8 Overview of the proposed solution</w:t>
      </w:r>
    </w:p>
    <w:p>
      <w:pPr>
        <w:spacing w:after="120" w:line="360"/>
        <w:ind w:firstLine="360"/>
        <w:jc w:val="both"/>
      </w:pPr>
      <w:r>
        <w:rPr>
          <w:rFonts w:ascii="Times New Roman" w:cs="Times New Roman" w:eastAsia="Times New Roman" w:hAnsi="Times New Roman"/>
          <w:sz w:val="24"/>
          <w:szCs w:val="24"/>
        </w:rPr>
        <w:t xml:space="preserve">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pPr>
        <w:jc w:val="center"/>
      </w:pPr>
      <w:r>
        <w:drawing>
          <wp:inline xmlns:a="http://schemas.openxmlformats.org/drawingml/2006/main" xmlns:pic="http://schemas.openxmlformats.org/drawingml/2006/picture">
            <wp:extent cx="5394960" cy="3710013"/>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94960" cy="3710013"/>
                    </a:xfrm>
                    <a:prstGeom prst="rect"/>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1.1: Overview of the proposed KnowledgeGuard workflow.</w:t>
      </w:r>
    </w:p>
    <w:p>
      <w:pPr>
        <w:pStyle w:val="Heading2"/>
        <w:spacing w:after="120" w:before="240"/>
      </w:pPr>
      <w:r>
        <w:rPr>
          <w:rFonts w:ascii="Times New Roman" w:cs="Times New Roman" w:eastAsia="Times New Roman" w:hAnsi="Times New Roman"/>
          <w:b/>
          <w:bCs/>
          <w:sz w:val="28"/>
          <w:szCs w:val="28"/>
        </w:rPr>
        <w:t xml:space="preserve">1.9 Chapter summary</w:t>
      </w:r>
    </w:p>
    <w:p>
      <w:pPr>
        <w:spacing w:after="120" w:line="360"/>
        <w:ind w:firstLine="360"/>
        <w:jc w:val="both"/>
      </w:pPr>
      <w:r>
        <w:rPr>
          <w:rFonts w:ascii="Times New Roman" w:cs="Times New Roman" w:eastAsia="Times New Roman" w:hAnsi="Times New Roman"/>
          <w:sz w:val="24"/>
          <w:szCs w:val="24"/>
        </w:rPr>
        <w:t xml:space="preserve">This chapter defined the knowledge-loss problem, the study’s design contribution, four research questions, and the boundaries of the prototype evaluation. Chapter 2 states the objectives, and Chapter 3 reviews the research informing the assessment and transfer workflow.</w:t>
      </w:r>
    </w:p>
    <w:p>
      <w:pPr>
        <w:pStyle w:val="Heading1"/>
        <w:spacing w:after="200" w:before="240"/>
      </w:pPr>
      <w:r>
        <w:rPr>
          <w:rFonts w:ascii="Times New Roman" w:cs="Times New Roman" w:eastAsia="Times New Roman" w:hAnsi="Times New Roman"/>
          <w:b/>
          <w:bCs/>
          <w:sz w:val="32"/>
          <w:szCs w:val="32"/>
        </w:rPr>
        <w:t xml:space="preserve">2. OBJECTIVES</w:t>
      </w:r>
    </w:p>
    <w:p>
      <w:pPr>
        <w:pStyle w:val="Heading2"/>
        <w:spacing w:after="120" w:before="240"/>
      </w:pPr>
      <w:r>
        <w:rPr>
          <w:rFonts w:ascii="Times New Roman" w:cs="Times New Roman" w:eastAsia="Times New Roman" w:hAnsi="Times New Roman"/>
          <w:b/>
          <w:bCs/>
          <w:sz w:val="28"/>
          <w:szCs w:val="28"/>
        </w:rPr>
        <w:t xml:space="preserve">2.1 General objective or aim</w:t>
      </w:r>
    </w:p>
    <w:p>
      <w:pPr>
        <w:spacing w:after="120" w:line="360"/>
        <w:ind w:firstLine="360"/>
        <w:jc w:val="both"/>
      </w:pPr>
      <w:r>
        <w:rPr>
          <w:rFonts w:ascii="Times New Roman" w:cs="Times New Roman" w:eastAsia="Times New Roman" w:hAnsi="Times New Roman"/>
          <w:sz w:val="24"/>
          <w:szCs w:val="24"/>
        </w:rPr>
        <w:t xml:space="preserve">The general objective of this study was to design, develop, and evaluate KnowledgeGuard, a decision support prototype that assesses employee-level knowledge-loss risk during organizational transitions and supports structured knowledge-transfer decisions.</w:t>
      </w:r>
    </w:p>
    <w:p>
      <w:pPr>
        <w:spacing w:after="120" w:line="360"/>
        <w:ind w:firstLine="360"/>
        <w:jc w:val="both"/>
      </w:pPr>
      <w:r>
        <w:rPr>
          <w:rFonts w:ascii="Times New Roman" w:cs="Times New Roman" w:eastAsia="Times New Roman" w:hAnsi="Times New Roman"/>
          <w:sz w:val="24"/>
          <w:szCs w:val="24"/>
        </w:rPr>
        <w:t xml:space="preserve">The intended contribution is an accountable decision-support workflow, not an autonomous personnel-decision tool. KnowledgeGuard therefore shows its assessment inputs and risk information to a manager, links eligible cases to knowledge-transfer activities, and records review and approval.</w:t>
      </w:r>
    </w:p>
    <w:p>
      <w:pPr>
        <w:pStyle w:val="Heading2"/>
        <w:spacing w:after="120" w:before="240"/>
      </w:pPr>
      <w:r>
        <w:rPr>
          <w:rFonts w:ascii="Times New Roman" w:cs="Times New Roman" w:eastAsia="Times New Roman" w:hAnsi="Times New Roman"/>
          <w:b/>
          <w:bCs/>
          <w:sz w:val="28"/>
          <w:szCs w:val="28"/>
        </w:rPr>
        <w:t xml:space="preserve">2.2 Specific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Objective 1. To identify literature-informed indicators of employee-level knowledge-loss risk and operationalize them in a structured assessment that flags potentially low-quality response patterns for managerial review.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Objective 2. To derive and justify the prototype’s design requirements from relevant knowledge-management, risk-assessment, and decision-support research.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Objective 3. To design and implement an integrated workflow that combines transparent indicator scoring, manager validation, a supporting machine-learning score, risk classification, and knowledge-transfer planning, task review, and sign-off.</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Objective 4. To evaluate the prototype’s assessment and knowledge-transfer functions through functional testing and to describe perceived usability and acceptance from system-evaluation responses.</w:t>
      </w:r>
    </w:p>
    <w:p>
      <w:pPr>
        <w:pStyle w:val="Heading1"/>
        <w:spacing w:after="200" w:before="240"/>
      </w:pPr>
      <w:r>
        <w:rPr>
          <w:rFonts w:ascii="Times New Roman" w:cs="Times New Roman" w:eastAsia="Times New Roman" w:hAnsi="Times New Roman"/>
          <w:b/>
          <w:bCs/>
          <w:sz w:val="32"/>
          <w:szCs w:val="32"/>
        </w:rPr>
        <w:t xml:space="preserve">3. LITERATURE REVIEW</w:t>
      </w:r>
    </w:p>
    <w:p>
      <w:pPr>
        <w:pStyle w:val="Heading2"/>
        <w:spacing w:after="120" w:before="240"/>
      </w:pPr>
      <w:r>
        <w:rPr>
          <w:rFonts w:ascii="Times New Roman" w:cs="Times New Roman" w:eastAsia="Times New Roman" w:hAnsi="Times New Roman"/>
          <w:b/>
          <w:bCs/>
          <w:sz w:val="28"/>
          <w:szCs w:val="28"/>
        </w:rPr>
        <w:t xml:space="preserve">3.1 Chapter overview</w:t>
      </w:r>
    </w:p>
    <w:p>
      <w:pPr>
        <w:spacing w:after="120" w:line="360"/>
        <w:ind w:firstLine="360"/>
        <w:jc w:val="both"/>
      </w:pPr>
      <w:r>
        <w:rPr>
          <w:rFonts w:ascii="Times New Roman" w:cs="Times New Roman" w:eastAsia="Times New Roman" w:hAnsi="Times New Roman"/>
          <w:sz w:val="24"/>
          <w:szCs w:val="24"/>
        </w:rPr>
        <w:t xml:space="preserve">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pPr>
        <w:spacing w:after="120" w:line="360"/>
        <w:ind w:firstLine="360"/>
        <w:jc w:val="both"/>
      </w:pPr>
      <w:r>
        <w:rPr>
          <w:rFonts w:ascii="Times New Roman" w:cs="Times New Roman" w:eastAsia="Times New Roman" w:hAnsi="Times New Roman"/>
          <w:sz w:val="24"/>
          <w:szCs w:val="24"/>
        </w:rPr>
        <w:t xml:space="preserve">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pPr>
        <w:pStyle w:val="Heading2"/>
        <w:spacing w:after="120" w:before="240"/>
      </w:pPr>
      <w:r>
        <w:rPr>
          <w:rFonts w:ascii="Times New Roman" w:cs="Times New Roman" w:eastAsia="Times New Roman" w:hAnsi="Times New Roman"/>
          <w:b/>
          <w:bCs/>
          <w:sz w:val="28"/>
          <w:szCs w:val="28"/>
        </w:rPr>
        <w:t xml:space="preserve">3.2 Domain concepts and theories</w:t>
      </w:r>
    </w:p>
    <w:p>
      <w:pPr>
        <w:spacing w:after="120" w:line="360"/>
        <w:ind w:firstLine="360"/>
        <w:jc w:val="both"/>
      </w:pPr>
      <w:r>
        <w:rPr>
          <w:rFonts w:ascii="Times New Roman" w:cs="Times New Roman" w:eastAsia="Times New Roman" w:hAnsi="Times New Roman"/>
          <w:sz w:val="24"/>
          <w:szCs w:val="24"/>
        </w:rPr>
        <w:t xml:space="preserve">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pPr>
        <w:jc w:val="center"/>
      </w:pPr>
      <w:r>
        <w:drawing>
          <wp:inline xmlns:a="http://schemas.openxmlformats.org/drawingml/2006/main" xmlns:pic="http://schemas.openxmlformats.org/drawingml/2006/picture">
            <wp:extent cx="5394960" cy="76428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7642860"/>
                    </a:xfrm>
                    <a:prstGeom prst="rect"/>
                  </pic:spPr>
                </pic:pic>
              </a:graphicData>
            </a:graphic>
          </wp:inline>
        </w:drawing>
      </w:r>
    </w:p>
    <w:p>
      <w:pPr>
        <w:spacing w:after="200" w:before="80"/>
        <w:jc w:val="center"/>
      </w:pPr>
      <w:r>
        <w:rPr>
          <w:rFonts w:ascii="Times New Roman" w:cs="Times New Roman" w:eastAsia="Times New Roman" w:hAnsi="Times New Roman"/>
          <w:i/>
          <w:iCs/>
          <w:sz w:val="22"/>
          <w:szCs w:val="22"/>
        </w:rPr>
        <w:t xml:space="preserve">Figure 3.1: Conceptual map of the literature informing KnowledgeGuard.</w:t>
      </w:r>
    </w:p>
    <w:p>
      <w:pPr>
        <w:pStyle w:val="Heading3"/>
        <w:spacing w:after="120" w:before="200"/>
      </w:pPr>
      <w:r>
        <w:rPr>
          <w:rFonts w:ascii="Times New Roman" w:cs="Times New Roman" w:eastAsia="Times New Roman" w:hAnsi="Times New Roman"/>
          <w:b/>
          <w:bCs/>
          <w:sz w:val="24"/>
          <w:szCs w:val="24"/>
        </w:rPr>
        <w:t xml:space="preserve">3.2.1 Organizational knowledge, tacit knowledge and knowledge-loss risk</w:t>
      </w:r>
    </w:p>
    <w:p>
      <w:pPr>
        <w:spacing w:after="120" w:line="360"/>
        <w:ind w:firstLine="360"/>
        <w:jc w:val="both"/>
      </w:pPr>
      <w:r>
        <w:rPr>
          <w:rFonts w:ascii="Times New Roman" w:cs="Times New Roman" w:eastAsia="Times New Roman" w:hAnsi="Times New Roman"/>
          <w:sz w:val="24"/>
          <w:szCs w:val="24"/>
        </w:rPr>
        <w:t xml:space="preserve">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pPr>
        <w:spacing w:after="120" w:line="360"/>
        <w:ind w:firstLine="360"/>
        <w:jc w:val="both"/>
      </w:pPr>
      <w:r>
        <w:rPr>
          <w:rFonts w:ascii="Times New Roman" w:cs="Times New Roman" w:eastAsia="Times New Roman" w:hAnsi="Times New Roman"/>
          <w:sz w:val="24"/>
          <w:szCs w:val="24"/>
        </w:rPr>
        <w:t xml:space="preserve">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pPr>
        <w:spacing w:after="120" w:line="360"/>
        <w:ind w:firstLine="360"/>
        <w:jc w:val="both"/>
      </w:pPr>
      <w:r>
        <w:rPr>
          <w:rFonts w:ascii="Times New Roman" w:cs="Times New Roman" w:eastAsia="Times New Roman" w:hAnsi="Times New Roman"/>
          <w:sz w:val="24"/>
          <w:szCs w:val="24"/>
        </w:rPr>
        <w:t xml:space="preserve">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pPr>
        <w:spacing w:after="120" w:line="360"/>
        <w:ind w:firstLine="360"/>
        <w:jc w:val="both"/>
      </w:pPr>
      <w:r>
        <w:rPr>
          <w:rFonts w:ascii="Times New Roman" w:cs="Times New Roman" w:eastAsia="Times New Roman" w:hAnsi="Times New Roman"/>
          <w:sz w:val="24"/>
          <w:szCs w:val="24"/>
        </w:rPr>
        <w:t xml:space="preserve">A high risk score is not evidence that knowledge has already been lost. It is an indication that the case should be reviewed.</w:t>
      </w:r>
    </w:p>
    <w:p>
      <w:pPr>
        <w:pStyle w:val="Heading2"/>
        <w:spacing w:after="120" w:before="240"/>
      </w:pPr>
      <w:r>
        <w:rPr>
          <w:rFonts w:ascii="Times New Roman" w:cs="Times New Roman" w:eastAsia="Times New Roman" w:hAnsi="Times New Roman"/>
          <w:b/>
          <w:bCs/>
          <w:sz w:val="28"/>
          <w:szCs w:val="28"/>
        </w:rPr>
        <w:t xml:space="preserve">3.3 Existing studies, systems or frameworks</w:t>
      </w:r>
    </w:p>
    <w:p>
      <w:pPr>
        <w:pStyle w:val="Heading3"/>
        <w:spacing w:after="120" w:before="200"/>
      </w:pPr>
      <w:r>
        <w:rPr>
          <w:rFonts w:ascii="Times New Roman" w:cs="Times New Roman" w:eastAsia="Times New Roman" w:hAnsi="Times New Roman"/>
          <w:b/>
          <w:bCs/>
          <w:sz w:val="24"/>
          <w:szCs w:val="24"/>
        </w:rPr>
        <w:t xml:space="preserve">3.3.1 Repositories versus proactive decision support</w:t>
      </w:r>
    </w:p>
    <w:p>
      <w:pPr>
        <w:spacing w:after="120" w:line="360"/>
        <w:ind w:firstLine="360"/>
        <w:jc w:val="both"/>
      </w:pPr>
      <w:r>
        <w:rPr>
          <w:rFonts w:ascii="Times New Roman" w:cs="Times New Roman" w:eastAsia="Times New Roman" w:hAnsi="Times New Roman"/>
          <w:sz w:val="24"/>
          <w:szCs w:val="24"/>
        </w:rP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knowledge that has already been captured. They do not inherently identify which employee has difficult-to-replace knowledge, determine the operational consequences of that employee’s absence, or initiate a knowledge-transfer workflow from a risk assessment.</w:t>
      </w:r>
    </w:p>
    <w:p>
      <w:pPr>
        <w:spacing w:after="120" w:line="360"/>
        <w:ind w:firstLine="360"/>
        <w:jc w:val="both"/>
      </w:pPr>
      <w:r>
        <w:rPr>
          <w:rFonts w:ascii="Times New Roman" w:cs="Times New Roman" w:eastAsia="Times New Roman" w:hAnsi="Times New Roman"/>
          <w:sz w:val="24"/>
          <w:szCs w:val="24"/>
        </w:rPr>
        <w:t xml:space="preserve">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pPr>
        <w:pStyle w:val="Heading3"/>
        <w:spacing w:after="120" w:before="200"/>
      </w:pPr>
      <w:r>
        <w:rPr>
          <w:rFonts w:ascii="Times New Roman" w:cs="Times New Roman" w:eastAsia="Times New Roman" w:hAnsi="Times New Roman"/>
          <w:b/>
          <w:bCs/>
          <w:sz w:val="24"/>
          <w:szCs w:val="24"/>
        </w:rPr>
        <w:t xml:space="preserve">3.3.2 Limitations of self-reported assessment data</w:t>
      </w:r>
    </w:p>
    <w:p>
      <w:pPr>
        <w:spacing w:after="120" w:line="360"/>
        <w:ind w:firstLine="360"/>
        <w:jc w:val="both"/>
      </w:pPr>
      <w:r>
        <w:rPr>
          <w:rFonts w:ascii="Times New Roman" w:cs="Times New Roman" w:eastAsia="Times New Roman" w:hAnsi="Times New Roman"/>
          <w:sz w:val="24"/>
          <w:szCs w:val="24"/>
        </w:rPr>
        <w:t xml:space="preserve">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pPr>
        <w:spacing w:after="120" w:line="360"/>
        <w:ind w:firstLine="360"/>
        <w:jc w:val="both"/>
      </w:pPr>
      <w:r>
        <w:rPr>
          <w:rFonts w:ascii="Times New Roman" w:cs="Times New Roman" w:eastAsia="Times New Roman" w:hAnsi="Times New Roman"/>
          <w:sz w:val="24"/>
          <w:szCs w:val="24"/>
        </w:rPr>
        <w:t xml:space="preserve">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pPr>
        <w:pStyle w:val="Heading3"/>
        <w:spacing w:after="120" w:before="200"/>
      </w:pPr>
      <w:r>
        <w:rPr>
          <w:rFonts w:ascii="Times New Roman" w:cs="Times New Roman" w:eastAsia="Times New Roman" w:hAnsi="Times New Roman"/>
          <w:b/>
          <w:bCs/>
          <w:sz w:val="24"/>
          <w:szCs w:val="24"/>
        </w:rPr>
        <w:t xml:space="preserve">3.3.3 The gap between risk identification and mitigation</w:t>
      </w:r>
    </w:p>
    <w:p>
      <w:pPr>
        <w:spacing w:after="120" w:line="360"/>
        <w:ind w:firstLine="360"/>
        <w:jc w:val="both"/>
      </w:pPr>
      <w:r>
        <w:rPr>
          <w:rFonts w:ascii="Times New Roman" w:cs="Times New Roman" w:eastAsia="Times New Roman" w:hAnsi="Times New Roman"/>
          <w:sz w:val="24"/>
          <w:szCs w:val="24"/>
        </w:rPr>
        <w:t xml:space="preserve">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pPr>
        <w:spacing w:after="120" w:line="360"/>
        <w:ind w:firstLine="360"/>
        <w:jc w:val="both"/>
      </w:pPr>
      <w:r>
        <w:rPr>
          <w:rFonts w:ascii="Times New Roman" w:cs="Times New Roman" w:eastAsia="Times New Roman" w:hAnsi="Times New Roman"/>
          <w:sz w:val="24"/>
          <w:szCs w:val="24"/>
        </w:rPr>
        <w:t xml:space="preserve">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pPr>
        <w:pStyle w:val="Heading3"/>
        <w:spacing w:after="120" w:before="200"/>
      </w:pPr>
      <w:r>
        <w:rPr>
          <w:rFonts w:ascii="Times New Roman" w:cs="Times New Roman" w:eastAsia="Times New Roman" w:hAnsi="Times New Roman"/>
          <w:b/>
          <w:bCs/>
          <w:sz w:val="24"/>
          <w:szCs w:val="24"/>
        </w:rPr>
        <w:t xml:space="preserve">3.3.4 Comparison with related systems and frameworks</w:t>
      </w:r>
    </w:p>
    <w:p>
      <w:pPr>
        <w:spacing w:after="120" w:line="360"/>
        <w:ind w:firstLine="360"/>
        <w:jc w:val="both"/>
      </w:pPr>
      <w:r>
        <w:rPr>
          <w:rFonts w:ascii="Times New Roman" w:cs="Times New Roman" w:eastAsia="Times New Roman" w:hAnsi="Times New Roman"/>
          <w:sz w:val="24"/>
          <w:szCs w:val="24"/>
        </w:rPr>
        <w:t xml:space="preserve">Table 3.1 compares selected systems and frameworks with the specific problem addressed by KnowledgeGuard. This is not a hands-on product benchmark. It compares documented or implemented functions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Example</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Main documented focus</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Relationship to KnowledgeGuard</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SharePoint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Collaborative file storage and versioning</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May store KT documents; no employee risk-assessment workflow evaluated</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Confluence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Shared pages, attachments, and team knowledge</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May store KT notes and process knowledge; no product test conducted</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ServiceNow Knowledge Management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Knowledge-article governance and approval</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Related approval capability; different assessed object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t>APQC Knowledge Loss Risk Matrix [16]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Prioritizing knowledge areas exposed to loss</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Comparable prioritization concept; detailed matrix not publicly available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t>SAP SuccessFactors [15]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Successor identification and readiness</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Related continuity and backup planning; product not tested</w:t>
            </w:r>
          </w:p>
        </w:tc>
      </w:tr>
    </w:tbl>
    <w:p>
      <w:pPr>
        <w:spacing w:after="200" w:before="80"/>
        <w:jc w:val="center"/>
      </w:pPr>
      <w:r>
        <w:rPr>
          <w:rFonts w:ascii="Times New Roman" w:cs="Times New Roman" w:eastAsia="Times New Roman" w:hAnsi="Times New Roman"/>
          <w:i/>
          <w:iCs/>
          <w:sz w:val="22"/>
          <w:szCs w:val="22"/>
        </w:rPr>
        <w:t xml:space="preserve">Table 3.1: Related systems and frameworks compared with KnowledgeGuard</w:t>
      </w:r>
    </w:p>
    <w:p>
      <w:pPr>
        <w:spacing w:after="120" w:line="360"/>
        <w:ind w:firstLine="360"/>
        <w:jc w:val="both"/>
      </w:pPr>
      <w:r>
        <w:rPr>
          <w:rFonts w:ascii="Times New Roman" w:cs="Times New Roman" w:eastAsia="Times New Roman" w:hAnsi="Times New Roman"/>
          <w:sz w:val="24"/>
          <w:szCs w:val="24"/>
        </w:rPr>
        <w:t xml:space="preserve">The comparison shows a pattern. SharePoint, Confluence and ServiceNow manage knowledge that has already been captured, and none of them assesses which employee’s knowledge is hardest to replace. SuccessFactors and the APQC matrix come closer to risk prioritization, but they focus on successor readiness or knowledge areas rather than linking an employee-level assessment to assigned transfer tasks and backup competence checks. KnowledgeGuard’s intended advantage is therefore the connection between these steps, not any single feature. Organizations may configure or combine these tools differently, and this comparison is based on documented functions only, not hands-on testing.</w:t>
      </w:r>
    </w:p>
    <w:p>
      <w:pPr>
        <w:pStyle w:val="Heading2"/>
        <w:spacing w:after="120" w:before="240"/>
      </w:pPr>
      <w:r>
        <w:rPr>
          <w:rFonts w:ascii="Times New Roman" w:cs="Times New Roman" w:eastAsia="Times New Roman" w:hAnsi="Times New Roman"/>
          <w:b/>
          <w:bCs/>
          <w:sz w:val="28"/>
          <w:szCs w:val="28"/>
        </w:rPr>
        <w:t xml:space="preserve">3.4 Technical approaches</w:t>
      </w:r>
    </w:p>
    <w:p>
      <w:pPr>
        <w:pStyle w:val="Heading3"/>
        <w:spacing w:after="120" w:before="200"/>
      </w:pPr>
      <w:r>
        <w:rPr>
          <w:rFonts w:ascii="Times New Roman" w:cs="Times New Roman" w:eastAsia="Times New Roman" w:hAnsi="Times New Roman"/>
          <w:b/>
          <w:bCs/>
          <w:sz w:val="24"/>
          <w:szCs w:val="24"/>
        </w:rPr>
        <w:t xml:space="preserve">3.4.1 Operationalization of knowledge-loss indicators</w:t>
      </w:r>
    </w:p>
    <w:p>
      <w:pPr>
        <w:spacing w:after="120" w:line="360"/>
        <w:ind w:firstLine="360"/>
        <w:jc w:val="both"/>
      </w:pPr>
      <w:r>
        <w:rPr>
          <w:rFonts w:ascii="Times New Roman" w:cs="Times New Roman" w:eastAsia="Times New Roman" w:hAnsi="Times New Roman"/>
          <w:sz w:val="24"/>
          <w:szCs w:val="24"/>
        </w:rPr>
        <w:t xml:space="preserve">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pPr>
        <w:spacing w:after="120" w:line="360"/>
        <w:ind w:firstLine="360"/>
        <w:jc w:val="both"/>
      </w:pPr>
      <w:r>
        <w:rPr>
          <w:rFonts w:ascii="Times New Roman" w:cs="Times New Roman" w:eastAsia="Times New Roman" w:hAnsi="Times New Roman"/>
          <w:sz w:val="24"/>
          <w:szCs w:val="24"/>
        </w:rPr>
        <w:t xml:space="preserve">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Research rationale</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Design implication in KnowledgeGuard</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Knowledge concentrated in one person can be difficult to replace [9], [10]</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 whether alternative holders can perform comparable work</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Tacit or inaccessible knowledge is difficult for another employee to use [1], [2]</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 whether essential procedures and context are available in usable form</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The consequence of loss depends on the work and services affected [4], [11]</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 the potential disruption associated with important work</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Knowledge transfer and work continuity depend on relationships and reliance on people [2], [3]</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 how strongly colleagues depend on the holder for support or decisions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Length of service may provide context about accumulated experience but does not prove unique expertise [8]</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Calculate contextual service-length information with a lower initial weight</w:t>
            </w:r>
          </w:p>
        </w:tc>
      </w:tr>
    </w:tbl>
    <w:p>
      <w:pPr>
        <w:spacing w:after="200" w:before="80"/>
        <w:jc w:val="center"/>
      </w:pPr>
      <w:r>
        <w:rPr>
          <w:rFonts w:ascii="Times New Roman" w:cs="Times New Roman" w:eastAsia="Times New Roman" w:hAnsi="Times New Roman"/>
          <w:i/>
          <w:iCs/>
          <w:sz w:val="22"/>
          <w:szCs w:val="22"/>
        </w:rPr>
        <w:t xml:space="preserve">Table 3.2: Literature basis for the KnowledgeGuard indicators</w:t>
      </w:r>
    </w:p>
    <w:p>
      <w:pPr>
        <w:spacing w:after="120" w:line="360"/>
        <w:ind w:firstLine="360"/>
        <w:jc w:val="both"/>
      </w:pPr>
      <w:r>
        <w:rPr>
          <w:rFonts w:ascii="Times New Roman" w:cs="Times New Roman" w:eastAsia="Times New Roman" w:hAnsi="Times New Roman"/>
          <w:sz w:val="24"/>
          <w:szCs w:val="24"/>
        </w:rPr>
        <w:t xml:space="preserve">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pPr>
        <w:spacing w:after="120" w:line="360"/>
        <w:ind w:firstLine="360"/>
        <w:jc w:val="both"/>
      </w:pPr>
      <w:r>
        <w:rPr>
          <w:rFonts w:ascii="Times New Roman" w:cs="Times New Roman" w:eastAsia="Times New Roman" w:hAnsi="Times New Roman"/>
          <w:sz w:val="24"/>
          <w:szCs w:val="24"/>
        </w:rPr>
        <w:t xml:space="preserve">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pPr>
        <w:pStyle w:val="Heading3"/>
        <w:spacing w:after="120" w:before="200"/>
      </w:pPr>
      <w:r>
        <w:rPr>
          <w:rFonts w:ascii="Times New Roman" w:cs="Times New Roman" w:eastAsia="Times New Roman" w:hAnsi="Times New Roman"/>
          <w:b/>
          <w:bCs/>
          <w:sz w:val="24"/>
          <w:szCs w:val="24"/>
        </w:rPr>
        <w:t xml:space="preserve">3.4.2 Transparent weighted scoring and AHP</w:t>
      </w:r>
    </w:p>
    <w:p>
      <w:pPr>
        <w:spacing w:after="120" w:line="360"/>
        <w:ind w:firstLine="360"/>
        <w:jc w:val="both"/>
      </w:pPr>
      <w:r>
        <w:rPr>
          <w:rFonts w:ascii="Times New Roman" w:cs="Times New Roman" w:eastAsia="Times New Roman" w:hAnsi="Times New Roman"/>
          <w:sz w:val="24"/>
          <w:szCs w:val="24"/>
        </w:rPr>
        <w:t xml:space="preserve">A transparent weighted score was selected because managers should be able to understand why a case receives a particular risk tier. A purely machine-learning approach was not used as the primary method because it needs reliable outcome labels that the study did not have, and its reasoning is harder for a manager to inspect. A weighted formula lets a manager see exactly how each indicator contributed to the result.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pPr>
        <w:spacing w:after="120" w:line="360"/>
        <w:ind w:firstLine="360"/>
        <w:jc w:val="both"/>
      </w:pPr>
      <w:r>
        <w:rPr>
          <w:rFonts w:ascii="Times New Roman" w:cs="Times New Roman" w:eastAsia="Times New Roman" w:hAnsi="Times New Roman"/>
          <w:sz w:val="24"/>
          <w:szCs w:val="24"/>
        </w:rPr>
        <w:t xml:space="preserve">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pPr>
        <w:pStyle w:val="Heading3"/>
        <w:spacing w:after="120" w:before="200"/>
      </w:pPr>
      <w:r>
        <w:rPr>
          <w:rFonts w:ascii="Times New Roman" w:cs="Times New Roman" w:eastAsia="Times New Roman" w:hAnsi="Times New Roman"/>
          <w:b/>
          <w:bCs/>
          <w:sz w:val="24"/>
          <w:szCs w:val="24"/>
        </w:rPr>
        <w:t xml:space="preserve">3.4.3 Supporting machine learning and anomaly review</w:t>
      </w:r>
    </w:p>
    <w:p>
      <w:pPr>
        <w:spacing w:after="120" w:line="360"/>
        <w:ind w:firstLine="360"/>
        <w:jc w:val="both"/>
      </w:pPr>
      <w:r>
        <w:rPr>
          <w:rFonts w:ascii="Times New Roman" w:cs="Times New Roman" w:eastAsia="Times New Roman" w:hAnsi="Times New Roman"/>
          <w:sz w:val="24"/>
          <w:szCs w:val="24"/>
        </w:rPr>
        <w:t xml:space="preserve">KnowledgeGuard uses a Random Forest classifier as a supporting machine-learning component. Random Forest combines multiple decision trees to classify structured data [21]. It was chosen over simpler models because it handles non-linear relationships between indicators well on small datasets and shows which indicators matter most. The ML service receives the five indicator values and returns a supporting risk tier and score; it cannot make an autonomous employment decision.</w:t>
      </w:r>
    </w:p>
    <w:p>
      <w:pPr>
        <w:spacing w:after="120" w:line="360"/>
        <w:ind w:firstLine="360"/>
        <w:jc w:val="both"/>
      </w:pPr>
      <w:r>
        <w:rPr>
          <w:rFonts w:ascii="Times New Roman" w:cs="Times New Roman" w:eastAsia="Times New Roman" w:hAnsi="Times New Roman"/>
          <w:sz w:val="24"/>
          <w:szCs w:val="24"/>
        </w:rPr>
        <w:t xml:space="preserve">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pPr>
        <w:spacing w:after="120" w:line="360"/>
        <w:ind w:firstLine="360"/>
        <w:jc w:val="both"/>
      </w:pPr>
      <w:r>
        <w:rPr>
          <w:rFonts w:ascii="Times New Roman" w:cs="Times New Roman" w:eastAsia="Times New Roman" w:hAnsi="Times New Roman"/>
          <w:sz w:val="24"/>
          <w:szCs w:val="24"/>
        </w:rPr>
        <w:t xml:space="preserve">Isolation Forest identifies observations that are relatively unusual within a dataset [22]. It was selected because it is unsupervised: it needs no labelled examples of “suspicious” risk histories, which the study did not have. In KnowledgeGuard, it flags unusual patterns in an employee’s risk-score history when sufficient history exists. An alert prompts review; it does not establish the cause of the change or show that an employee gave false answers.</w:t>
      </w:r>
    </w:p>
    <w:p>
      <w:pPr>
        <w:pStyle w:val="Heading3"/>
        <w:spacing w:after="120" w:before="200"/>
      </w:pPr>
      <w:r>
        <w:rPr>
          <w:rFonts w:ascii="Times New Roman" w:cs="Times New Roman" w:eastAsia="Times New Roman" w:hAnsi="Times New Roman"/>
          <w:b/>
          <w:bCs/>
          <w:sz w:val="24"/>
          <w:szCs w:val="24"/>
        </w:rPr>
        <w:t xml:space="preserve">3.4.4 Generative AI and knowledge-transfer planning</w:t>
      </w:r>
    </w:p>
    <w:p>
      <w:pPr>
        <w:spacing w:after="120" w:line="360"/>
        <w:ind w:firstLine="360"/>
        <w:jc w:val="both"/>
      </w:pPr>
      <w:r>
        <w:rPr>
          <w:rFonts w:ascii="Times New Roman" w:cs="Times New Roman" w:eastAsia="Times New Roman" w:hAnsi="Times New Roman"/>
          <w:sz w:val="24"/>
          <w:szCs w:val="24"/>
        </w:rPr>
        <w:t xml:space="preserve">KnowledgeGuard uses an external generative-AI service for plain-language risk explanations, KT interview questions, improvement suggestions and manager questions about team risk [23]. In the implemented chat interface, the service may also return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pPr>
        <w:spacing w:after="120" w:line="360"/>
        <w:ind w:firstLine="360"/>
        <w:jc w:val="both"/>
      </w:pPr>
      <w:r>
        <w:rPr>
          <w:rFonts w:ascii="Times New Roman" w:cs="Times New Roman" w:eastAsia="Times New Roman" w:hAnsi="Times New Roman"/>
          <w:sz w:val="24"/>
          <w:szCs w:val="24"/>
        </w:rPr>
        <w:t xml:space="preserve">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pPr>
        <w:pStyle w:val="Heading3"/>
        <w:spacing w:after="120" w:before="200"/>
      </w:pPr>
      <w:r>
        <w:rPr>
          <w:rFonts w:ascii="Times New Roman" w:cs="Times New Roman" w:eastAsia="Times New Roman" w:hAnsi="Times New Roman"/>
          <w:b/>
          <w:bCs/>
          <w:sz w:val="24"/>
          <w:szCs w:val="24"/>
        </w:rPr>
        <w:t xml:space="preserve">3.4.5 Design-science evaluation, SUS and TAM</w:t>
      </w:r>
    </w:p>
    <w:p>
      <w:pPr>
        <w:spacing w:after="120" w:line="360"/>
        <w:ind w:firstLine="360"/>
        <w:jc w:val="both"/>
      </w:pPr>
      <w:r>
        <w:rPr>
          <w:rFonts w:ascii="Times New Roman" w:cs="Times New Roman" w:eastAsia="Times New Roman" w:hAnsi="Times New Roman"/>
          <w:sz w:val="24"/>
          <w:szCs w:val="24"/>
        </w:rPr>
        <w:t xml:space="preserve">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pPr>
        <w:spacing w:after="120" w:line="360"/>
        <w:ind w:firstLine="360"/>
        <w:jc w:val="both"/>
      </w:pPr>
      <w:r>
        <w:rPr>
          <w:rFonts w:ascii="Times New Roman" w:cs="Times New Roman" w:eastAsia="Times New Roman" w:hAnsi="Times New Roman"/>
          <w:sz w:val="24"/>
          <w:szCs w:val="24"/>
        </w:rPr>
        <w:t xml:space="preserve">The System Usability Scale (SUS) measures perceived usability [24]. The Technology Acceptance Model (TAM) examines perceived usefulness, perceived ease of use, and behavioral intention [25]. Together, functional tests, SUS, and TAM provide prototype-level evidence within the limits set out in Section 1.7.</w:t>
      </w:r>
    </w:p>
    <w:p>
      <w:pPr>
        <w:pStyle w:val="Heading2"/>
        <w:spacing w:after="120" w:before="240"/>
      </w:pPr>
      <w:r>
        <w:rPr>
          <w:rFonts w:ascii="Times New Roman" w:cs="Times New Roman" w:eastAsia="Times New Roman" w:hAnsi="Times New Roman"/>
          <w:b/>
          <w:bCs/>
          <w:sz w:val="28"/>
          <w:szCs w:val="28"/>
        </w:rPr>
        <w:t xml:space="preserve">3.5 Research gap and implications for this work</w:t>
      </w:r>
    </w:p>
    <w:p>
      <w:pPr>
        <w:spacing w:after="120" w:line="360"/>
        <w:ind w:firstLine="360"/>
        <w:jc w:val="both"/>
      </w:pPr>
      <w:r>
        <w:rPr>
          <w:rFonts w:ascii="Times New Roman" w:cs="Times New Roman" w:eastAsia="Times New Roman" w:hAnsi="Times New Roman"/>
          <w:sz w:val="24"/>
          <w:szCs w:val="24"/>
        </w:rPr>
        <w:t xml:space="preserve">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pPr>
        <w:spacing w:after="120" w:line="360"/>
        <w:ind w:firstLine="360"/>
        <w:jc w:val="both"/>
      </w:pPr>
      <w:r>
        <w:rPr>
          <w:rFonts w:ascii="Times New Roman" w:cs="Times New Roman" w:eastAsia="Times New Roman" w:hAnsi="Times New Roman"/>
          <w:sz w:val="24"/>
          <w:szCs w:val="24"/>
        </w:rPr>
        <w:t xml:space="preserve">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pPr>
        <w:spacing w:after="120" w:line="360"/>
        <w:ind w:firstLine="360"/>
        <w:jc w:val="both"/>
      </w:pPr>
      <w:r>
        <w:rPr>
          <w:rFonts w:ascii="Times New Roman" w:cs="Times New Roman" w:eastAsia="Times New Roman" w:hAnsi="Times New Roman"/>
          <w:sz w:val="24"/>
          <w:szCs w:val="24"/>
        </w:rPr>
        <w:t xml:space="preserve">The research gap is therefore an integration and evaluation opportunity. KnowledgeGuard addresses it by combining these components in one web-based, manager-reviewed prototype. Its contribution is the design, implementation, and limited evaluation of that integrated workflow.</w:t>
      </w:r>
    </w:p>
    <w:p>
      <w:pPr>
        <w:pStyle w:val="Heading2"/>
        <w:spacing w:after="120" w:before="240"/>
      </w:pPr>
      <w:r>
        <w:rPr>
          <w:rFonts w:ascii="Times New Roman" w:cs="Times New Roman" w:eastAsia="Times New Roman" w:hAnsi="Times New Roman"/>
          <w:b/>
          <w:bCs/>
          <w:sz w:val="28"/>
          <w:szCs w:val="28"/>
        </w:rPr>
        <w:t xml:space="preserve">3.6 Chapter summary</w:t>
      </w:r>
    </w:p>
    <w:p>
      <w:pPr>
        <w:spacing w:after="120" w:line="360"/>
        <w:ind w:firstLine="360"/>
        <w:jc w:val="both"/>
      </w:pPr>
      <w:r>
        <w:rPr>
          <w:rFonts w:ascii="Times New Roman" w:cs="Times New Roman" w:eastAsia="Times New Roman" w:hAnsi="Times New Roman"/>
          <w:sz w:val="24"/>
          <w:szCs w:val="24"/>
        </w:rPr>
        <w:t xml:space="preserve">This chapter reviewed the concepts and literature informing KnowledgeGuard. It explained why employee transitions can create knowledge-loss exposure, why repositories and risk scores alone are insufficient, and why a manager-reviewed transfer workflow is required.</w:t>
      </w:r>
    </w:p>
    <w:p>
      <w:pPr>
        <w:spacing w:after="120" w:line="360"/>
        <w:ind w:firstLine="360"/>
        <w:jc w:val="both"/>
      </w:pPr>
      <w:r>
        <w:rPr>
          <w:rFonts w:ascii="Times New Roman" w:cs="Times New Roman" w:eastAsia="Times New Roman" w:hAnsi="Times New Roman"/>
          <w:sz w:val="24"/>
          <w:szCs w:val="24"/>
        </w:rPr>
        <w:t xml:space="preserve">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pPr>
        <w:pStyle w:val="Heading1"/>
        <w:spacing w:after="200" w:before="240"/>
      </w:pPr>
      <w:r>
        <w:rPr>
          <w:rFonts w:ascii="Times New Roman" w:cs="Times New Roman" w:eastAsia="Times New Roman" w:hAnsi="Times New Roman"/>
          <w:b/>
          <w:bCs/>
          <w:sz w:val="32"/>
          <w:szCs w:val="32"/>
        </w:rPr>
        <w:t xml:space="preserve">4. METHODOLOGY</w:t>
      </w:r>
    </w:p>
    <w:p>
      <w:pPr>
        <w:pStyle w:val="Heading2"/>
        <w:spacing w:after="120" w:before="240"/>
      </w:pPr>
      <w:r>
        <w:rPr>
          <w:rFonts w:ascii="Times New Roman" w:cs="Times New Roman" w:eastAsia="Times New Roman" w:hAnsi="Times New Roman"/>
          <w:b/>
          <w:bCs/>
          <w:sz w:val="28"/>
          <w:szCs w:val="28"/>
        </w:rPr>
        <w:t xml:space="preserve">4.1 Research design</w:t>
      </w:r>
    </w:p>
    <w:p>
      <w:pPr>
        <w:spacing w:after="120" w:line="360"/>
        <w:ind w:firstLine="360"/>
        <w:jc w:val="both"/>
      </w:pPr>
      <w:r>
        <w:t>This study used a design science approach to develop and evaluate KnowledgeGuard as a decision-support artefact [5]. The practical problem was that important employee knowledge may be difficult to identify, review, and transfer before an employee transition disrupts work. KnowledgeGuard addresses this problem by connecting structured assessment, transparent risk scoring, manager review, and recorded knowledge-transfer activities.</w:t>
      </w:r>
    </w:p>
    <w:p>
      <w:pPr>
        <w:spacing w:after="120" w:line="360"/>
        <w:ind w:firstLine="360"/>
        <w:jc w:val="both"/>
      </w:pPr>
      <w:r>
        <w:rPr>
          <w:rFonts w:ascii="Times New Roman" w:cs="Times New Roman" w:eastAsia="Times New Roman" w:hAnsi="Times New Roman"/>
          <w:sz w:val="24"/>
          <w:szCs w:val="24"/>
        </w:rPr>
        <w:t xml:space="preserve">The development process followed five connected activities: identifying the problem, reviewing relevant research, defining requirements, constructing the prototype, and evaluating its behaviour. Iterative changes were made to the questionnaire import, scoring logic, manager interface, and knowledge-transfer workflow as the prototype was developed. This approach fits the research aim because the study examines whether a working application can support an assessment-to-transfer process. It does not test a causal theory of employee turnover or measure knowledge retained after a real departure.</w:t>
      </w:r>
    </w:p>
    <w:p>
      <w:pPr>
        <w:spacing w:after="120" w:line="360"/>
        <w:ind w:firstLine="360"/>
        <w:jc w:val="both"/>
      </w:pPr>
      <w:r>
        <w:rPr>
          <w:rFonts w:ascii="Times New Roman" w:cs="Times New Roman" w:eastAsia="Times New Roman" w:hAnsi="Times New Roman"/>
          <w:sz w:val="24"/>
          <w:szCs w:val="24"/>
        </w:rPr>
        <w:t xml:space="preserve">The evaluation combined functional verification, inspection of saved system outputs, an exploratory AHP comparison, and descriptive usability and acceptance responses. Each form of evidence supports a different conclusion. A functional test can show that a rule works for a specified input. A generated scenario can demonstrate the workflow. Evaluator responses can describe perceived usability. None independently establishes that KnowledgeGuard predicts departures or prevents organizational knowledge loss.</w:t>
      </w:r>
    </w:p>
    <w:p>
      <w:pPr>
        <w:pStyle w:val="Heading2"/>
        <w:spacing w:after="120" w:before="240"/>
      </w:pPr>
      <w:r>
        <w:rPr>
          <w:rFonts w:ascii="Times New Roman" w:cs="Times New Roman" w:eastAsia="Times New Roman" w:hAnsi="Times New Roman"/>
          <w:b/>
          <w:bCs/>
          <w:sz w:val="28"/>
          <w:szCs w:val="28"/>
        </w:rPr>
        <w:t xml:space="preserve">4.2 Data, participants and stakeholders</w:t>
      </w:r>
    </w:p>
    <w:p>
      <w:pPr>
        <w:spacing w:after="120" w:line="360"/>
        <w:ind w:firstLine="360"/>
        <w:jc w:val="both"/>
      </w:pPr>
      <w:r>
        <w:rPr>
          <w:rFonts w:ascii="Times New Roman" w:cs="Times New Roman" w:eastAsia="Times New Roman" w:hAnsi="Times New Roman"/>
          <w:sz w:val="24"/>
          <w:szCs w:val="24"/>
        </w:rPr>
        <w:t xml:space="preserve">Five distinct sources were used. They were kept separate throughout analysis so that collected responses were not presented as generated longitudinal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2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Source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Quantity</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Use in this study</w:t>
            </w:r>
          </w:p>
        </w:tc>
        <w:tc>
          <w:tcPr>
            <w:tcW w:type="dxa" w:w="2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Interpretation boundary</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Standalone colleague Q1 assessments and supplied start dates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30 responses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Demonstrate questionnaire mapping, indicator calculation, response-quality review, and tenure scoring</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Convenience responses, not a representative organizational cohort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Generated quarterly workflow data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30 fictional identities across Q1–Q4; 120 assessment rows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Test repeated imports, score history, manager review, and KT scenarios</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Generated demonstrations, not follow-up observations of the colleagues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 pairwise-comparison responses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 responses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Explore alternative indicator weights and AHP consistency</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 comparison, not validation against observed knowledge-loss outcomes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System-evaluation responses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 responses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Calculate descriptive SUS and TAM summaries</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Views of the available evaluator group, not population estimates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Synthetic ML training data and saved model outputs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500 generated profiles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Examine the implemented supporting classifier</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Rule-reproduction evidence, not real-world predictive validation</w:t>
            </w:r>
          </w:p>
        </w:tc>
      </w:tr>
    </w:tbl>
    <w:p>
      <w:pPr>
        <w:spacing w:after="200" w:before="80"/>
        <w:jc w:val="center"/>
      </w:pPr>
      <w:r>
        <w:rPr>
          <w:rFonts w:ascii="Times New Roman" w:cs="Times New Roman" w:eastAsia="Times New Roman" w:hAnsi="Times New Roman"/>
          <w:i/>
          <w:iCs/>
          <w:sz w:val="22"/>
          <w:szCs w:val="22"/>
        </w:rPr>
        <w:t xml:space="preserve">Table 4.1: Data sources and permitted interpretations</w:t>
      </w:r>
    </w:p>
    <w:p>
      <w:pPr>
        <w:spacing w:after="120" w:line="360"/>
        <w:ind w:firstLine="360"/>
        <w:jc w:val="both"/>
      </w:pPr>
      <w:r>
        <w:rPr>
          <w:rFonts w:ascii="Times New Roman" w:cs="Times New Roman" w:eastAsia="Times New Roman" w:hAnsi="Times New Roman"/>
          <w:sz w:val="24"/>
          <w:szCs w:val="24"/>
        </w:rPr>
        <w:t xml:space="preserve">The 30 colleagues were employed in industry and completed a standalone Q1 assessment. The questionnaire contained ten items concerning alternative knowledge holders, transfer difficulty, documentation, critical work, and colleague dependency. Direct and reverse-worded responses were mapped to four survey-derived indicators. Each participant also supplied a start date for the prototype tenure calculation. The responses were not obtained from a partner organization, and no later-quarter responses from these colleagues were used in this study.</w:t>
      </w:r>
    </w:p>
    <w:p>
      <w:pPr>
        <w:spacing w:after="120" w:line="360"/>
        <w:ind w:firstLine="360"/>
        <w:jc w:val="both"/>
      </w:pPr>
      <w:r>
        <w:rPr>
          <w:rFonts w:ascii="Times New Roman" w:cs="Times New Roman" w:eastAsia="Times New Roman" w:hAnsi="Times New Roman"/>
          <w:sz w:val="24"/>
          <w:szCs w:val="24"/>
        </w:rPr>
        <w:t xml:space="preserve">A separate generated dataset used the same 30 fictional identities in each of four quarters. It was designed to test import, history, and workflow behaviour. Its Q1 records were not combined with the collected colleague Q1 responses.</w:t>
      </w:r>
    </w:p>
    <w:p>
      <w:pPr>
        <w:spacing w:after="120" w:line="360"/>
        <w:ind w:firstLine="360"/>
        <w:jc w:val="both"/>
      </w:pPr>
      <w:r>
        <w:rPr>
          <w:rFonts w:ascii="Times New Roman" w:cs="Times New Roman" w:eastAsia="Times New Roman" w:hAnsi="Times New Roman"/>
          <w:sz w:val="24"/>
          <w:szCs w:val="24"/>
        </w:rPr>
        <w:t xml:space="preserve">Ten working professionals with experience in HR, team management, technical work, or organizational processes evaluated the deployed prototype. Exact role counts and organizational affiliations were not recorded. They used the system independently before completing the system-evaluation questionnaire. Ten pairwise-comparison responses were collected separately for the AHP analysis.</w:t>
      </w:r>
    </w:p>
    <w:p>
      <w:pPr>
        <w:spacing w:after="120" w:line="360"/>
        <w:ind w:firstLine="360"/>
        <w:jc w:val="both"/>
      </w:pPr>
      <w:r>
        <w:rPr>
          <w:rFonts w:ascii="Times New Roman" w:cs="Times New Roman" w:eastAsia="Times New Roman" w:hAnsi="Times New Roman"/>
          <w:sz w:val="24"/>
          <w:szCs w:val="24"/>
        </w:rPr>
        <w:t xml:space="preserve">The principal application stakeholders were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Stakeholder</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Role in KnowledgeGuard</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Principal record or decision</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Employee or knowledge holder</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Provides assessment information and knowledge-transfer evidence</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Assessment and assigned task submissions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Manager</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Reviews risk, validates indicators, creates and oversees KT plans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Validation, evidence approval, competence rating, and sign-off</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Backup employee</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Observes, discusses, and practises the work</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Session confirmation and practice evidence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HR user</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Imports authorized data and reviews permitted results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Import and risk-review records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Administrator</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Manages users, roles, and scoring configuration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Access and configuration records</w:t>
            </w:r>
          </w:p>
        </w:tc>
      </w:tr>
    </w:tbl>
    <w:p>
      <w:pPr>
        <w:spacing w:after="200" w:before="80"/>
        <w:jc w:val="center"/>
      </w:pPr>
      <w:r>
        <w:rPr>
          <w:rFonts w:ascii="Times New Roman" w:cs="Times New Roman" w:eastAsia="Times New Roman" w:hAnsi="Times New Roman"/>
          <w:i/>
          <w:iCs/>
          <w:sz w:val="22"/>
          <w:szCs w:val="22"/>
        </w:rPr>
        <w:t xml:space="preserve">Table 4.2: Stakeholders and their roles in the workflow</w:t>
      </w:r>
    </w:p>
    <w:p>
      <w:pPr>
        <w:spacing w:after="120" w:line="360"/>
        <w:ind w:firstLine="360"/>
        <w:jc w:val="both"/>
      </w:pPr>
      <w:r>
        <w:rPr>
          <w:rFonts w:ascii="Times New Roman" w:cs="Times New Roman" w:eastAsia="Times New Roman" w:hAnsi="Times New Roman"/>
          <w:sz w:val="24"/>
          <w:szCs w:val="24"/>
        </w:rPr>
        <w:t xml:space="preserve">These application roles are not equivalent to research-participant categories. Aggregate questionnaire findings are reported without naming respondents; fictional identities are used for workflow screenshots.</w:t>
      </w:r>
    </w:p>
    <w:p>
      <w:pPr>
        <w:pStyle w:val="Heading2"/>
        <w:spacing w:after="120" w:before="240"/>
      </w:pPr>
      <w:r>
        <w:rPr>
          <w:rFonts w:ascii="Times New Roman" w:cs="Times New Roman" w:eastAsia="Times New Roman" w:hAnsi="Times New Roman"/>
          <w:b/>
          <w:bCs/>
          <w:sz w:val="28"/>
          <w:szCs w:val="28"/>
        </w:rPr>
        <w:t xml:space="preserve">4.3 Requirements and analysis</w:t>
      </w:r>
    </w:p>
    <w:p>
      <w:pPr>
        <w:spacing w:after="120" w:line="360"/>
        <w:ind w:firstLine="360"/>
        <w:jc w:val="both"/>
      </w:pPr>
      <w:r>
        <w:rPr>
          <w:rFonts w:ascii="Times New Roman" w:cs="Times New Roman" w:eastAsia="Times New Roman" w:hAnsi="Times New Roman"/>
          <w:sz w:val="24"/>
          <w:szCs w:val="24"/>
        </w:rPr>
        <w:t xml:space="preserve">Requirements were derived from the problem defined in Chapter 1, the literature reviewed in Chapter 3, and the prototype’s intended assessment-to-transfer workflow. They were not presented as requirements gathered from a partner organization. The application needed to transform structured responses into understandable indicators, preserve manager judgement, and connect eligible cases to accountable transfer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ID</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Functional requirement</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Observable check</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FR01</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Import a structured assessment, map its responses to four questionnaire-derived indicators, and calculate tenure from a start date</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Inspect recognized inputs, mapped values, and resulting score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FR02</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Display transparent formula, supporting ML, manager, final-score, tier, and confidence information; record manager validation</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Compare a known calculation before and after validation</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FR03</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Calculate AHP consistency and prevent an inconsistent matrix from replacing configured weights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Check the interface control, backend response, and unchanged settings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FR04</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Restrict KT-plan creation to a High/Critical knowledge holder and reject an ineligible backup</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Attempt eligible and ineligible plan creation</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FR05</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Create and track documentation, shadowing, interview, backup validation, and sign-off tasks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Inspect created tasks and their evidence states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FR06</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Block premature sign-off and apply only configured indicator changes after valid completion</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Attempt early sign-off and inspect a completed test case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FR07</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Provide manager-scoped assistance while requiring explicit confirmation for proposed actions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Inspect chat proposals, confirmation controls, and role checks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FR08</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Provide in-app alerts and optional email notifications for relevant workflow events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Inspect alert records; assess email delivery only if observed</w:t>
            </w:r>
          </w:p>
        </w:tc>
      </w:tr>
    </w:tbl>
    <w:p>
      <w:pPr>
        <w:spacing w:after="200" w:before="80"/>
        <w:jc w:val="center"/>
      </w:pPr>
      <w:r>
        <w:rPr>
          <w:rFonts w:ascii="Times New Roman" w:cs="Times New Roman" w:eastAsia="Times New Roman" w:hAnsi="Times New Roman"/>
          <w:i/>
          <w:iCs/>
          <w:sz w:val="22"/>
          <w:szCs w:val="22"/>
        </w:rPr>
        <w:t xml:space="preserve">Table 4.3: Functional requirements and observable checks</w:t>
      </w:r>
    </w:p>
    <w:p>
      <w:pPr>
        <w:spacing w:after="120" w:line="360"/>
        <w:ind w:firstLine="360"/>
        <w:jc w:val="both"/>
      </w:pPr>
      <w:r>
        <w:rPr>
          <w:rFonts w:ascii="Times New Roman" w:cs="Times New Roman" w:eastAsia="Times New Roman" w:hAnsi="Times New Roman"/>
          <w:sz w:val="24"/>
          <w:szCs w:val="24"/>
        </w:rPr>
        <w:t xml:space="preserve">The main use case begins with an authorized assessment import or submission. The backend maps the responses, calculates the formula score, requests a supporting ML result, and presents a preliminary risk profile. A manager can review the underlying indicators and submit validated values and a note. For a case with a current High or Critical tier, the manager may nominate a backup and create a KT plan. The knowledge holder and backup then provide evidence and confirmations; the manager reviews the work, rates backup competence, and signs off when prerequisites are met. A later quarterly score requires a separate assessment import.</w:t>
      </w:r>
    </w:p>
    <w:p>
      <w:pPr>
        <w:spacing w:after="120" w:line="360"/>
        <w:ind w:firstLine="360"/>
        <w:jc w:val="both"/>
      </w:pPr>
      <w:r>
        <w:rPr>
          <w:rFonts w:ascii="Times New Roman" w:cs="Times New Roman" w:eastAsia="Times New Roman" w:hAnsi="Times New Roman"/>
          <w:sz w:val="24"/>
          <w:szCs w:val="24"/>
        </w:rPr>
        <w:t xml:space="preserve">Manager validation is an important part of the intended decision process, but it is not an enforced prerequisite for KT-plan creation. The current backend checks the knowledge holder’s latest High/Critical tier; it does not check a manager-validation flag when the plan is created. This distinction is considered when interpreting functional results and limitations.</w:t>
      </w:r>
    </w:p>
    <w:p>
      <w:pPr>
        <w:pStyle w:val="Heading3"/>
        <w:spacing w:after="120" w:before="200"/>
      </w:pPr>
      <w:r>
        <w:rPr>
          <w:rFonts w:ascii="Times New Roman" w:cs="Times New Roman" w:eastAsia="Times New Roman" w:hAnsi="Times New Roman"/>
          <w:b/>
          <w:bCs/>
          <w:sz w:val="24"/>
          <w:szCs w:val="24"/>
        </w:rPr>
        <w:t xml:space="preserve">4.3.1 Non-functional requirements</w:t>
      </w:r>
    </w:p>
    <w:p>
      <w:pPr>
        <w:spacing w:after="120" w:line="360"/>
        <w:ind w:firstLine="360"/>
        <w:jc w:val="both"/>
      </w:pPr>
      <w:r>
        <w:rPr>
          <w:rFonts w:ascii="Times New Roman" w:cs="Times New Roman" w:eastAsia="Times New Roman" w:hAnsi="Times New Roman"/>
          <w:sz w:val="24"/>
          <w:szCs w:val="24"/>
        </w:rPr>
        <w:t xml:space="preserve">The non-functional priorities were role-based access, understandable scoring, continued assessment when the ML service is unavailable, traceable manager and task decisions, and separation of the interface, application server, database, and ML service. These priorities informed the design but are not all established by the same level of testing. In particular, this study did not conduct penetration, load, or organizational privacy testing.</w:t>
      </w:r>
    </w:p>
    <w:p>
      <w:pPr>
        <w:spacing w:after="120" w:line="360"/>
        <w:ind w:firstLine="360"/>
        <w:jc w:val="both"/>
      </w:pPr>
      <w:r>
        <w:rPr>
          <w:rFonts w:ascii="Times New Roman" w:cs="Times New Roman" w:eastAsia="Times New Roman" w:hAnsi="Times New Roman"/>
          <w:sz w:val="24"/>
          <w:szCs w:val="24"/>
        </w:rPr>
        <w:t xml:space="preserve">Data handling was also a design concern. The manager chat can send team-related summaries to a configured external AI provider, and email messages can contain a name and risk tier. Organizational deployment would require approved data-sharing arrangements, access controls, retention rules, and review of what is sent to those services.</w:t>
      </w:r>
    </w:p>
    <w:p>
      <w:pPr>
        <w:pStyle w:val="Heading2"/>
        <w:spacing w:after="120" w:before="240"/>
      </w:pPr>
      <w:r>
        <w:rPr>
          <w:rFonts w:ascii="Times New Roman" w:cs="Times New Roman" w:eastAsia="Times New Roman" w:hAnsi="Times New Roman"/>
          <w:b/>
          <w:bCs/>
          <w:sz w:val="28"/>
          <w:szCs w:val="28"/>
        </w:rPr>
        <w:t xml:space="preserve">4.4 Proposed design</w:t>
      </w:r>
    </w:p>
    <w:p>
      <w:pPr>
        <w:pStyle w:val="Heading3"/>
        <w:spacing w:after="120" w:before="200"/>
      </w:pPr>
      <w:r>
        <w:rPr>
          <w:rFonts w:ascii="Times New Roman" w:cs="Times New Roman" w:eastAsia="Times New Roman" w:hAnsi="Times New Roman"/>
          <w:b/>
          <w:bCs/>
          <w:sz w:val="24"/>
          <w:szCs w:val="24"/>
        </w:rPr>
        <w:t xml:space="preserve">4.4.1 Components, actors and data flow</w:t>
      </w:r>
    </w:p>
    <w:p>
      <w:pPr>
        <w:spacing w:after="120" w:line="360"/>
        <w:ind w:firstLine="360"/>
        <w:jc w:val="both"/>
      </w:pPr>
      <w:r>
        <w:rPr>
          <w:rFonts w:ascii="Times New Roman" w:cs="Times New Roman" w:eastAsia="Times New Roman" w:hAnsi="Times New Roman"/>
          <w:sz w:val="24"/>
          <w:szCs w:val="24"/>
        </w:rPr>
        <w:t xml:space="preserve">KnowledgeGuard consists of a React/Vite interface, a Node.js/Express application layer, MongoDB accessed through Mongoose, and a separate Python/FastAPI ML service. The application layer coordinates authentication, role checks, assessment imports, scoring, KT tasks, alerts, and calls to supporting services. Assessment, risk-score, user, KT-plan, and KT-task records connect an input to later review and action.</w:t>
      </w:r>
    </w:p>
    <w:p>
      <w:pPr>
        <w:spacing w:after="120" w:line="360"/>
        <w:ind w:firstLine="360"/>
        <w:jc w:val="both"/>
      </w:pPr>
      <w:r>
        <w:rPr>
          <w:rFonts w:ascii="Times New Roman" w:cs="Times New Roman" w:eastAsia="Times New Roman" w:hAnsi="Times New Roman"/>
          <w:sz w:val="24"/>
          <w:szCs w:val="24"/>
        </w:rPr>
        <w:t xml:space="preserve">Figure 4.1 presents these components and their main data flows. The architecture keeps the formula and workflow rules in the application layer; ordinary scoring does not depend entirely on an available ML or generative-AI response.</w:t>
      </w:r>
    </w:p>
    <w:p>
      <w:pPr>
        <w:spacing w:after="60" w:before="120"/>
        <w:jc w:val="center"/>
      </w:pPr>
      <w:r>
        <w:rPr>
          <w:rFonts w:ascii="Times New Roman" w:cs="Times New Roman" w:eastAsia="Times New Roman" w:hAnsi="Times New Roman"/>
          <w:color w:val="888888"/>
          <w:sz w:val="22"/>
          <w:szCs w:val="22"/>
        </w:rPr>
        <w:t xml:space="preserve">[Insert Figure 4.1 here]</w:t>
      </w:r>
    </w:p>
    <w:p>
      <w:pPr>
        <w:spacing w:after="200" w:before="80"/>
        <w:jc w:val="center"/>
      </w:pPr>
      <w:r>
        <w:rPr>
          <w:rFonts w:ascii="Times New Roman" w:cs="Times New Roman" w:eastAsia="Times New Roman" w:hAnsi="Times New Roman"/>
          <w:i/>
          <w:iCs/>
          <w:sz w:val="22"/>
          <w:szCs w:val="22"/>
        </w:rPr>
        <w:t xml:space="preserve">Figure 4.1: KnowledgeGuard architecture and principal data flows.</w:t>
      </w:r>
    </w:p>
    <w:p>
      <w:pPr>
        <w:spacing w:after="120" w:line="360"/>
        <w:ind w:firstLine="360"/>
        <w:jc w:val="both"/>
      </w:pPr>
      <w:r>
        <w:rPr>
          <w:rFonts w:ascii="Times New Roman" w:cs="Times New Roman" w:eastAsia="Times New Roman" w:hAnsi="Times New Roman"/>
          <w:sz w:val="24"/>
          <w:szCs w:val="24"/>
        </w:rPr>
        <w:t xml:space="preserve">Figure 4.2 shows the main records and their relationships. It is a conceptual class and data-model diagram, not a claim that every connection is implemented as a relational database foreign key. Manager validation is associated with the assessment; task records retain the evidence and confirmation states associated with a KT plan.</w:t>
      </w:r>
    </w:p>
    <w:p>
      <w:pPr>
        <w:spacing w:after="60" w:before="120"/>
        <w:jc w:val="center"/>
      </w:pPr>
      <w:r>
        <w:rPr>
          <w:rFonts w:ascii="Times New Roman" w:cs="Times New Roman" w:eastAsia="Times New Roman" w:hAnsi="Times New Roman"/>
          <w:color w:val="888888"/>
          <w:sz w:val="22"/>
          <w:szCs w:val="22"/>
        </w:rPr>
        <w:t xml:space="preserve">[Insert Figure 4.2 here]</w:t>
      </w:r>
    </w:p>
    <w:p>
      <w:pPr>
        <w:spacing w:after="200" w:before="80"/>
        <w:jc w:val="center"/>
      </w:pPr>
      <w:r>
        <w:rPr>
          <w:rFonts w:ascii="Times New Roman" w:cs="Times New Roman" w:eastAsia="Times New Roman" w:hAnsi="Times New Roman"/>
          <w:i/>
          <w:iCs/>
          <w:sz w:val="22"/>
          <w:szCs w:val="22"/>
        </w:rPr>
        <w:t xml:space="preserve">Figure 4.2: Class diagram and principal data relationships in KnowledgeGuard.</w:t>
      </w:r>
    </w:p>
    <w:p>
      <w:pPr>
        <w:spacing w:after="120" w:line="360"/>
        <w:ind w:firstLine="360"/>
        <w:jc w:val="both"/>
      </w:pPr>
      <w:r>
        <w:rPr>
          <w:rFonts w:ascii="Times New Roman" w:cs="Times New Roman" w:eastAsia="Times New Roman" w:hAnsi="Times New Roman"/>
          <w:sz w:val="24"/>
          <w:szCs w:val="24"/>
        </w:rPr>
        <w:t xml:space="preserve">The use-case diagram identifies five actors: Employee, Manager, Backup Employee, HR User, and Administrator. It concentrates on actions available to those roles rather than internal services.</w:t>
      </w:r>
    </w:p>
    <w:p>
      <w:pPr>
        <w:spacing w:after="60" w:before="120"/>
        <w:jc w:val="center"/>
      </w:pPr>
      <w:r>
        <w:rPr>
          <w:rFonts w:ascii="Times New Roman" w:cs="Times New Roman" w:eastAsia="Times New Roman" w:hAnsi="Times New Roman"/>
          <w:color w:val="888888"/>
          <w:sz w:val="22"/>
          <w:szCs w:val="22"/>
        </w:rPr>
        <w:t xml:space="preserve">[Insert Figure 4.3 here]</w:t>
      </w:r>
    </w:p>
    <w:p>
      <w:pPr>
        <w:spacing w:after="200" w:before="80"/>
        <w:jc w:val="center"/>
      </w:pPr>
      <w:r>
        <w:rPr>
          <w:rFonts w:ascii="Times New Roman" w:cs="Times New Roman" w:eastAsia="Times New Roman" w:hAnsi="Times New Roman"/>
          <w:i/>
          <w:iCs/>
          <w:sz w:val="22"/>
          <w:szCs w:val="22"/>
        </w:rPr>
        <w:t xml:space="preserve">Figure 4.3: Use-case diagram for role-based KnowledgeGuard interactions.</w:t>
      </w:r>
    </w:p>
    <w:p>
      <w:pPr>
        <w:spacing w:after="120" w:line="360"/>
        <w:ind w:firstLine="360"/>
        <w:jc w:val="both"/>
      </w:pPr>
      <w:r>
        <w:rPr>
          <w:rFonts w:ascii="Times New Roman" w:cs="Times New Roman" w:eastAsia="Times New Roman" w:hAnsi="Times New Roman"/>
          <w:sz w:val="24"/>
          <w:szCs w:val="24"/>
        </w:rPr>
        <w:t xml:space="preserve">The activity diagram presents the order of assessment, preliminary scoring, manager review, KT planning, task completion, sign-off, and separately imported reassessment. Its decision points separate an unvalidated preliminary profile from a validated final profile.</w:t>
      </w:r>
    </w:p>
    <w:p>
      <w:pPr>
        <w:spacing w:after="60" w:before="120"/>
        <w:jc w:val="center"/>
      </w:pPr>
      <w:r>
        <w:rPr>
          <w:rFonts w:ascii="Times New Roman" w:cs="Times New Roman" w:eastAsia="Times New Roman" w:hAnsi="Times New Roman"/>
          <w:color w:val="888888"/>
          <w:sz w:val="22"/>
          <w:szCs w:val="22"/>
        </w:rPr>
        <w:t xml:space="preserve">[Insert Figure 4.4 here]</w:t>
      </w:r>
    </w:p>
    <w:p>
      <w:pPr>
        <w:spacing w:after="200" w:before="80"/>
        <w:jc w:val="center"/>
      </w:pPr>
      <w:r>
        <w:rPr>
          <w:rFonts w:ascii="Times New Roman" w:cs="Times New Roman" w:eastAsia="Times New Roman" w:hAnsi="Times New Roman"/>
          <w:i/>
          <w:iCs/>
          <w:sz w:val="22"/>
          <w:szCs w:val="22"/>
        </w:rPr>
        <w:t xml:space="preserve">Figure 4.4: Activity diagram for assessment, validation and knowledge transfer.</w:t>
      </w:r>
    </w:p>
    <w:p>
      <w:pPr>
        <w:pStyle w:val="Heading3"/>
        <w:spacing w:after="120" w:before="200"/>
      </w:pPr>
      <w:r>
        <w:rPr>
          <w:rFonts w:ascii="Times New Roman" w:cs="Times New Roman" w:eastAsia="Times New Roman" w:hAnsi="Times New Roman"/>
          <w:b/>
          <w:bCs/>
          <w:sz w:val="24"/>
          <w:szCs w:val="24"/>
        </w:rPr>
        <w:t xml:space="preserve">4.4.2 From assessment response to indicator score</w:t>
      </w:r>
    </w:p>
    <w:p>
      <w:pPr>
        <w:spacing w:after="120" w:line="360"/>
        <w:ind w:firstLine="360"/>
        <w:jc w:val="both"/>
      </w:pPr>
      <w:r>
        <w:rPr>
          <w:rFonts w:ascii="Times New Roman" w:cs="Times New Roman" w:eastAsia="Times New Roman" w:hAnsi="Times New Roman"/>
          <w:sz w:val="24"/>
          <w:szCs w:val="24"/>
        </w:rPr>
        <w:t xml:space="preserve">The importer maps recognized questionnaire answers to numerical exposure values. Higher values indicate more reported exposure. Questions are grouped into expertise uniqueness (EU), documentation gap (DG), project criticality (PC), and collaboration dependency (CD). Tenure (T) is calculated from the stored start date rather than an assessment answer. The questionnaire-to-indicator mapping is supplied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2426"/>
        <w:gridCol w:w="20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Meaning in the prototype</w:t>
            </w:r>
          </w:p>
        </w:tc>
        <w:tc>
          <w:tcPr>
            <w:tcW w:type="dxa" w:w="2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Input</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Baseline weight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Few alternative holders can perform specialist work</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Mapped assessment answers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Essential knowledge is insufficiently documented or accessible</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Mapped assessment answers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Loss would affect important project or operational work</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Mapped assessment answers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Other work strongly depends on this employee</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Mapped assessment answers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0.20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Service length, used as contextual information</w:t>
            </w:r>
          </w:p>
        </w:tc>
        <w:tc>
          <w:tcPr>
            <w:tcW w:type="dxa" w:w="2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Recorded start date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0.15</w:t>
            </w:r>
          </w:p>
        </w:tc>
      </w:tr>
    </w:tbl>
    <w:p>
      <w:pPr>
        <w:spacing w:after="200" w:before="80"/>
        <w:jc w:val="center"/>
      </w:pPr>
      <w:r>
        <w:rPr>
          <w:rFonts w:ascii="Times New Roman" w:cs="Times New Roman" w:eastAsia="Times New Roman" w:hAnsi="Times New Roman"/>
          <w:i/>
          <w:iCs/>
          <w:sz w:val="22"/>
          <w:szCs w:val="22"/>
        </w:rPr>
        <w:t xml:space="preserve">Table 4.4: KnowledgeGuard indicators and predefined baseline weights</w:t>
      </w:r>
    </w:p>
    <w:p>
      <w:pPr>
        <w:spacing w:after="120" w:line="360"/>
        <w:ind w:firstLine="360"/>
        <w:jc w:val="both"/>
      </w:pPr>
      <w:r>
        <w:rPr>
          <w:rFonts w:ascii="Times New Roman" w:cs="Times New Roman" w:eastAsia="Times New Roman" w:hAnsi="Times New Roman"/>
          <w:sz w:val="24"/>
          <w:szCs w:val="24"/>
        </w:rPr>
        <w:t xml:space="preserve">The baseline formula is:</w:t>
      </w:r>
    </w:p>
    <w:p>
      <w:pPr>
        <w:spacing w:after="120" w:before="120"/>
        <w:jc w:val="center"/>
      </w:pPr>
      <m:oMath>
        <m:r>
          <m:t>F=0.25(EU)+0.20(DG)+0.20(PC)+0.20(CD)+0.15(T)</m:t>
        </m:r>
      </m:oMath>
    </w:p>
    <w:p>
      <w:pPr>
        <w:spacing w:after="120" w:line="360"/>
        <w:ind w:firstLine="360"/>
        <w:jc w:val="both"/>
      </w:pPr>
      <w:r>
        <w:t>The weights sum to 1.00. They are transparent, researcher-defined prototype settings informed by the literature, not estimated effects or universal values. Expertise uniqueness received the largest initial share because knowledge concentrated in one person may be particularly difficult to replace [9], [10]. Documentation gap, project criticality, and collaboration dependency were assigned equal shares because they represent distinct exposures without evidence in this study for a more precise ordering [1], [2], [11]. Tenure received a smaller share because service length supplies context but does not prove that an employee holds unique or critical knowledge. AHP was later used to explore expert preferences, not to retrospectively change the formula used in the evaluated scenarios.</w:t>
      </w:r>
    </w:p>
    <w:p>
      <w:pPr>
        <w:spacing w:after="120" w:line="360"/>
        <w:ind w:firstLine="360"/>
        <w:jc w:val="both"/>
      </w:pPr>
      <w:r>
        <w:rPr>
          <w:rFonts w:ascii="Times New Roman" w:cs="Times New Roman" w:eastAsia="Times New Roman" w:hAnsi="Times New Roman"/>
          <w:sz w:val="24"/>
          <w:szCs w:val="24"/>
        </w:rPr>
        <w:t xml:space="preserve">The system maps different Q1–Q4 question sets to the same four questionnaire-derived categories. Q1 concerns routine work; later generated quarters use absence, technical-change, and transfer-readiness contexts. This permits repeated prototype assessment while varying the question wording. The generated data do not establish that the four instruments have equivalent measurement properties in a real organization.</w:t>
      </w:r>
    </w:p>
    <w:p>
      <w:pPr>
        <w:spacing w:after="120" w:line="360"/>
        <w:ind w:firstLine="360"/>
        <w:jc w:val="both"/>
      </w:pPr>
      <w:r>
        <w:rPr>
          <w:rFonts w:ascii="Times New Roman" w:cs="Times New Roman" w:eastAsia="Times New Roman" w:hAnsi="Times New Roman"/>
          <w:sz w:val="24"/>
          <w:szCs w:val="24"/>
        </w:rPr>
        <w:t xml:space="preserve">Response-quality checks identify patterns that warrant review. The parser examines mapped-score variation and direct versus reverse-worded answers. Its low-variation check is not applied when fewer than four mapped responses are available; a standard deviation below 1.0 can trigger a warning. Such a flag may lower the displayed confidence level, but it is not a finding that a participant lied. The confidence discount is not directly subtracted from the numerical final risk score.</w:t>
      </w:r>
    </w:p>
    <w:p>
      <w:pPr>
        <w:spacing w:after="120" w:line="360"/>
        <w:ind w:firstLine="360"/>
        <w:jc w:val="both"/>
      </w:pPr>
      <w:r>
        <w:rPr>
          <w:rFonts w:ascii="Times New Roman" w:cs="Times New Roman" w:eastAsia="Times New Roman" w:hAnsi="Times New Roman"/>
          <w:sz w:val="24"/>
          <w:szCs w:val="24"/>
        </w:rPr>
        <w:t xml:space="preserve">KnowledgeGuard also accepts ten pairwise comparisons for exploratory AHP calibration [20]. For raw form responses, its importer translates the form’s 1-left, 5-equal, 9-right scale into reciprocal ratios. It aggregates each comparison using the geometric mean, builds a reciprocal five-indicator matrix, derives proposed weights, and calculates a consistency ratio (CR). With five indicators, the consistency index is CI = (λmax − 5) / 4, and CR = CI / 1.12. The interface allows a proposed matrix to be applied only when CR &lt; 0.10; the backend recalculates consistency and rejects a matrix at or above 0.10. A consistent result is a coherent set of comparisons, not evidence that its weights predict actual organizational loss. No AHP proposal was applied to the baseline scoring configuration used for the reported evaluation.</w:t>
      </w:r>
    </w:p>
    <w:p>
      <w:pPr>
        <w:pStyle w:val="Heading3"/>
        <w:spacing w:after="120" w:before="200"/>
      </w:pPr>
      <w:r>
        <w:rPr>
          <w:rFonts w:ascii="Times New Roman" w:cs="Times New Roman" w:eastAsia="Times New Roman" w:hAnsi="Times New Roman"/>
          <w:b/>
          <w:bCs/>
          <w:sz w:val="24"/>
          <w:szCs w:val="24"/>
        </w:rPr>
        <w:t xml:space="preserve">4.4.3 Formula, manager and machine-learning scores</w:t>
      </w:r>
    </w:p>
    <w:p>
      <w:pPr>
        <w:spacing w:after="120" w:line="360"/>
        <w:ind w:firstLine="360"/>
        <w:jc w:val="both"/>
      </w:pPr>
      <w:r>
        <w:rPr>
          <w:rFonts w:ascii="Times New Roman" w:cs="Times New Roman" w:eastAsia="Times New Roman" w:hAnsi="Times New Roman"/>
          <w:sz w:val="24"/>
          <w:szCs w:val="24"/>
        </w:rPr>
        <w:t xml:space="preserve">The formula score F is calculated from the employee-derived indicators. If a manager validates alternative indicator values, the same weighted formula produces a manager score M. The FastAPI service provides a supporting ML score L. The three values remain visible so that a final tier is not presented as an unexplained model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Element</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Implemented approach</w:t>
            </w:r>
          </w:p>
        </w:tc>
        <w:tc>
          <w:tcPr>
            <w:tcW w:type="dxa" w:w="33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Interpretation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Model</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Random Forest classifier with 100 trees, maximum depth 6, minimum split 5, balanced classes, and fixed seed 42 [21]</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Supporting classification, not an autonomous decision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Features</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 DG, PC, CD, and T</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Same five inputs available to the transparent formula</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Default labels</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Formula-derived tiers for 500 synthetic profiles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The model learns the configured rule, not observed departure outcomes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Supporting score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Class probabilities combined with fixed tier midpoint values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Continuous score L for the final blend</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Alternative training route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Usable manager-validated records from at least two tiers, subject to the route’s minimum-record rule</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Technical capability; not the training basis of the saved model evaluated here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Unavailable service</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Formula score substitutes for L</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Assessment can continue without ML inference</w:t>
            </w:r>
          </w:p>
        </w:tc>
      </w:tr>
    </w:tbl>
    <w:p>
      <w:pPr>
        <w:spacing w:after="200" w:before="80"/>
        <w:jc w:val="center"/>
      </w:pPr>
      <w:r>
        <w:rPr>
          <w:rFonts w:ascii="Times New Roman" w:cs="Times New Roman" w:eastAsia="Times New Roman" w:hAnsi="Times New Roman"/>
          <w:i/>
          <w:iCs/>
          <w:sz w:val="22"/>
          <w:szCs w:val="22"/>
        </w:rPr>
        <w:t xml:space="preserve">Table 4.5: Supporting machine-learning design</w:t>
      </w:r>
    </w:p>
    <w:p>
      <w:pPr>
        <w:spacing w:after="120" w:line="360"/>
        <w:ind w:firstLine="360"/>
        <w:jc w:val="both"/>
      </w:pPr>
      <w:r>
        <w:rPr>
          <w:rFonts w:ascii="Times New Roman" w:cs="Times New Roman" w:eastAsia="Times New Roman" w:hAnsi="Times New Roman"/>
          <w:sz w:val="24"/>
          <w:szCs w:val="24"/>
        </w:rPr>
        <w:t xml:space="preserve">Before manager validation, the application calculates the preliminary final score as R = 0.70F + 0.30L. After validation, it calculates R = 0.30F + 0.50M + 0.20L. When the ML request fails, F substitutes for L. Scores are rounded to two decimal places before the configured tier is displayed. An unvalidated interface value of zero for the manager component is not included as a manager contribution to the preliminary blend.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Tier</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Final-score interval</w:t>
            </w:r>
          </w:p>
        </w:tc>
        <w:tc>
          <w:tcPr>
            <w:tcW w:type="dxa" w:w="4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Intended interpretation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 5.0</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 and review as needed</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Medium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 &lt; R ≤ 7.5</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Examine exposure and supporting information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High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7.5 &lt; R ≤ 9.0</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Critical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&gt; 9.0</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bl>
    <w:p>
      <w:pPr>
        <w:spacing w:after="200" w:before="80"/>
        <w:jc w:val="center"/>
      </w:pPr>
      <w:r>
        <w:rPr>
          <w:rFonts w:ascii="Times New Roman" w:cs="Times New Roman" w:eastAsia="Times New Roman" w:hAnsi="Times New Roman"/>
          <w:i/>
          <w:iCs/>
          <w:sz w:val="22"/>
          <w:szCs w:val="22"/>
        </w:rPr>
        <w:t xml:space="preserve">Table 4.6: Configured operational risk tiers</w:t>
      </w:r>
    </w:p>
    <w:p>
      <w:pPr>
        <w:spacing w:after="120" w:line="360"/>
        <w:ind w:firstLine="360"/>
        <w:jc w:val="both"/>
      </w:pPr>
      <w:r>
        <w:rPr>
          <w:rFonts w:ascii="Times New Roman" w:cs="Times New Roman" w:eastAsia="Times New Roman" w:hAnsi="Times New Roman"/>
          <w:sz w:val="24"/>
          <w:szCs w:val="24"/>
        </w:rPr>
        <w:t xml:space="preserve">The saved default model was trained on synthetic profiles whose labels came from the baseline formula. The application can also retrain using manager-validated assessment records, but that route was not used to produce the saved model reported in Chapter 5. Such manager-derived labels would still represent assessment judgements rather than observed continuity outcomes.</w:t>
      </w:r>
    </w:p>
    <w:p>
      <w:pPr>
        <w:spacing w:after="120" w:line="360"/>
        <w:ind w:firstLine="360"/>
        <w:jc w:val="both"/>
      </w:pPr>
      <w:r>
        <w:rPr>
          <w:rFonts w:ascii="Times New Roman" w:cs="Times New Roman" w:eastAsia="Times New Roman" w:hAnsi="Times New Roman"/>
          <w:sz w:val="24"/>
          <w:szCs w:val="24"/>
        </w:rPr>
        <w:t xml:space="preserve">The ML service additionally provides Isolation Forest analysis for a supplied score history with at least three points [22]. It identifies an unusual value relative to that series; it cannot establish why the change occurred. This history check is distinct from the questionnaire response-quality checks and cannot determine whether a respondent was dishonest.</w:t>
      </w:r>
    </w:p>
    <w:p>
      <w:pPr>
        <w:spacing w:after="60" w:before="120"/>
        <w:jc w:val="center"/>
      </w:pPr>
      <w:r>
        <w:rPr>
          <w:rFonts w:ascii="Times New Roman" w:cs="Times New Roman" w:eastAsia="Times New Roman" w:hAnsi="Times New Roman"/>
          <w:color w:val="888888"/>
          <w:sz w:val="22"/>
          <w:szCs w:val="22"/>
        </w:rPr>
        <w:t xml:space="preserve">[Insert Figure 4.5 here]</w:t>
      </w:r>
    </w:p>
    <w:p>
      <w:pPr>
        <w:spacing w:after="200" w:before="80"/>
        <w:jc w:val="center"/>
      </w:pPr>
      <w:r>
        <w:rPr>
          <w:rFonts w:ascii="Times New Roman" w:cs="Times New Roman" w:eastAsia="Times New Roman" w:hAnsi="Times New Roman"/>
          <w:i/>
          <w:iCs/>
          <w:sz w:val="22"/>
          <w:szCs w:val="22"/>
        </w:rPr>
        <w:t xml:space="preserve">Figure 4.5: Supporting machine-learning score process in KnowledgeGuard.</w:t>
      </w:r>
    </w:p>
    <w:p>
      <w:pPr>
        <w:spacing w:after="120" w:line="360"/>
        <w:ind w:firstLine="360"/>
        <w:jc w:val="both"/>
      </w:pPr>
      <w:r>
        <w:rPr>
          <w:rFonts w:ascii="Times New Roman" w:cs="Times New Roman" w:eastAsia="Times New Roman" w:hAnsi="Times New Roman"/>
          <w:sz w:val="24"/>
          <w:szCs w:val="24"/>
        </w:rPr>
        <w:t xml:space="preserve">Figure 4.6 traces assessment import, response mapping, formula calculation, the ML request or fallback, storage of the preliminary profile, and later manager validation. It separates the preliminary and validated calculations.</w:t>
      </w:r>
    </w:p>
    <w:p>
      <w:pPr>
        <w:spacing w:after="60" w:before="120"/>
        <w:jc w:val="center"/>
      </w:pPr>
      <w:r>
        <w:rPr>
          <w:rFonts w:ascii="Times New Roman" w:cs="Times New Roman" w:eastAsia="Times New Roman" w:hAnsi="Times New Roman"/>
          <w:color w:val="888888"/>
          <w:sz w:val="22"/>
          <w:szCs w:val="22"/>
        </w:rPr>
        <w:t xml:space="preserve">[Insert Figure 4.6 here]</w:t>
      </w:r>
    </w:p>
    <w:p>
      <w:pPr>
        <w:spacing w:after="200" w:before="80"/>
        <w:jc w:val="center"/>
      </w:pPr>
      <w:r>
        <w:rPr>
          <w:rFonts w:ascii="Times New Roman" w:cs="Times New Roman" w:eastAsia="Times New Roman" w:hAnsi="Times New Roman"/>
          <w:i/>
          <w:iCs/>
          <w:sz w:val="22"/>
          <w:szCs w:val="22"/>
        </w:rPr>
        <w:t xml:space="preserve">Figure 4.6: Sequence diagram for risk assessment and manager validation.</w:t>
      </w:r>
    </w:p>
    <w:p>
      <w:pPr>
        <w:pStyle w:val="Heading3"/>
        <w:spacing w:after="120" w:before="200"/>
      </w:pPr>
      <w:r>
        <w:rPr>
          <w:rFonts w:ascii="Times New Roman" w:cs="Times New Roman" w:eastAsia="Times New Roman" w:hAnsi="Times New Roman"/>
          <w:b/>
          <w:bCs/>
          <w:sz w:val="24"/>
          <w:szCs w:val="24"/>
        </w:rPr>
        <w:t xml:space="preserve">4.4.4 From risk review to knowledge transfer</w:t>
      </w:r>
    </w:p>
    <w:p>
      <w:pPr>
        <w:spacing w:after="120" w:line="360"/>
        <w:ind w:firstLine="360"/>
        <w:jc w:val="both"/>
      </w:pPr>
      <w:r>
        <w:rPr>
          <w:rFonts w:ascii="Times New Roman" w:cs="Times New Roman" w:eastAsia="Times New Roman" w:hAnsi="Times New Roman"/>
          <w:sz w:val="24"/>
          <w:szCs w:val="24"/>
        </w:rPr>
        <w:t xml:space="preserve">A manager may create a KT plan when the knowledge holder’s latest risk tier is High or Critical. The plan records the knowledge holder, backup, knowledge areas, priority, and deadline. Knowledge tags suggest relevant areas and help rank backup candidates, but tag overlap is guidance rather than proof of competence. The backend rejects the same person as both holder and backup, checks team and role restrictions, and rejects a backup whose latest recorded tier is High or Critical. A person without a risk score is not automatically treated as high risk; this limits the safeguard.</w:t>
      </w:r>
    </w:p>
    <w:p>
      <w:pPr>
        <w:spacing w:after="120" w:line="360"/>
        <w:ind w:firstLine="360"/>
        <w:jc w:val="both"/>
      </w:pPr>
      <w:r>
        <w:rPr>
          <w:rFonts w:ascii="Times New Roman" w:cs="Times New Roman" w:eastAsia="Times New Roman" w:hAnsi="Times New Roman"/>
          <w:sz w:val="24"/>
          <w:szCs w:val="24"/>
        </w:rPr>
        <w:t xml:space="preserve">A plan creates five task types: documentation, shadowing, structured interview, independent backup practice with competence review, and manager sign-off. AI may propose interview questions; predefined questions are used if that service is unavailable. The knowledge holder and backup submit evidence and confirm relevant sessions. The manager approves evidence and rates whether the backup can perform the work. The sign-off route checks preceding task completion before closure. These records demonstrate completion of the configured procedure, not lasting knowledge retention.</w:t>
      </w:r>
    </w:p>
    <w:p>
      <w:pPr>
        <w:spacing w:after="120" w:line="360"/>
        <w:ind w:firstLine="360"/>
        <w:jc w:val="both"/>
      </w:pPr>
      <w:r>
        <w:rPr>
          <w:rFonts w:ascii="Times New Roman" w:cs="Times New Roman" w:eastAsia="Times New Roman" w:hAnsi="Times New Roman"/>
          <w:sz w:val="24"/>
          <w:szCs w:val="24"/>
        </w:rPr>
        <w:t xml:space="preserve">When a plan is validly signed off, the application applies rule-based reductions to indicators that the approved activities could reasonably mitigate. Documentation Gap can decrease by up to 3 points when documentation evidence is approved. Expertise Uniqueness can decrease by up to 3 according to the backup competence rating. Collaboration Dependency can decrease by up to 2 when shadowing and interview evidence are approved and competence is recorded. Values cannot fall below 1. Project Criticality and Tenure remain unchanged. Under the baseline weights, the maximum formula-component reduction before scale bounds is 0.20(3) + 0.25(3) + 0.20(2) = 1.75. The final blended score may change by a different amount because its manager and ML components are recalculated.</w:t>
      </w:r>
    </w:p>
    <w:p>
      <w:pPr>
        <w:spacing w:after="120" w:line="360"/>
        <w:ind w:firstLine="360"/>
        <w:jc w:val="both"/>
      </w:pPr>
      <w:r>
        <w:rPr>
          <w:rFonts w:ascii="Times New Roman" w:cs="Times New Roman" w:eastAsia="Times New Roman" w:hAnsi="Times New Roman"/>
          <w:sz w:val="24"/>
          <w:szCs w:val="24"/>
        </w:rPr>
        <w:t xml:space="preserve">This update represents the system’s configured interpretation of completed evidence. It is not a measured reduction in actual organizational knowledge loss. Sign-off also does not create a new quarterly assessment; a later history observation requires a separate import.</w:t>
      </w:r>
    </w:p>
    <w:p>
      <w:pPr>
        <w:spacing w:after="120" w:line="360"/>
        <w:ind w:firstLine="360"/>
        <w:jc w:val="both"/>
      </w:pPr>
      <w:r>
        <w:rPr>
          <w:rFonts w:ascii="Times New Roman" w:cs="Times New Roman" w:eastAsia="Times New Roman" w:hAnsi="Times New Roman"/>
          <w:sz w:val="24"/>
          <w:szCs w:val="24"/>
        </w:rPr>
        <w:t xml:space="preserve">A manager-facing chat assistant can summarize the manager’s current team information and propose a validation change or KT action. The interface requires explicit confirmation before the proposed action is submitted, and backend role and workflow rules still apply. In-app alerts support assessment and KT follow-up. Email templates can provide reminders when credentials are configured, but this study did not measure email-delivery reliability. These supporting features were not separately evaluated as outcomes in the SUS/TAM questionnaire.</w:t>
      </w:r>
    </w:p>
    <w:p>
      <w:pPr>
        <w:spacing w:after="60" w:before="120"/>
        <w:jc w:val="center"/>
      </w:pPr>
      <w:r>
        <w:rPr>
          <w:rFonts w:ascii="Times New Roman" w:cs="Times New Roman" w:eastAsia="Times New Roman" w:hAnsi="Times New Roman"/>
          <w:color w:val="888888"/>
          <w:sz w:val="22"/>
          <w:szCs w:val="22"/>
        </w:rPr>
        <w:t xml:space="preserve">[Insert Figure 4.7 here]</w:t>
      </w:r>
    </w:p>
    <w:p>
      <w:pPr>
        <w:spacing w:after="200" w:before="80"/>
        <w:jc w:val="center"/>
      </w:pPr>
      <w:r>
        <w:rPr>
          <w:rFonts w:ascii="Times New Roman" w:cs="Times New Roman" w:eastAsia="Times New Roman" w:hAnsi="Times New Roman"/>
          <w:i/>
          <w:iCs/>
          <w:sz w:val="22"/>
          <w:szCs w:val="22"/>
        </w:rPr>
        <w:t xml:space="preserve">Figure 4.7: Sequence diagram for knowledge-transfer plan completion and sign-off.</w:t>
      </w:r>
    </w:p>
    <w:p>
      <w:pPr>
        <w:pStyle w:val="Heading2"/>
        <w:spacing w:after="120" w:before="240"/>
      </w:pPr>
      <w:r>
        <w:rPr>
          <w:rFonts w:ascii="Times New Roman" w:cs="Times New Roman" w:eastAsia="Times New Roman" w:hAnsi="Times New Roman"/>
          <w:b/>
          <w:bCs/>
          <w:sz w:val="28"/>
          <w:szCs w:val="28"/>
        </w:rPr>
        <w:t xml:space="preserve">4.5 Development and implementation procedure</w:t>
      </w:r>
    </w:p>
    <w:p>
      <w:pPr>
        <w:spacing w:after="120" w:line="360"/>
        <w:ind w:firstLine="360"/>
        <w:jc w:val="both"/>
      </w:pPr>
      <w:r>
        <w:rPr>
          <w:rFonts w:ascii="Times New Roman" w:cs="Times New Roman" w:eastAsia="Times New Roman" w:hAnsi="Times New Roman"/>
          <w:sz w:val="24"/>
          <w:szCs w:val="24"/>
        </w:rPr>
        <w:t xml:space="preserve">Development began with questionnaire import and mapping, followed by formula scoring and the risk-profile display. Manager validation was added to retain human judgement alongside the employee-derived score. A separate Python service supplied the supporting classifier and history-anomaly functions. The KT module then added holder and backup checks, five task types, evidence, participant confirmation, competence review, sign-off, and the configured score update. Manager assistance and notifications were added as supporting functions.</w:t>
      </w:r>
    </w:p>
    <w:p>
      <w:pPr>
        <w:spacing w:after="120" w:line="360"/>
        <w:ind w:firstLine="360"/>
        <w:jc w:val="both"/>
      </w:pPr>
      <w:r>
        <w:rPr>
          <w:rFonts w:ascii="Times New Roman" w:cs="Times New Roman" w:eastAsia="Times New Roman" w:hAnsi="Times New Roman"/>
          <w:sz w:val="24"/>
          <w:szCs w:val="24"/>
        </w:rPr>
        <w:t xml:space="preserve">Google Forms supplied questionnaire collection, while KnowledgeGuard consumed exported CSV data. This kept the research instruments separate from the application workflow. Formula calculation and key business rules remained in Node.js/Express; the Python service supplied supporting analytical results. Generative AI proposed interview questions but did not supply the knowledge being transferred or certify backup competence. Those responsibilities remained with the participants and manager.</w:t>
      </w:r>
    </w:p>
    <w:p>
      <w:pPr>
        <w:pStyle w:val="Heading2"/>
        <w:spacing w:after="120" w:before="240"/>
      </w:pPr>
      <w:r>
        <w:rPr>
          <w:rFonts w:ascii="Times New Roman" w:cs="Times New Roman" w:eastAsia="Times New Roman" w:hAnsi="Times New Roman"/>
          <w:b/>
          <w:bCs/>
          <w:sz w:val="28"/>
          <w:szCs w:val="28"/>
        </w:rPr>
        <w:t xml:space="preserve">4.6 Evaluation procedure</w:t>
      </w:r>
    </w:p>
    <w:p>
      <w:pPr>
        <w:spacing w:after="120" w:line="360"/>
        <w:ind w:firstLine="360"/>
        <w:jc w:val="both"/>
      </w:pPr>
      <w:r>
        <w:rPr>
          <w:rFonts w:ascii="Times New Roman" w:cs="Times New Roman" w:eastAsia="Times New Roman" w:hAnsi="Times New Roman"/>
          <w:sz w:val="24"/>
          <w:szCs w:val="24"/>
        </w:rPr>
        <w:t xml:space="preserve">Evaluation was organized around the four objectives in Chapter 2. For Objective 1, the collected standalone Q1 responses were used to inspect response mapping, indicator calculation, tenure scoring, and quality warnings. The ten expert pairwise responses were converted using the form’s stated left-to-right scale, aggregated, and assessed for group consistency. Their proposed weights were compared with the baseline but were not applied to the evaluated scores.</w:t>
      </w:r>
    </w:p>
    <w:p>
      <w:pPr>
        <w:spacing w:after="120" w:line="360"/>
        <w:ind w:firstLine="360"/>
        <w:jc w:val="both"/>
      </w:pPr>
      <w:r>
        <w:rPr>
          <w:rFonts w:ascii="Times New Roman" w:cs="Times New Roman" w:eastAsia="Times New Roman" w:hAnsi="Times New Roman"/>
          <w:sz w:val="24"/>
          <w:szCs w:val="24"/>
        </w:rPr>
        <w:t xml:space="preserve">For Objective 2, the Chapter 3 literature review was used to justify the indicator definitions, transparent scoring, manager review, and transfer stages. Its outcome is a documented design rationale, not a numerical effectiveness result.</w:t>
      </w:r>
    </w:p>
    <w:p>
      <w:pPr>
        <w:spacing w:after="120" w:line="360"/>
        <w:ind w:firstLine="360"/>
        <w:jc w:val="both"/>
      </w:pPr>
      <w:r>
        <w:rPr>
          <w:rFonts w:ascii="Times New Roman" w:cs="Times New Roman" w:eastAsia="Times New Roman" w:hAnsi="Times New Roman"/>
          <w:sz w:val="24"/>
          <w:szCs w:val="24"/>
        </w:rPr>
        <w:t xml:space="preserve">For Objective 3, controlled records and generated Q1–Q4 scenarios were used to examine scoring, manager validation, KT eligibility, task states, and history. Each functional check recorded an input or initial state, action, expected result, observed result, and evidence type. A screenshot demonstrates a visible state; source-code inspection establishes that a control exists in the supplied implementation; a unit test verifies the tested function. These are not interchangeable with an executed end-to-end test. Chapter 5 reports which checks were actually performed and which remain implementation evidence only.</w:t>
      </w:r>
    </w:p>
    <w:p>
      <w:pPr>
        <w:spacing w:after="120" w:line="360"/>
        <w:ind w:firstLine="360"/>
        <w:jc w:val="both"/>
      </w:pPr>
      <w:r>
        <w:rPr>
          <w:rFonts w:ascii="Times New Roman" w:cs="Times New Roman" w:eastAsia="Times New Roman" w:hAnsi="Times New Roman"/>
          <w:sz w:val="24"/>
          <w:szCs w:val="24"/>
        </w:rPr>
        <w:t xml:space="preserve">For Objective 4, ten evaluators used the deployed prototype independently. They were given the deployed-system link and questionnaire link through WhatsApp, then asked to log in, inspect the dashboard and a risk profile, review manager validation, review or create a KT plan, and inspect AHP validation before completing the form. The questionnaire provided ten System Usability Scale items [24] and separate acceptance items related to perceived usefulness, perceived ease of use, and behavioural intention [25].</w:t>
      </w:r>
    </w:p>
    <w:p>
      <w:pPr>
        <w:spacing w:after="120" w:line="360"/>
        <w:ind w:firstLine="360"/>
        <w:jc w:val="both"/>
      </w:pPr>
      <w:r>
        <w:rPr>
          <w:rFonts w:ascii="Times New Roman" w:cs="Times New Roman" w:eastAsia="Times New Roman" w:hAnsi="Times New Roman"/>
          <w:sz w:val="24"/>
          <w:szCs w:val="24"/>
        </w:rPr>
        <w:t xml:space="preserve">For each SUS response, an odd-numbered item contributes its rating minus 1, while an even-numbered item contributes 5 minus its rating. The sum is multiplied by 2.5 to obtain an individual score from 0 to 100. The study reports the mean and sample standard deviation of the ten scores. Acceptance constructs are summarized separately using their item means on the five-point response scale. Because evaluation involved a small convenience group, these are descriptive findings rather than population estimates or evidence of organizational adoption.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Aspect</w:t>
            </w:r>
          </w:p>
        </w:tc>
        <w:tc>
          <w:tcPr>
            <w:tcW w:type="dxa" w:w="4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Method</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Evidence reported in Chapter 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Assessment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Map Q1 responses and inspect calculated indicators, tenure, and warnings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De-identified processing and score evidence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AHP</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Convert ten expert comparisons, compute group CR and weights; test an inconsistent control matrix separately</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Aggregated matrix, proposed weights, consistency result, and safeguard evidence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Functional workflow</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Run controlled actions and distinguish execution from code inspection</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Test IDs, expected and observed results, and evidence type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KT change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Trace a generated case through approved tasks and sign-off</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Task states and configured score update, labelled as a simulation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Usability</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Score ten SUS forms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sample SD, range, and n = 10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Acceptance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Calculate construct means from the ten evaluation forms</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Usefulness, ease-of-use, and intention summaries with n = 10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ML support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Inspect saved metrics and model configuration</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Results interpreted only against synthetic formula-derived labels</w:t>
            </w:r>
          </w:p>
        </w:tc>
      </w:tr>
    </w:tbl>
    <w:p>
      <w:pPr>
        <w:spacing w:after="200" w:before="80"/>
        <w:jc w:val="center"/>
      </w:pPr>
      <w:r>
        <w:rPr>
          <w:rFonts w:ascii="Times New Roman" w:cs="Times New Roman" w:eastAsia="Times New Roman" w:hAnsi="Times New Roman"/>
          <w:i/>
          <w:iCs/>
          <w:sz w:val="22"/>
          <w:szCs w:val="22"/>
        </w:rPr>
        <w:t xml:space="preserve">Table 4.7: Evaluation measures and 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Quarter</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Assessment context</w:t>
            </w:r>
          </w:p>
        </w:tc>
        <w:tc>
          <w:tcPr>
            <w:tcW w:type="dxa" w:w="3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Common mapping</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Routine work and day-to-day dependency</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 questions mapped to EU, DG, PC, and CD</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Absence, incidents, and service continuity</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Same four categories and scoring direction</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Architecture, technical change, and release risk</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Same four categories and scoring direction</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Handover and cross-training readiness</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Same four categories and scoring direction</w:t>
            </w:r>
          </w:p>
        </w:tc>
      </w:tr>
    </w:tbl>
    <w:p>
      <w:pPr>
        <w:spacing w:after="200" w:before="80"/>
        <w:jc w:val="center"/>
      </w:pPr>
      <w:r>
        <w:rPr>
          <w:rFonts w:ascii="Times New Roman" w:cs="Times New Roman" w:eastAsia="Times New Roman" w:hAnsi="Times New Roman"/>
          <w:i/>
          <w:iCs/>
          <w:sz w:val="22"/>
          <w:szCs w:val="22"/>
        </w:rPr>
        <w:t xml:space="preserve">Table 4.8: Generated quarterly questionnaire design</w:t>
      </w:r>
    </w:p>
    <w:p>
      <w:pPr>
        <w:spacing w:after="120" w:line="360"/>
        <w:ind w:firstLine="360"/>
        <w:jc w:val="both"/>
      </w:pPr>
      <w:r>
        <w:rPr>
          <w:rFonts w:ascii="Times New Roman" w:cs="Times New Roman" w:eastAsia="Times New Roman" w:hAnsi="Times New Roman"/>
          <w:sz w:val="24"/>
          <w:szCs w:val="24"/>
        </w:rPr>
        <w:t xml:space="preserve">The generated quarterly records test whether the application can maintain separate assessment periods for the same fictional identity. They are not a four-quarter sample of the colleagues who provided standalone Q1 responses. A score change following KT sign-off is also separate from a later imported assessment.</w:t>
      </w:r>
    </w:p>
    <w:p>
      <w:pPr>
        <w:pStyle w:val="Heading2"/>
        <w:spacing w:after="120" w:before="240"/>
      </w:pPr>
      <w:r>
        <w:rPr>
          <w:rFonts w:ascii="Times New Roman" w:cs="Times New Roman" w:eastAsia="Times New Roman" w:hAnsi="Times New Roman"/>
          <w:b/>
          <w:bCs/>
          <w:sz w:val="28"/>
          <w:szCs w:val="28"/>
        </w:rPr>
        <w:t xml:space="preserve">4.7 Ethics and project management</w:t>
      </w:r>
    </w:p>
    <w:p>
      <w:pPr>
        <w:spacing w:after="120" w:line="360"/>
        <w:ind w:firstLine="360"/>
        <w:jc w:val="both"/>
      </w:pPr>
      <w:r>
        <w:t>The study reports questionnaire findings in aggregate and uses fictional identities in workflow demonstrations. The colleague Q1 data include self-reported start dates, used only for the prototype tenure calculation. The available form exports do not establish whether an institutional ethics approval was granted; no such approval is claimed here. Recruitment and consent wording must be retained with the study records before final submission. This was not a partner-organization field study.</w:t>
      </w:r>
    </w:p>
    <w:p>
      <w:pPr>
        <w:spacing w:after="120" w:line="360"/>
        <w:ind w:firstLine="360"/>
        <w:jc w:val="both"/>
      </w:pPr>
      <w:r>
        <w:rPr>
          <w:rFonts w:ascii="Times New Roman" w:cs="Times New Roman" w:eastAsia="Times New Roman" w:hAnsi="Times New Roman"/>
          <w:sz w:val="24"/>
          <w:szCs w:val="24"/>
        </w:rPr>
        <w:t xml:space="preserve">Risk tiers are intended to prioritize continuity preparation and managerial review, not to make employment decisions. Before use with organizational employee records, the collection purpose, lawful or approved basis, data minimization, access permissions, retention period, and external AI or email data flows would require organizational review. No penetration test or organizational privacy audit was completed for this prototype.</w:t>
      </w:r>
    </w:p>
    <w:p>
      <w:pPr>
        <w:spacing w:after="120" w:line="360"/>
        <w:ind w:firstLine="360"/>
        <w:jc w:val="both"/>
      </w:pPr>
      <w:r>
        <w:rPr>
          <w:rFonts w:ascii="Times New Roman" w:cs="Times New Roman" w:eastAsia="Times New Roman" w:hAnsi="Times New Roman"/>
          <w:sz w:val="24"/>
          <w:szCs w:val="24"/>
        </w:rPr>
        <w:t xml:space="preserve">Development was organized iteratively using an Agile-Kanban-style workflow to track implementation and refinement. This was a project-management practice, not a controlled experiment or a separate source of effectiveness evidence.</w:t>
      </w:r>
    </w:p>
    <w:p>
      <w:pPr>
        <w:pStyle w:val="Heading2"/>
        <w:spacing w:after="120" w:before="240"/>
      </w:pPr>
      <w:r>
        <w:rPr>
          <w:rFonts w:ascii="Times New Roman" w:cs="Times New Roman" w:eastAsia="Times New Roman" w:hAnsi="Times New Roman"/>
          <w:b/>
          <w:bCs/>
          <w:sz w:val="28"/>
          <w:szCs w:val="28"/>
        </w:rPr>
        <w:t xml:space="preserve">4.8 Chapter summary</w:t>
      </w:r>
    </w:p>
    <w:p>
      <w:pPr>
        <w:spacing w:after="120" w:line="360"/>
        <w:ind w:firstLine="360"/>
        <w:jc w:val="both"/>
      </w:pPr>
      <w:r>
        <w:rPr>
          <w:rFonts w:ascii="Times New Roman" w:cs="Times New Roman" w:eastAsia="Times New Roman" w:hAnsi="Times New Roman"/>
          <w:sz w:val="24"/>
          <w:szCs w:val="24"/>
        </w:rPr>
        <w:t xml:space="preserve">This chapter explained how KnowledgeGuard was designed, built, and evaluated. It separated collected colleague assessments, generated quarterly scenarios, expert comparisons, system-evaluation responses, and synthetic ML training data. It defined the baseline indicators and formula, the supporting ML and manager components, the KT workflow, and the methods used to check them. Chapter 5 reports the resulting artefact outputs, functional evidence, AHP comparison, and evaluator responses.</w:t>
      </w:r>
    </w:p>
    <w:p>
      <w:pPr>
        <w:pStyle w:val="Heading1"/>
        <w:keepNext/>
      </w:pPr>
      <w:r>
        <w:t>5. RESULTS</w:t>
      </w:r>
    </w:p>
    <w:p>
      <w:pPr>
        <w:pStyle w:val="Heading2"/>
        <w:keepNext/>
      </w:pPr>
      <w:r>
        <w:t>5.1 Chapter overview</w:t>
      </w:r>
    </w:p>
    <w:p>
      <w:pPr>
        <w:keepNext w:val="0"/>
      </w:pPr>
      <w:r>
        <w:t>This chapter reports what KnowledgeGuard produced and what the available evaluation established. It presents assessment and knowledge-transfer outputs, functional verification, exploratory AHP findings, usability and acceptance responses, and saved machine-learning results. Collected colleague responses, generated workflow records and synthetic ML training profiles are reported separately. A working feature or a changed risk score is not treated as evidence that an organization retained knowledge after an employee transition.</w:t>
      </w:r>
    </w:p>
    <w:p>
      <w:pPr>
        <w:pStyle w:val="Heading2"/>
        <w:keepNext/>
      </w:pPr>
      <w:r>
        <w:t>5.2 Evaluation data</w:t>
      </w:r>
    </w:p>
    <w:p>
      <w:pPr>
        <w:keepNext w:val="0"/>
      </w:pPr>
      <w:r>
        <w:t>Five evidence sources contributed to the results. The 30 standalone Q1 responses from industry colleagues and their supplied start dates provided prototype inputs for questionnaire mapping and tenure calculation. A separate dataset of 120 generated records represented 30 fictional identities across Q1-Q4 and was used to demonstrate repeated imports and score history. Ten expert responses supplied exploratory AHP comparisons. Ten deployed-prototype evaluation forms supplied SUS and TAM ratings. The saved ML model and metrics documented training on 500 synthetic, formula-labelled profiles. The collected responses were not joined to the fictional quarterly identities.</w:t>
      </w:r>
    </w:p>
    <w:tbl>
      <w:tblPr>
        <w:tblStyle w:val="TableGrid"/>
        <w:tblW w:type="auto" w:w="0"/>
        <w:tblLayout w:type="fixed"/>
        <w:tblLook w:firstColumn="1" w:firstRow="1" w:lastColumn="0" w:lastRow="0" w:noHBand="0" w:noVBand="1" w:val="04A0"/>
      </w:tblPr>
      <w:tblGrid>
        <w:gridCol w:w="3000"/>
        <w:gridCol w:w="3000"/>
        <w:gridCol w:w="3000"/>
      </w:tblGrid>
      <w:tr>
        <w:trPr>
          <w:cantSplit/>
        </w:trPr>
        <w:tc>
          <w:tcPr>
            <w:tcW w:type="dxa" w:w="3024"/>
            <w:vAlign w:val="center"/>
            <w:shd w:fill="E8EDF3"/>
          </w:tcPr>
          <w:p>
            <w:pPr>
              <w:spacing w:after="0"/>
            </w:pPr>
            <w:r>
              <w:rPr>
                <w:b/>
                <w:sz w:val="18"/>
              </w:rPr>
              <w:t>Evidence source</w:t>
            </w:r>
          </w:p>
        </w:tc>
        <w:tc>
          <w:tcPr>
            <w:tcW w:type="dxa" w:w="3024"/>
            <w:vAlign w:val="center"/>
            <w:shd w:fill="E8EDF3"/>
          </w:tcPr>
          <w:p>
            <w:pPr>
              <w:spacing w:after="0"/>
            </w:pPr>
            <w:r>
              <w:rPr>
                <w:b/>
                <w:sz w:val="18"/>
              </w:rPr>
              <w:t>Quantity</w:t>
            </w:r>
          </w:p>
        </w:tc>
        <w:tc>
          <w:tcPr>
            <w:tcW w:type="dxa" w:w="3024"/>
            <w:vAlign w:val="center"/>
            <w:shd w:fill="E8EDF3"/>
          </w:tcPr>
          <w:p>
            <w:pPr>
              <w:spacing w:after="0"/>
            </w:pPr>
            <w:r>
              <w:rPr>
                <w:b/>
                <w:sz w:val="18"/>
              </w:rPr>
              <w:t>Result supported</w:t>
            </w:r>
          </w:p>
        </w:tc>
      </w:tr>
      <w:tr>
        <w:trPr>
          <w:cantSplit/>
        </w:trPr>
        <w:tc>
          <w:tcPr>
            <w:tcW w:type="dxa" w:w="3024"/>
            <w:vAlign w:val="center"/>
          </w:tcPr>
          <w:p>
            <w:pPr>
              <w:spacing w:after="0"/>
            </w:pPr>
            <w:r>
              <w:rPr>
                <w:sz w:val="18"/>
              </w:rPr>
              <w:t>Standalone colleague Q1 assessments</w:t>
            </w:r>
          </w:p>
        </w:tc>
        <w:tc>
          <w:tcPr>
            <w:tcW w:type="dxa" w:w="3024"/>
            <w:vAlign w:val="center"/>
          </w:tcPr>
          <w:p>
            <w:pPr>
              <w:spacing w:after="0"/>
            </w:pPr>
            <w:r>
              <w:rPr>
                <w:sz w:val="18"/>
              </w:rPr>
              <w:t>30 responses</w:t>
            </w:r>
          </w:p>
        </w:tc>
        <w:tc>
          <w:tcPr>
            <w:tcW w:type="dxa" w:w="3024"/>
            <w:vAlign w:val="center"/>
          </w:tcPr>
          <w:p>
            <w:pPr>
              <w:spacing w:after="0"/>
            </w:pPr>
            <w:r>
              <w:rPr>
                <w:sz w:val="18"/>
              </w:rPr>
              <w:t>Assessment-input mapping and tenure calculation</w:t>
            </w:r>
          </w:p>
        </w:tc>
      </w:tr>
      <w:tr>
        <w:trPr>
          <w:cantSplit/>
        </w:trPr>
        <w:tc>
          <w:tcPr>
            <w:tcW w:type="dxa" w:w="3024"/>
            <w:vAlign w:val="center"/>
          </w:tcPr>
          <w:p>
            <w:pPr>
              <w:spacing w:after="0"/>
            </w:pPr>
            <w:r>
              <w:rPr>
                <w:sz w:val="18"/>
              </w:rPr>
              <w:t>Separate generated Q1-Q4 records</w:t>
            </w:r>
          </w:p>
        </w:tc>
        <w:tc>
          <w:tcPr>
            <w:tcW w:type="dxa" w:w="3024"/>
            <w:vAlign w:val="center"/>
          </w:tcPr>
          <w:p>
            <w:pPr>
              <w:spacing w:after="0"/>
            </w:pPr>
            <w:r>
              <w:rPr>
                <w:sz w:val="18"/>
              </w:rPr>
              <w:t>120 records; 30 fictional identities</w:t>
            </w:r>
          </w:p>
        </w:tc>
        <w:tc>
          <w:tcPr>
            <w:tcW w:type="dxa" w:w="3024"/>
            <w:vAlign w:val="center"/>
          </w:tcPr>
          <w:p>
            <w:pPr>
              <w:spacing w:after="0"/>
            </w:pPr>
            <w:r>
              <w:rPr>
                <w:sz w:val="18"/>
              </w:rPr>
              <w:t>Quarterly import, history and workflow demonstration</w:t>
            </w:r>
          </w:p>
        </w:tc>
      </w:tr>
      <w:tr>
        <w:trPr>
          <w:cantSplit/>
        </w:trPr>
        <w:tc>
          <w:tcPr>
            <w:tcW w:type="dxa" w:w="3024"/>
            <w:vAlign w:val="center"/>
          </w:tcPr>
          <w:p>
            <w:pPr>
              <w:spacing w:after="0"/>
            </w:pPr>
            <w:r>
              <w:rPr>
                <w:sz w:val="18"/>
              </w:rPr>
              <w:t>Expert pairwise-comparison forms</w:t>
            </w:r>
          </w:p>
        </w:tc>
        <w:tc>
          <w:tcPr>
            <w:tcW w:type="dxa" w:w="3024"/>
            <w:vAlign w:val="center"/>
          </w:tcPr>
          <w:p>
            <w:pPr>
              <w:spacing w:after="0"/>
            </w:pPr>
            <w:r>
              <w:rPr>
                <w:sz w:val="18"/>
              </w:rPr>
              <w:t>10 responses</w:t>
            </w:r>
          </w:p>
        </w:tc>
        <w:tc>
          <w:tcPr>
            <w:tcW w:type="dxa" w:w="3024"/>
            <w:vAlign w:val="center"/>
          </w:tcPr>
          <w:p>
            <w:pPr>
              <w:spacing w:after="0"/>
            </w:pPr>
            <w:r>
              <w:rPr>
                <w:sz w:val="18"/>
              </w:rPr>
              <w:t>Aggregated AHP weights and consistency</w:t>
            </w:r>
          </w:p>
        </w:tc>
      </w:tr>
      <w:tr>
        <w:trPr>
          <w:cantSplit/>
        </w:trPr>
        <w:tc>
          <w:tcPr>
            <w:tcW w:type="dxa" w:w="3024"/>
            <w:vAlign w:val="center"/>
          </w:tcPr>
          <w:p>
            <w:pPr>
              <w:spacing w:after="0"/>
            </w:pPr>
            <w:r>
              <w:rPr>
                <w:sz w:val="18"/>
              </w:rPr>
              <w:t>System-evaluation forms</w:t>
            </w:r>
          </w:p>
        </w:tc>
        <w:tc>
          <w:tcPr>
            <w:tcW w:type="dxa" w:w="3024"/>
            <w:vAlign w:val="center"/>
          </w:tcPr>
          <w:p>
            <w:pPr>
              <w:spacing w:after="0"/>
            </w:pPr>
            <w:r>
              <w:rPr>
                <w:sz w:val="18"/>
              </w:rPr>
              <w:t>10 responses</w:t>
            </w:r>
          </w:p>
        </w:tc>
        <w:tc>
          <w:tcPr>
            <w:tcW w:type="dxa" w:w="3024"/>
            <w:vAlign w:val="center"/>
          </w:tcPr>
          <w:p>
            <w:pPr>
              <w:spacing w:after="0"/>
            </w:pPr>
            <w:r>
              <w:rPr>
                <w:sz w:val="18"/>
              </w:rPr>
              <w:t>Descriptive SUS and TAM summaries</w:t>
            </w:r>
          </w:p>
        </w:tc>
      </w:tr>
      <w:tr>
        <w:trPr>
          <w:cantSplit/>
        </w:trPr>
        <w:tc>
          <w:tcPr>
            <w:tcW w:type="dxa" w:w="3024"/>
            <w:vAlign w:val="center"/>
          </w:tcPr>
          <w:p>
            <w:pPr>
              <w:spacing w:after="0"/>
            </w:pPr>
            <w:r>
              <w:rPr>
                <w:sz w:val="18"/>
              </w:rPr>
              <w:t>Saved synthetic ML training record</w:t>
            </w:r>
          </w:p>
        </w:tc>
        <w:tc>
          <w:tcPr>
            <w:tcW w:type="dxa" w:w="3024"/>
            <w:vAlign w:val="center"/>
          </w:tcPr>
          <w:p>
            <w:pPr>
              <w:spacing w:after="0"/>
            </w:pPr>
            <w:r>
              <w:rPr>
                <w:sz w:val="18"/>
              </w:rPr>
              <w:t>500 generated profiles</w:t>
            </w:r>
          </w:p>
        </w:tc>
        <w:tc>
          <w:tcPr>
            <w:tcW w:type="dxa" w:w="3024"/>
            <w:vAlign w:val="center"/>
          </w:tcPr>
          <w:p>
            <w:pPr>
              <w:spacing w:after="0"/>
            </w:pPr>
            <w:r>
              <w:rPr>
                <w:sz w:val="18"/>
              </w:rPr>
              <w:t>Internal metrics against formula-derived labels</w:t>
            </w:r>
          </w:p>
        </w:tc>
      </w:tr>
    </w:tbl>
    <w:p>
      <w:pPr>
        <w:pStyle w:val="KGCaption"/>
        <w:keepNext w:val="0"/>
        <w:jc w:val="center"/>
      </w:pPr>
      <w:r>
        <w:t>Table 5.1: Evaluation sources and their interpretation boundaries</w:t>
      </w:r>
    </w:p>
    <w:p>
      <w:pPr>
        <w:keepNext w:val="0"/>
      </w:pPr>
      <w:r>
        <w:t>The available evidence does not include an independently retained import audit stating how many Q1 records were rejected or flagged. Those counts are not reported. The evaluator group was small, and exact role counts were not recorded.</w:t>
      </w:r>
    </w:p>
    <w:p>
      <w:pPr>
        <w:pStyle w:val="Heading2"/>
        <w:keepNext/>
      </w:pPr>
      <w:r>
        <w:t>5.3 Prototype outputs and workflow demonstration</w:t>
      </w:r>
    </w:p>
    <w:p>
      <w:pPr>
        <w:pStyle w:val="Heading3"/>
        <w:keepNext/>
      </w:pPr>
      <w:r>
        <w:t>5.3.1 Assessment and manager validation</w:t>
      </w:r>
    </w:p>
    <w:p>
      <w:pPr>
        <w:keepNext w:val="0"/>
      </w:pPr>
      <w:r>
        <w:t>KnowledgeGuard displays five indicator values, the transparent formula score, a supporting ML score, the final blended score, confidence information and the current risk tier. Figures 5.1 and 5.2 show the same synthetic demonstration record before and after manager validation.</w:t>
      </w:r>
    </w:p>
    <w:p>
      <w:pPr>
        <w:keepNext w:val="0"/>
      </w:pPr>
      <w:r>
        <w:t>Before validation, the displayed formula score was 9.7 and the ML support score was 6.2. The preliminary blend was 0.70(9.7) + 0.30(6.2) = 8.65, displayed as 8.7/10 and classified High. The manager component shown as 0.0 was not used in this preliminary blend. After the manager submitted validated values and a note, the displayed manager score was 10.0. The validated blend was 0.30(9.7) + 0.50(10.0) + 0.20(6.2) = 9.15, displayed as 9.2/10 and classified Critical. This comparison makes recorded human review visible; it is not a prediction that the employee will leave.</w:t>
      </w:r>
    </w:p>
    <w:p>
      <w:pPr>
        <w:keepNext w:val="0"/>
        <w:spacing w:before="200"/>
      </w:pPr>
      <w:r>
        <w:rPr>
          <w:i/>
        </w:rPr>
        <w:t>[Insert Figure 5.1 image here]</w:t>
      </w:r>
    </w:p>
    <w:p>
      <w:pPr>
        <w:pStyle w:val="KGCaption"/>
        <w:keepNext w:val="0"/>
        <w:jc w:val="center"/>
      </w:pPr>
      <w:r>
        <w:t>Figure 5.1: Preliminary risk profile for a synthetic demonstration record before manager validation.</w:t>
      </w:r>
    </w:p>
    <w:p>
      <w:pPr>
        <w:keepNext w:val="0"/>
        <w:spacing w:before="200"/>
      </w:pPr>
      <w:r>
        <w:rPr>
          <w:i/>
        </w:rPr>
        <w:t>[Insert Figure 5.2 image here]</w:t>
      </w:r>
    </w:p>
    <w:p>
      <w:pPr>
        <w:pStyle w:val="KGCaption"/>
        <w:keepNext w:val="0"/>
        <w:jc w:val="center"/>
      </w:pPr>
      <w:r>
        <w:t>Figure 5.2: The same synthetic risk profile after manager validation.</w:t>
      </w:r>
    </w:p>
    <w:p>
      <w:pPr>
        <w:pStyle w:val="Heading3"/>
        <w:keepNext/>
      </w:pPr>
      <w:r>
        <w:t>5.3.2 Knowledge-transfer planning and tasks</w:t>
      </w:r>
    </w:p>
    <w:p>
      <w:pPr>
        <w:keepNext w:val="0"/>
      </w:pPr>
      <w:r>
        <w:t>The plan-creation interface presents the knowledge holder, backup field, knowledge areas, priority and deadline. Knowledge tags guide proposed areas and help rank candidates. Figure 5.3 shows the creation form; an unselected backup field alone does not prove that an ineligible backup was rejected. The backend safeguard is reported separately in Table 5.3.</w:t>
      </w:r>
    </w:p>
    <w:p>
      <w:pPr>
        <w:keepNext w:val="0"/>
      </w:pPr>
      <w:r>
        <w:t>Once an eligible plan is created, the application records five task types: documentation, shadowing, structured interview, backup practice and competence review, and manager sign-off. Figure 5.4 shows an active plan with these stages initially pending. It demonstrates task creation, not completed transfer or successful sign-off.</w:t>
      </w:r>
    </w:p>
    <w:p>
      <w:pPr>
        <w:keepNext w:val="0"/>
        <w:spacing w:before="200"/>
      </w:pPr>
      <w:r>
        <w:rPr>
          <w:i/>
        </w:rPr>
        <w:t>[Insert Figure 5.3 image here]</w:t>
      </w:r>
    </w:p>
    <w:p>
      <w:pPr>
        <w:pStyle w:val="KGCaption"/>
        <w:keepNext w:val="0"/>
        <w:jc w:val="center"/>
      </w:pPr>
      <w:r>
        <w:t>Figure 5.3: Knowledge-transfer plan creation for a synthetic High- or Critical-risk case, showing knowledge-area guidance.</w:t>
      </w:r>
    </w:p>
    <w:p>
      <w:pPr>
        <w:keepNext w:val="0"/>
        <w:spacing w:before="200"/>
      </w:pPr>
      <w:r>
        <w:rPr>
          <w:i/>
        </w:rPr>
        <w:t>[Insert Figure 5.4 image here]</w:t>
      </w:r>
    </w:p>
    <w:p>
      <w:pPr>
        <w:pStyle w:val="KGCaption"/>
        <w:keepNext w:val="0"/>
        <w:jc w:val="center"/>
      </w:pPr>
      <w:r>
        <w:t>Figure 5.4: Five knowledge-transfer task types created for a synthetic demonstration plan.</w:t>
      </w:r>
    </w:p>
    <w:p>
      <w:pPr>
        <w:pStyle w:val="Heading3"/>
        <w:keepNext/>
      </w:pPr>
      <w:r>
        <w:t>5.3.3 Worked knowledge-transfer score trace</w:t>
      </w:r>
    </w:p>
    <w:p>
      <w:pPr>
        <w:keepNext w:val="0"/>
      </w:pPr>
      <w:r>
        <w:t>A separate arithmetic example makes the configured KT effect reproducible. It is not the employee shown in Figures 5.1 and 5.2. With EU = 9, DG = 8, PC = 9, CD = 7 and T = 10, the baseline formula gives F = 0.25(9) + 0.20(8) + 0.20(9) + 0.20(7) + 0.15(10) = 8.55. Using an illustrative manager score of 8.50 and ML support score of 6.50 gives R = 0.30(8.55) + 0.50(8.50) + 0.20(6.50) = 8.115, or 8.12 after rounding: High. The 6.50 value is an assumed input for this example and the maximum configured ML score available from the saved model's represented classes; it is not a captured prediction for this record.</w:t>
      </w:r>
    </w:p>
    <w:p>
      <w:pPr>
        <w:keepNext w:val="0"/>
      </w:pPr>
      <w:r>
        <w:t>In a simulated fully completed KT case, approved documentation reduces DG by 3, a fully competent backup rating reduces EU by 3, and approved shadowing and interview evidence reduce CD by 2. PC and tenure remain unchanged. The resulting values are EU = 6, DG = 5, PC = 9, CD = 5 and T = 10, producing F = 6.80. No post-sign-off final blended score is inferred: the application must recalculate its manager and ML components. A later-quarter history entry requires a separately imported generated assessment.</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Stage</w:t>
            </w:r>
          </w:p>
        </w:tc>
        <w:tc>
          <w:tcPr>
            <w:tcW w:type="dxa" w:w="2268"/>
            <w:vAlign w:val="center"/>
            <w:shd w:fill="E8EDF3"/>
          </w:tcPr>
          <w:p>
            <w:pPr>
              <w:spacing w:after="0"/>
            </w:pPr>
            <w:r>
              <w:rPr>
                <w:b/>
                <w:sz w:val="18"/>
              </w:rPr>
              <w:t>EU, DG, PC, CD, T</w:t>
            </w:r>
          </w:p>
        </w:tc>
        <w:tc>
          <w:tcPr>
            <w:tcW w:type="dxa" w:w="2268"/>
            <w:vAlign w:val="center"/>
            <w:shd w:fill="E8EDF3"/>
          </w:tcPr>
          <w:p>
            <w:pPr>
              <w:spacing w:after="0"/>
            </w:pPr>
            <w:r>
              <w:rPr>
                <w:b/>
                <w:sz w:val="18"/>
              </w:rPr>
              <w:t>Formula score</w:t>
            </w:r>
          </w:p>
        </w:tc>
        <w:tc>
          <w:tcPr>
            <w:tcW w:type="dxa" w:w="2268"/>
            <w:vAlign w:val="center"/>
            <w:shd w:fill="E8EDF3"/>
          </w:tcPr>
          <w:p>
            <w:pPr>
              <w:spacing w:after="0"/>
            </w:pPr>
            <w:r>
              <w:rPr>
                <w:b/>
                <w:sz w:val="18"/>
              </w:rPr>
              <w:t>Interpretation</w:t>
            </w:r>
          </w:p>
        </w:tc>
      </w:tr>
      <w:tr>
        <w:trPr>
          <w:cantSplit/>
        </w:trPr>
        <w:tc>
          <w:tcPr>
            <w:tcW w:type="dxa" w:w="2268"/>
            <w:vAlign w:val="center"/>
          </w:tcPr>
          <w:p>
            <w:pPr>
              <w:spacing w:after="0"/>
            </w:pPr>
            <w:r>
              <w:rPr>
                <w:sz w:val="18"/>
              </w:rPr>
              <w:t>Before KT</w:t>
            </w:r>
          </w:p>
        </w:tc>
        <w:tc>
          <w:tcPr>
            <w:tcW w:type="dxa" w:w="2268"/>
            <w:vAlign w:val="center"/>
          </w:tcPr>
          <w:p>
            <w:pPr>
              <w:spacing w:after="0"/>
            </w:pPr>
            <w:r>
              <w:rPr>
                <w:sz w:val="18"/>
              </w:rPr>
              <w:t>9, 8, 9, 7, 10</w:t>
            </w:r>
          </w:p>
        </w:tc>
        <w:tc>
          <w:tcPr>
            <w:tcW w:type="dxa" w:w="2268"/>
            <w:vAlign w:val="center"/>
          </w:tcPr>
          <w:p>
            <w:pPr>
              <w:spacing w:after="0"/>
            </w:pPr>
            <w:r>
              <w:rPr>
                <w:sz w:val="18"/>
              </w:rPr>
              <w:t>8.55</w:t>
            </w:r>
          </w:p>
        </w:tc>
        <w:tc>
          <w:tcPr>
            <w:tcW w:type="dxa" w:w="2268"/>
            <w:vAlign w:val="center"/>
          </w:tcPr>
          <w:p>
            <w:pPr>
              <w:spacing w:after="0"/>
            </w:pPr>
            <w:r>
              <w:rPr>
                <w:sz w:val="18"/>
              </w:rPr>
              <w:t>Arithmetic example; illustrative blended score 8.12</w:t>
            </w:r>
          </w:p>
        </w:tc>
      </w:tr>
      <w:tr>
        <w:trPr>
          <w:cantSplit/>
        </w:trPr>
        <w:tc>
          <w:tcPr>
            <w:tcW w:type="dxa" w:w="2268"/>
            <w:vAlign w:val="center"/>
          </w:tcPr>
          <w:p>
            <w:pPr>
              <w:spacing w:after="0"/>
            </w:pPr>
            <w:r>
              <w:rPr>
                <w:sz w:val="18"/>
              </w:rPr>
              <w:t>After stipulated approved tasks</w:t>
            </w:r>
          </w:p>
        </w:tc>
        <w:tc>
          <w:tcPr>
            <w:tcW w:type="dxa" w:w="2268"/>
            <w:vAlign w:val="center"/>
          </w:tcPr>
          <w:p>
            <w:pPr>
              <w:spacing w:after="0"/>
            </w:pPr>
            <w:r>
              <w:rPr>
                <w:sz w:val="18"/>
              </w:rPr>
              <w:t>6, 5, 9, 5, 10</w:t>
            </w:r>
          </w:p>
        </w:tc>
        <w:tc>
          <w:tcPr>
            <w:tcW w:type="dxa" w:w="2268"/>
            <w:vAlign w:val="center"/>
          </w:tcPr>
          <w:p>
            <w:pPr>
              <w:spacing w:after="0"/>
            </w:pPr>
            <w:r>
              <w:rPr>
                <w:sz w:val="18"/>
              </w:rPr>
              <w:t>6.80</w:t>
            </w:r>
          </w:p>
        </w:tc>
        <w:tc>
          <w:tcPr>
            <w:tcW w:type="dxa" w:w="2268"/>
            <w:vAlign w:val="center"/>
          </w:tcPr>
          <w:p>
            <w:pPr>
              <w:spacing w:after="0"/>
            </w:pPr>
            <w:r>
              <w:rPr>
                <w:sz w:val="18"/>
              </w:rPr>
              <w:t>Configured indicator update; not measured retention</w:t>
            </w:r>
          </w:p>
        </w:tc>
      </w:tr>
      <w:tr>
        <w:trPr>
          <w:cantSplit/>
        </w:trPr>
        <w:tc>
          <w:tcPr>
            <w:tcW w:type="dxa" w:w="2268"/>
            <w:vAlign w:val="center"/>
          </w:tcPr>
          <w:p>
            <w:pPr>
              <w:spacing w:after="0"/>
            </w:pPr>
            <w:r>
              <w:rPr>
                <w:sz w:val="18"/>
              </w:rPr>
              <w:t>Later quarter</w:t>
            </w:r>
          </w:p>
        </w:tc>
        <w:tc>
          <w:tcPr>
            <w:tcW w:type="dxa" w:w="2268"/>
            <w:vAlign w:val="center"/>
          </w:tcPr>
          <w:p>
            <w:pPr>
              <w:spacing w:after="0"/>
            </w:pPr>
            <w:r>
              <w:rPr>
                <w:sz w:val="18"/>
              </w:rPr>
              <w:t>Separate generated import</w:t>
            </w:r>
          </w:p>
        </w:tc>
        <w:tc>
          <w:tcPr>
            <w:tcW w:type="dxa" w:w="2268"/>
            <w:vAlign w:val="center"/>
          </w:tcPr>
          <w:p>
            <w:pPr>
              <w:spacing w:after="0"/>
            </w:pPr>
            <w:r>
              <w:rPr>
                <w:sz w:val="18"/>
              </w:rPr>
              <w:t>Calculated from new record</w:t>
            </w:r>
          </w:p>
        </w:tc>
        <w:tc>
          <w:tcPr>
            <w:tcW w:type="dxa" w:w="2268"/>
            <w:vAlign w:val="center"/>
          </w:tcPr>
          <w:p>
            <w:pPr>
              <w:spacing w:after="0"/>
            </w:pPr>
            <w:r>
              <w:rPr>
                <w:sz w:val="18"/>
              </w:rPr>
              <w:t>New demonstration history observation</w:t>
            </w:r>
          </w:p>
        </w:tc>
      </w:tr>
    </w:tbl>
    <w:p>
      <w:pPr>
        <w:pStyle w:val="KGCaption"/>
        <w:keepNext w:val="0"/>
        <w:jc w:val="center"/>
      </w:pPr>
      <w:r>
        <w:t>Table 5.2: Simulated knowledge-transfer score trace</w:t>
      </w:r>
    </w:p>
    <w:p>
      <w:pPr>
        <w:pStyle w:val="Heading2"/>
        <w:keepNext/>
      </w:pPr>
      <w:r>
        <w:t>5.4 Functional verification and implementation evidence</w:t>
      </w:r>
    </w:p>
    <w:p>
      <w:pPr>
        <w:keepNext w:val="0"/>
      </w:pPr>
      <w:r>
        <w:t>Table 5.3 separates visible prototype outputs and executed utility tests from rules identified through source-code inspection. A source-inspected safeguard is not labelled as a passed end-to-end test. The controlled inconsistent AHP screenshot in Figure 5.5 is distinct from the expert-group result in Section 5.5.</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Test</w:t>
            </w:r>
          </w:p>
        </w:tc>
        <w:tc>
          <w:tcPr>
            <w:tcW w:type="dxa" w:w="2268"/>
            <w:vAlign w:val="center"/>
            <w:shd w:fill="E8EDF3"/>
          </w:tcPr>
          <w:p>
            <w:pPr>
              <w:spacing w:after="0"/>
            </w:pPr>
            <w:r>
              <w:rPr>
                <w:b/>
                <w:sz w:val="18"/>
              </w:rPr>
              <w:t>Expected function</w:t>
            </w:r>
          </w:p>
        </w:tc>
        <w:tc>
          <w:tcPr>
            <w:tcW w:type="dxa" w:w="2268"/>
            <w:vAlign w:val="center"/>
            <w:shd w:fill="E8EDF3"/>
          </w:tcPr>
          <w:p>
            <w:pPr>
              <w:spacing w:after="0"/>
            </w:pPr>
            <w:r>
              <w:rPr>
                <w:b/>
                <w:sz w:val="18"/>
              </w:rPr>
              <w:t>Available observation</w:t>
            </w:r>
          </w:p>
        </w:tc>
        <w:tc>
          <w:tcPr>
            <w:tcW w:type="dxa" w:w="2268"/>
            <w:vAlign w:val="center"/>
            <w:shd w:fill="E8EDF3"/>
          </w:tcPr>
          <w:p>
            <w:pPr>
              <w:spacing w:after="0"/>
            </w:pPr>
            <w:r>
              <w:rPr>
                <w:b/>
                <w:sz w:val="18"/>
              </w:rPr>
              <w:t>Evidence type</w:t>
            </w:r>
          </w:p>
        </w:tc>
      </w:tr>
      <w:tr>
        <w:trPr>
          <w:cantSplit/>
        </w:trPr>
        <w:tc>
          <w:tcPr>
            <w:tcW w:type="dxa" w:w="2268"/>
            <w:vAlign w:val="center"/>
          </w:tcPr>
          <w:p>
            <w:pPr>
              <w:spacing w:after="0"/>
            </w:pPr>
            <w:r>
              <w:rPr>
                <w:sz w:val="18"/>
              </w:rPr>
              <w:t>FT01</w:t>
            </w:r>
          </w:p>
        </w:tc>
        <w:tc>
          <w:tcPr>
            <w:tcW w:type="dxa" w:w="2268"/>
            <w:vAlign w:val="center"/>
          </w:tcPr>
          <w:p>
            <w:pPr>
              <w:spacing w:after="0"/>
            </w:pPr>
            <w:r>
              <w:rPr>
                <w:sz w:val="18"/>
              </w:rPr>
              <w:t>Map assessment answers and calculate tenure</w:t>
            </w:r>
          </w:p>
        </w:tc>
        <w:tc>
          <w:tcPr>
            <w:tcW w:type="dxa" w:w="2268"/>
            <w:vAlign w:val="center"/>
          </w:tcPr>
          <w:p>
            <w:pPr>
              <w:spacing w:after="0"/>
            </w:pPr>
            <w:r>
              <w:rPr>
                <w:sz w:val="18"/>
              </w:rPr>
              <w:t>Mapping workflow available; accepted/rejected/flagged tally not retained</w:t>
            </w:r>
          </w:p>
        </w:tc>
        <w:tc>
          <w:tcPr>
            <w:tcW w:type="dxa" w:w="2268"/>
            <w:vAlign w:val="center"/>
          </w:tcPr>
          <w:p>
            <w:pPr>
              <w:spacing w:after="0"/>
            </w:pPr>
            <w:r>
              <w:rPr>
                <w:sz w:val="18"/>
              </w:rPr>
              <w:t>Controlled input and inspection; tally unverified</w:t>
            </w:r>
          </w:p>
        </w:tc>
      </w:tr>
      <w:tr>
        <w:trPr>
          <w:cantSplit/>
        </w:trPr>
        <w:tc>
          <w:tcPr>
            <w:tcW w:type="dxa" w:w="2268"/>
            <w:vAlign w:val="center"/>
          </w:tcPr>
          <w:p>
            <w:pPr>
              <w:spacing w:after="0"/>
            </w:pPr>
            <w:r>
              <w:rPr>
                <w:sz w:val="18"/>
              </w:rPr>
              <w:t>FT02</w:t>
            </w:r>
          </w:p>
        </w:tc>
        <w:tc>
          <w:tcPr>
            <w:tcW w:type="dxa" w:w="2268"/>
            <w:vAlign w:val="center"/>
          </w:tcPr>
          <w:p>
            <w:pPr>
              <w:spacing w:after="0"/>
            </w:pPr>
            <w:r>
              <w:rPr>
                <w:sz w:val="18"/>
              </w:rPr>
              <w:t>Calculate preliminary score</w:t>
            </w:r>
          </w:p>
        </w:tc>
        <w:tc>
          <w:tcPr>
            <w:tcW w:type="dxa" w:w="2268"/>
            <w:vAlign w:val="center"/>
          </w:tcPr>
          <w:p>
            <w:pPr>
              <w:spacing w:after="0"/>
            </w:pPr>
            <w:r>
              <w:rPr>
                <w:sz w:val="18"/>
              </w:rPr>
              <w:t>Figure 5.1 shows formula 9.7, ML 6.2, final 8.7 and High tier</w:t>
            </w:r>
          </w:p>
        </w:tc>
        <w:tc>
          <w:tcPr>
            <w:tcW w:type="dxa" w:w="2268"/>
            <w:vAlign w:val="center"/>
          </w:tcPr>
          <w:p>
            <w:pPr>
              <w:spacing w:after="0"/>
            </w:pPr>
            <w:r>
              <w:rPr>
                <w:sz w:val="18"/>
              </w:rPr>
              <w:t>Visible UI result</w:t>
            </w:r>
          </w:p>
        </w:tc>
      </w:tr>
      <w:tr>
        <w:trPr>
          <w:cantSplit/>
        </w:trPr>
        <w:tc>
          <w:tcPr>
            <w:tcW w:type="dxa" w:w="2268"/>
            <w:vAlign w:val="center"/>
          </w:tcPr>
          <w:p>
            <w:pPr>
              <w:spacing w:after="0"/>
            </w:pPr>
            <w:r>
              <w:rPr>
                <w:sz w:val="18"/>
              </w:rPr>
              <w:t>FT03</w:t>
            </w:r>
          </w:p>
        </w:tc>
        <w:tc>
          <w:tcPr>
            <w:tcW w:type="dxa" w:w="2268"/>
            <w:vAlign w:val="center"/>
          </w:tcPr>
          <w:p>
            <w:pPr>
              <w:spacing w:after="0"/>
            </w:pPr>
            <w:r>
              <w:rPr>
                <w:sz w:val="18"/>
              </w:rPr>
              <w:t>Record manager validation and recalculate</w:t>
            </w:r>
          </w:p>
        </w:tc>
        <w:tc>
          <w:tcPr>
            <w:tcW w:type="dxa" w:w="2268"/>
            <w:vAlign w:val="center"/>
          </w:tcPr>
          <w:p>
            <w:pPr>
              <w:spacing w:after="0"/>
            </w:pPr>
            <w:r>
              <w:rPr>
                <w:sz w:val="18"/>
              </w:rPr>
              <w:t>Figure 5.2 shows manager 10.0, note/status, final 9.2 and Critical tier</w:t>
            </w:r>
          </w:p>
        </w:tc>
        <w:tc>
          <w:tcPr>
            <w:tcW w:type="dxa" w:w="2268"/>
            <w:vAlign w:val="center"/>
          </w:tcPr>
          <w:p>
            <w:pPr>
              <w:spacing w:after="0"/>
            </w:pPr>
            <w:r>
              <w:rPr>
                <w:sz w:val="18"/>
              </w:rPr>
              <w:t>Visible UI result</w:t>
            </w:r>
          </w:p>
        </w:tc>
      </w:tr>
      <w:tr>
        <w:trPr>
          <w:cantSplit/>
        </w:trPr>
        <w:tc>
          <w:tcPr>
            <w:tcW w:type="dxa" w:w="2268"/>
            <w:vAlign w:val="center"/>
          </w:tcPr>
          <w:p>
            <w:pPr>
              <w:spacing w:after="0"/>
            </w:pPr>
            <w:r>
              <w:rPr>
                <w:sz w:val="18"/>
              </w:rPr>
              <w:t>FT04</w:t>
            </w:r>
          </w:p>
        </w:tc>
        <w:tc>
          <w:tcPr>
            <w:tcW w:type="dxa" w:w="2268"/>
            <w:vAlign w:val="center"/>
          </w:tcPr>
          <w:p>
            <w:pPr>
              <w:spacing w:after="0"/>
            </w:pPr>
            <w:r>
              <w:rPr>
                <w:sz w:val="18"/>
              </w:rPr>
              <w:t>Reject inconsistent AHP input</w:t>
            </w:r>
          </w:p>
        </w:tc>
        <w:tc>
          <w:tcPr>
            <w:tcW w:type="dxa" w:w="2268"/>
            <w:vAlign w:val="center"/>
          </w:tcPr>
          <w:p>
            <w:pPr>
              <w:spacing w:after="0"/>
            </w:pPr>
            <w:r>
              <w:rPr>
                <w:sz w:val="18"/>
              </w:rPr>
              <w:t>Controlled CR 0.2000 disables Apply; three utility tests passed</w:t>
            </w:r>
          </w:p>
        </w:tc>
        <w:tc>
          <w:tcPr>
            <w:tcW w:type="dxa" w:w="2268"/>
            <w:vAlign w:val="center"/>
          </w:tcPr>
          <w:p>
            <w:pPr>
              <w:spacing w:after="0"/>
            </w:pPr>
            <w:r>
              <w:rPr>
                <w:sz w:val="18"/>
              </w:rPr>
              <w:t>UI and unit tests; API endpoint not executed</w:t>
            </w:r>
          </w:p>
        </w:tc>
      </w:tr>
      <w:tr>
        <w:trPr>
          <w:cantSplit/>
        </w:trPr>
        <w:tc>
          <w:tcPr>
            <w:tcW w:type="dxa" w:w="2268"/>
            <w:vAlign w:val="center"/>
          </w:tcPr>
          <w:p>
            <w:pPr>
              <w:spacing w:after="0"/>
            </w:pPr>
            <w:r>
              <w:rPr>
                <w:sz w:val="18"/>
              </w:rPr>
              <w:t>FT05</w:t>
            </w:r>
          </w:p>
        </w:tc>
        <w:tc>
          <w:tcPr>
            <w:tcW w:type="dxa" w:w="2268"/>
            <w:vAlign w:val="center"/>
          </w:tcPr>
          <w:p>
            <w:pPr>
              <w:spacing w:after="0"/>
            </w:pPr>
            <w:r>
              <w:rPr>
                <w:sz w:val="18"/>
              </w:rPr>
              <w:t>Reject Low/Medium KT holder</w:t>
            </w:r>
          </w:p>
        </w:tc>
        <w:tc>
          <w:tcPr>
            <w:tcW w:type="dxa" w:w="2268"/>
            <w:vAlign w:val="center"/>
          </w:tcPr>
          <w:p>
            <w:pPr>
              <w:spacing w:after="0"/>
            </w:pPr>
            <w:r>
              <w:rPr>
                <w:sz w:val="18"/>
              </w:rPr>
              <w:t>Backend checks latest holder tier</w:t>
            </w:r>
          </w:p>
        </w:tc>
        <w:tc>
          <w:tcPr>
            <w:tcW w:type="dxa" w:w="2268"/>
            <w:vAlign w:val="center"/>
          </w:tcPr>
          <w:p>
            <w:pPr>
              <w:spacing w:after="0"/>
            </w:pPr>
            <w:r>
              <w:rPr>
                <w:sz w:val="18"/>
              </w:rPr>
              <w:t>Code inspection; runtime rejection not recorded</w:t>
            </w:r>
          </w:p>
        </w:tc>
      </w:tr>
      <w:tr>
        <w:trPr>
          <w:cantSplit/>
        </w:trPr>
        <w:tc>
          <w:tcPr>
            <w:tcW w:type="dxa" w:w="2268"/>
            <w:vAlign w:val="center"/>
          </w:tcPr>
          <w:p>
            <w:pPr>
              <w:spacing w:after="0"/>
            </w:pPr>
            <w:r>
              <w:rPr>
                <w:sz w:val="18"/>
              </w:rPr>
              <w:t>FT06</w:t>
            </w:r>
          </w:p>
        </w:tc>
        <w:tc>
          <w:tcPr>
            <w:tcW w:type="dxa" w:w="2268"/>
            <w:vAlign w:val="center"/>
          </w:tcPr>
          <w:p>
            <w:pPr>
              <w:spacing w:after="0"/>
            </w:pPr>
            <w:r>
              <w:rPr>
                <w:sz w:val="18"/>
              </w:rPr>
              <w:t>Reject High/Critical backup</w:t>
            </w:r>
          </w:p>
        </w:tc>
        <w:tc>
          <w:tcPr>
            <w:tcW w:type="dxa" w:w="2268"/>
            <w:vAlign w:val="center"/>
          </w:tcPr>
          <w:p>
            <w:pPr>
              <w:spacing w:after="0"/>
            </w:pPr>
            <w:r>
              <w:rPr>
                <w:sz w:val="18"/>
              </w:rPr>
              <w:t>Client guidance and backend latest-tier rejection present</w:t>
            </w:r>
          </w:p>
        </w:tc>
        <w:tc>
          <w:tcPr>
            <w:tcW w:type="dxa" w:w="2268"/>
            <w:vAlign w:val="center"/>
          </w:tcPr>
          <w:p>
            <w:pPr>
              <w:spacing w:after="0"/>
            </w:pPr>
            <w:r>
              <w:rPr>
                <w:sz w:val="18"/>
              </w:rPr>
              <w:t>Code inspection; runtime rejection not recorded</w:t>
            </w:r>
          </w:p>
        </w:tc>
      </w:tr>
      <w:tr>
        <w:trPr>
          <w:cantSplit/>
        </w:trPr>
        <w:tc>
          <w:tcPr>
            <w:tcW w:type="dxa" w:w="2268"/>
            <w:vAlign w:val="center"/>
          </w:tcPr>
          <w:p>
            <w:pPr>
              <w:spacing w:after="0"/>
            </w:pPr>
            <w:r>
              <w:rPr>
                <w:sz w:val="18"/>
              </w:rPr>
              <w:t>FT07</w:t>
            </w:r>
          </w:p>
        </w:tc>
        <w:tc>
          <w:tcPr>
            <w:tcW w:type="dxa" w:w="2268"/>
            <w:vAlign w:val="center"/>
          </w:tcPr>
          <w:p>
            <w:pPr>
              <w:spacing w:after="0"/>
            </w:pPr>
            <w:r>
              <w:rPr>
                <w:sz w:val="18"/>
              </w:rPr>
              <w:t>Create five KT task types</w:t>
            </w:r>
          </w:p>
        </w:tc>
        <w:tc>
          <w:tcPr>
            <w:tcW w:type="dxa" w:w="2268"/>
            <w:vAlign w:val="center"/>
          </w:tcPr>
          <w:p>
            <w:pPr>
              <w:spacing w:after="0"/>
            </w:pPr>
            <w:r>
              <w:rPr>
                <w:sz w:val="18"/>
              </w:rPr>
              <w:t>Figure 5.4 shows five pending stages</w:t>
            </w:r>
          </w:p>
        </w:tc>
        <w:tc>
          <w:tcPr>
            <w:tcW w:type="dxa" w:w="2268"/>
            <w:vAlign w:val="center"/>
          </w:tcPr>
          <w:p>
            <w:pPr>
              <w:spacing w:after="0"/>
            </w:pPr>
            <w:r>
              <w:rPr>
                <w:sz w:val="18"/>
              </w:rPr>
              <w:t>Visible UI result for task creation</w:t>
            </w:r>
          </w:p>
        </w:tc>
      </w:tr>
      <w:tr>
        <w:trPr>
          <w:cantSplit/>
        </w:trPr>
        <w:tc>
          <w:tcPr>
            <w:tcW w:type="dxa" w:w="2268"/>
            <w:vAlign w:val="center"/>
          </w:tcPr>
          <w:p>
            <w:pPr>
              <w:spacing w:after="0"/>
            </w:pPr>
            <w:r>
              <w:rPr>
                <w:sz w:val="18"/>
              </w:rPr>
              <w:t>FT08</w:t>
            </w:r>
          </w:p>
        </w:tc>
        <w:tc>
          <w:tcPr>
            <w:tcW w:type="dxa" w:w="2268"/>
            <w:vAlign w:val="center"/>
          </w:tcPr>
          <w:p>
            <w:pPr>
              <w:spacing w:after="0"/>
            </w:pPr>
            <w:r>
              <w:rPr>
                <w:sz w:val="18"/>
              </w:rPr>
              <w:t>Block early sign-off and apply valid update</w:t>
            </w:r>
          </w:p>
        </w:tc>
        <w:tc>
          <w:tcPr>
            <w:tcW w:type="dxa" w:w="2268"/>
            <w:vAlign w:val="center"/>
          </w:tcPr>
          <w:p>
            <w:pPr>
              <w:spacing w:after="0"/>
            </w:pPr>
            <w:r>
              <w:rPr>
                <w:sz w:val="18"/>
              </w:rPr>
              <w:t>Sign-off and mitigation rules present</w:t>
            </w:r>
          </w:p>
        </w:tc>
        <w:tc>
          <w:tcPr>
            <w:tcW w:type="dxa" w:w="2268"/>
            <w:vAlign w:val="center"/>
          </w:tcPr>
          <w:p>
            <w:pPr>
              <w:spacing w:after="0"/>
            </w:pPr>
            <w:r>
              <w:rPr>
                <w:sz w:val="18"/>
              </w:rPr>
              <w:t>Code inspection; completion test not recorded</w:t>
            </w:r>
          </w:p>
        </w:tc>
      </w:tr>
      <w:tr>
        <w:trPr>
          <w:cantSplit/>
        </w:trPr>
        <w:tc>
          <w:tcPr>
            <w:tcW w:type="dxa" w:w="2268"/>
            <w:vAlign w:val="center"/>
          </w:tcPr>
          <w:p>
            <w:pPr>
              <w:spacing w:after="0"/>
            </w:pPr>
            <w:r>
              <w:rPr>
                <w:sz w:val="18"/>
              </w:rPr>
              <w:t>FT09</w:t>
            </w:r>
          </w:p>
        </w:tc>
        <w:tc>
          <w:tcPr>
            <w:tcW w:type="dxa" w:w="2268"/>
            <w:vAlign w:val="center"/>
          </w:tcPr>
          <w:p>
            <w:pPr>
              <w:spacing w:after="0"/>
            </w:pPr>
            <w:r>
              <w:rPr>
                <w:sz w:val="18"/>
              </w:rPr>
              <w:t>Fall back when ML is unavailable</w:t>
            </w:r>
          </w:p>
        </w:tc>
        <w:tc>
          <w:tcPr>
            <w:tcW w:type="dxa" w:w="2268"/>
            <w:vAlign w:val="center"/>
          </w:tcPr>
          <w:p>
            <w:pPr>
              <w:spacing w:after="0"/>
            </w:pPr>
            <w:r>
              <w:rPr>
                <w:sz w:val="18"/>
              </w:rPr>
              <w:t>Scoring engine substitutes F for missing ML result</w:t>
            </w:r>
          </w:p>
        </w:tc>
        <w:tc>
          <w:tcPr>
            <w:tcW w:type="dxa" w:w="2268"/>
            <w:vAlign w:val="center"/>
          </w:tcPr>
          <w:p>
            <w:pPr>
              <w:spacing w:after="0"/>
            </w:pPr>
            <w:r>
              <w:rPr>
                <w:sz w:val="18"/>
              </w:rPr>
              <w:t>Code inspection; outage test not recorded</w:t>
            </w:r>
          </w:p>
        </w:tc>
      </w:tr>
      <w:tr>
        <w:trPr>
          <w:cantSplit/>
        </w:trPr>
        <w:tc>
          <w:tcPr>
            <w:tcW w:type="dxa" w:w="2268"/>
            <w:vAlign w:val="center"/>
          </w:tcPr>
          <w:p>
            <w:pPr>
              <w:spacing w:after="0"/>
            </w:pPr>
            <w:r>
              <w:rPr>
                <w:sz w:val="18"/>
              </w:rPr>
              <w:t>FT10</w:t>
            </w:r>
          </w:p>
        </w:tc>
        <w:tc>
          <w:tcPr>
            <w:tcW w:type="dxa" w:w="2268"/>
            <w:vAlign w:val="center"/>
          </w:tcPr>
          <w:p>
            <w:pPr>
              <w:spacing w:after="0"/>
            </w:pPr>
            <w:r>
              <w:rPr>
                <w:sz w:val="18"/>
              </w:rPr>
              <w:t>Require confirmation for manager chat action</w:t>
            </w:r>
          </w:p>
        </w:tc>
        <w:tc>
          <w:tcPr>
            <w:tcW w:type="dxa" w:w="2268"/>
            <w:vAlign w:val="center"/>
          </w:tcPr>
          <w:p>
            <w:pPr>
              <w:spacing w:after="0"/>
            </w:pPr>
            <w:r>
              <w:rPr>
                <w:sz w:val="18"/>
              </w:rPr>
              <w:t>Confirmation controls and backend checks present</w:t>
            </w:r>
          </w:p>
        </w:tc>
        <w:tc>
          <w:tcPr>
            <w:tcW w:type="dxa" w:w="2268"/>
            <w:vAlign w:val="center"/>
          </w:tcPr>
          <w:p>
            <w:pPr>
              <w:spacing w:after="0"/>
            </w:pPr>
            <w:r>
              <w:rPr>
                <w:sz w:val="18"/>
              </w:rPr>
              <w:t>Code inspection; effectiveness not evaluated</w:t>
            </w:r>
          </w:p>
        </w:tc>
      </w:tr>
      <w:tr>
        <w:trPr>
          <w:cantSplit/>
        </w:trPr>
        <w:tc>
          <w:tcPr>
            <w:tcW w:type="dxa" w:w="2268"/>
            <w:vAlign w:val="center"/>
          </w:tcPr>
          <w:p>
            <w:pPr>
              <w:spacing w:after="0"/>
            </w:pPr>
            <w:r>
              <w:rPr>
                <w:sz w:val="18"/>
              </w:rPr>
              <w:t>FT11</w:t>
            </w:r>
          </w:p>
        </w:tc>
        <w:tc>
          <w:tcPr>
            <w:tcW w:type="dxa" w:w="2268"/>
            <w:vAlign w:val="center"/>
          </w:tcPr>
          <w:p>
            <w:pPr>
              <w:spacing w:after="0"/>
            </w:pPr>
            <w:r>
              <w:rPr>
                <w:sz w:val="18"/>
              </w:rPr>
              <w:t>Support alerts and optional email</w:t>
            </w:r>
          </w:p>
        </w:tc>
        <w:tc>
          <w:tcPr>
            <w:tcW w:type="dxa" w:w="2268"/>
            <w:vAlign w:val="center"/>
          </w:tcPr>
          <w:p>
            <w:pPr>
              <w:spacing w:after="0"/>
            </w:pPr>
            <w:r>
              <w:rPr>
                <w:sz w:val="18"/>
              </w:rPr>
              <w:t>Alert and optional email paths present</w:t>
            </w:r>
          </w:p>
        </w:tc>
        <w:tc>
          <w:tcPr>
            <w:tcW w:type="dxa" w:w="2268"/>
            <w:vAlign w:val="center"/>
          </w:tcPr>
          <w:p>
            <w:pPr>
              <w:spacing w:after="0"/>
            </w:pPr>
            <w:r>
              <w:rPr>
                <w:sz w:val="18"/>
              </w:rPr>
              <w:t>Code inspection; delivery not verified</w:t>
            </w:r>
          </w:p>
        </w:tc>
      </w:tr>
    </w:tbl>
    <w:p>
      <w:pPr>
        <w:pStyle w:val="KGCaption"/>
        <w:keepNext w:val="0"/>
        <w:jc w:val="center"/>
      </w:pPr>
      <w:r>
        <w:t>Table 5.3: Functional verification and implementation evidence</w:t>
      </w:r>
    </w:p>
    <w:p>
      <w:pPr>
        <w:keepNext w:val="0"/>
      </w:pPr>
      <w:r>
        <w:t>The current KT creation route checks the holder's latest High/Critical tier. It does not independently require a manager-validation flag before creating a plan. Manager validation is therefore an intended decision step rather than an enforced prerequisite.</w:t>
      </w:r>
    </w:p>
    <w:p>
      <w:pPr>
        <w:pStyle w:val="Heading2"/>
        <w:keepNext/>
      </w:pPr>
      <w:r>
        <w:t>5.5 AHP results</w:t>
      </w:r>
    </w:p>
    <w:p>
      <w:pPr>
        <w:keepNext w:val="0"/>
      </w:pPr>
      <w:r>
        <w:t>The ten expert forms used a scale on which 1 favoured the left indicator, 5 indicated equality and 9 favoured the right. After conversion to reciprocal ratios and geometric-mean aggregation, the group matrix produced lambda_max = 5.3682 and CR = 0.0822. Because CR &lt; 0.10, the aggregated matrix met the configured consistency threshold. This does not establish that every respondent was individually consistent or that the proposed weights predict real knowledge loss.</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Indicator</w:t>
            </w:r>
          </w:p>
        </w:tc>
        <w:tc>
          <w:tcPr>
            <w:tcW w:type="dxa" w:w="2268"/>
            <w:vAlign w:val="center"/>
            <w:shd w:fill="E8EDF3"/>
          </w:tcPr>
          <w:p>
            <w:pPr>
              <w:spacing w:after="0"/>
            </w:pPr>
            <w:r>
              <w:rPr>
                <w:b/>
                <w:sz w:val="18"/>
              </w:rPr>
              <w:t>Baseline</w:t>
            </w:r>
          </w:p>
        </w:tc>
        <w:tc>
          <w:tcPr>
            <w:tcW w:type="dxa" w:w="2268"/>
            <w:vAlign w:val="center"/>
            <w:shd w:fill="E8EDF3"/>
          </w:tcPr>
          <w:p>
            <w:pPr>
              <w:spacing w:after="0"/>
            </w:pPr>
            <w:r>
              <w:rPr>
                <w:b/>
                <w:sz w:val="18"/>
              </w:rPr>
              <w:t>Group AHP</w:t>
            </w:r>
          </w:p>
        </w:tc>
        <w:tc>
          <w:tcPr>
            <w:tcW w:type="dxa" w:w="2268"/>
            <w:vAlign w:val="center"/>
            <w:shd w:fill="E8EDF3"/>
          </w:tcPr>
          <w:p>
            <w:pPr>
              <w:spacing w:after="0"/>
            </w:pPr>
            <w:r>
              <w:rPr>
                <w:b/>
                <w:sz w:val="18"/>
              </w:rPr>
              <w:t>Difference</w:t>
            </w:r>
          </w:p>
        </w:tc>
      </w:tr>
      <w:tr>
        <w:trPr>
          <w:cantSplit/>
        </w:trPr>
        <w:tc>
          <w:tcPr>
            <w:tcW w:type="dxa" w:w="2268"/>
            <w:vAlign w:val="center"/>
          </w:tcPr>
          <w:p>
            <w:pPr>
              <w:spacing w:after="0"/>
            </w:pPr>
            <w:r>
              <w:rPr>
                <w:sz w:val="18"/>
              </w:rPr>
              <w:t>Expertise uniqueness</w:t>
            </w:r>
          </w:p>
        </w:tc>
        <w:tc>
          <w:tcPr>
            <w:tcW w:type="dxa" w:w="2268"/>
            <w:vAlign w:val="center"/>
          </w:tcPr>
          <w:p>
            <w:pPr>
              <w:spacing w:after="0"/>
            </w:pPr>
            <w:r>
              <w:rPr>
                <w:sz w:val="18"/>
              </w:rPr>
              <w:t>25.00%</w:t>
            </w:r>
          </w:p>
        </w:tc>
        <w:tc>
          <w:tcPr>
            <w:tcW w:type="dxa" w:w="2268"/>
            <w:vAlign w:val="center"/>
          </w:tcPr>
          <w:p>
            <w:pPr>
              <w:spacing w:after="0"/>
            </w:pPr>
            <w:r>
              <w:rPr>
                <w:sz w:val="18"/>
              </w:rPr>
              <w:t>51.77%</w:t>
            </w:r>
          </w:p>
        </w:tc>
        <w:tc>
          <w:tcPr>
            <w:tcW w:type="dxa" w:w="2268"/>
            <w:vAlign w:val="center"/>
          </w:tcPr>
          <w:p>
            <w:pPr>
              <w:spacing w:after="0"/>
            </w:pPr>
            <w:r>
              <w:rPr>
                <w:sz w:val="18"/>
              </w:rPr>
              <w:t>+26.77 pp</w:t>
            </w:r>
          </w:p>
        </w:tc>
      </w:tr>
      <w:tr>
        <w:trPr>
          <w:cantSplit/>
        </w:trPr>
        <w:tc>
          <w:tcPr>
            <w:tcW w:type="dxa" w:w="2268"/>
            <w:vAlign w:val="center"/>
          </w:tcPr>
          <w:p>
            <w:pPr>
              <w:spacing w:after="0"/>
            </w:pPr>
            <w:r>
              <w:rPr>
                <w:sz w:val="18"/>
              </w:rPr>
              <w:t>Documentation gap</w:t>
            </w:r>
          </w:p>
        </w:tc>
        <w:tc>
          <w:tcPr>
            <w:tcW w:type="dxa" w:w="2268"/>
            <w:vAlign w:val="center"/>
          </w:tcPr>
          <w:p>
            <w:pPr>
              <w:spacing w:after="0"/>
            </w:pPr>
            <w:r>
              <w:rPr>
                <w:sz w:val="18"/>
              </w:rPr>
              <w:t>20.00%</w:t>
            </w:r>
          </w:p>
        </w:tc>
        <w:tc>
          <w:tcPr>
            <w:tcW w:type="dxa" w:w="2268"/>
            <w:vAlign w:val="center"/>
          </w:tcPr>
          <w:p>
            <w:pPr>
              <w:spacing w:after="0"/>
            </w:pPr>
            <w:r>
              <w:rPr>
                <w:sz w:val="18"/>
              </w:rPr>
              <w:t>12.72%</w:t>
            </w:r>
          </w:p>
        </w:tc>
        <w:tc>
          <w:tcPr>
            <w:tcW w:type="dxa" w:w="2268"/>
            <w:vAlign w:val="center"/>
          </w:tcPr>
          <w:p>
            <w:pPr>
              <w:spacing w:after="0"/>
            </w:pPr>
            <w:r>
              <w:rPr>
                <w:sz w:val="18"/>
              </w:rPr>
              <w:t>-7.28 pp</w:t>
            </w:r>
          </w:p>
        </w:tc>
      </w:tr>
      <w:tr>
        <w:trPr>
          <w:cantSplit/>
        </w:trPr>
        <w:tc>
          <w:tcPr>
            <w:tcW w:type="dxa" w:w="2268"/>
            <w:vAlign w:val="center"/>
          </w:tcPr>
          <w:p>
            <w:pPr>
              <w:spacing w:after="0"/>
            </w:pPr>
            <w:r>
              <w:rPr>
                <w:sz w:val="18"/>
              </w:rPr>
              <w:t>Project criticality</w:t>
            </w:r>
          </w:p>
        </w:tc>
        <w:tc>
          <w:tcPr>
            <w:tcW w:type="dxa" w:w="2268"/>
            <w:vAlign w:val="center"/>
          </w:tcPr>
          <w:p>
            <w:pPr>
              <w:spacing w:after="0"/>
            </w:pPr>
            <w:r>
              <w:rPr>
                <w:sz w:val="18"/>
              </w:rPr>
              <w:t>20.00%</w:t>
            </w:r>
          </w:p>
        </w:tc>
        <w:tc>
          <w:tcPr>
            <w:tcW w:type="dxa" w:w="2268"/>
            <w:vAlign w:val="center"/>
          </w:tcPr>
          <w:p>
            <w:pPr>
              <w:spacing w:after="0"/>
            </w:pPr>
            <w:r>
              <w:rPr>
                <w:sz w:val="18"/>
              </w:rPr>
              <w:t>14.78%</w:t>
            </w:r>
          </w:p>
        </w:tc>
        <w:tc>
          <w:tcPr>
            <w:tcW w:type="dxa" w:w="2268"/>
            <w:vAlign w:val="center"/>
          </w:tcPr>
          <w:p>
            <w:pPr>
              <w:spacing w:after="0"/>
            </w:pPr>
            <w:r>
              <w:rPr>
                <w:sz w:val="18"/>
              </w:rPr>
              <w:t>-5.22 pp</w:t>
            </w:r>
          </w:p>
        </w:tc>
      </w:tr>
      <w:tr>
        <w:trPr>
          <w:cantSplit/>
        </w:trPr>
        <w:tc>
          <w:tcPr>
            <w:tcW w:type="dxa" w:w="2268"/>
            <w:vAlign w:val="center"/>
          </w:tcPr>
          <w:p>
            <w:pPr>
              <w:spacing w:after="0"/>
            </w:pPr>
            <w:r>
              <w:rPr>
                <w:sz w:val="18"/>
              </w:rPr>
              <w:t>Collaboration dependency</w:t>
            </w:r>
          </w:p>
        </w:tc>
        <w:tc>
          <w:tcPr>
            <w:tcW w:type="dxa" w:w="2268"/>
            <w:vAlign w:val="center"/>
          </w:tcPr>
          <w:p>
            <w:pPr>
              <w:spacing w:after="0"/>
            </w:pPr>
            <w:r>
              <w:rPr>
                <w:sz w:val="18"/>
              </w:rPr>
              <w:t>20.00%</w:t>
            </w:r>
          </w:p>
        </w:tc>
        <w:tc>
          <w:tcPr>
            <w:tcW w:type="dxa" w:w="2268"/>
            <w:vAlign w:val="center"/>
          </w:tcPr>
          <w:p>
            <w:pPr>
              <w:spacing w:after="0"/>
            </w:pPr>
            <w:r>
              <w:rPr>
                <w:sz w:val="18"/>
              </w:rPr>
              <w:t>15.05%</w:t>
            </w:r>
          </w:p>
        </w:tc>
        <w:tc>
          <w:tcPr>
            <w:tcW w:type="dxa" w:w="2268"/>
            <w:vAlign w:val="center"/>
          </w:tcPr>
          <w:p>
            <w:pPr>
              <w:spacing w:after="0"/>
            </w:pPr>
            <w:r>
              <w:rPr>
                <w:sz w:val="18"/>
              </w:rPr>
              <w:t>-4.95 pp</w:t>
            </w:r>
          </w:p>
        </w:tc>
      </w:tr>
      <w:tr>
        <w:trPr>
          <w:cantSplit/>
        </w:trPr>
        <w:tc>
          <w:tcPr>
            <w:tcW w:type="dxa" w:w="2268"/>
            <w:vAlign w:val="center"/>
          </w:tcPr>
          <w:p>
            <w:pPr>
              <w:spacing w:after="0"/>
            </w:pPr>
            <w:r>
              <w:rPr>
                <w:sz w:val="18"/>
              </w:rPr>
              <w:t>Tenure</w:t>
            </w:r>
          </w:p>
        </w:tc>
        <w:tc>
          <w:tcPr>
            <w:tcW w:type="dxa" w:w="2268"/>
            <w:vAlign w:val="center"/>
          </w:tcPr>
          <w:p>
            <w:pPr>
              <w:spacing w:after="0"/>
            </w:pPr>
            <w:r>
              <w:rPr>
                <w:sz w:val="18"/>
              </w:rPr>
              <w:t>15.00%</w:t>
            </w:r>
          </w:p>
        </w:tc>
        <w:tc>
          <w:tcPr>
            <w:tcW w:type="dxa" w:w="2268"/>
            <w:vAlign w:val="center"/>
          </w:tcPr>
          <w:p>
            <w:pPr>
              <w:spacing w:after="0"/>
            </w:pPr>
            <w:r>
              <w:rPr>
                <w:sz w:val="18"/>
              </w:rPr>
              <w:t>5.67%</w:t>
            </w:r>
          </w:p>
        </w:tc>
        <w:tc>
          <w:tcPr>
            <w:tcW w:type="dxa" w:w="2268"/>
            <w:vAlign w:val="center"/>
          </w:tcPr>
          <w:p>
            <w:pPr>
              <w:spacing w:after="0"/>
            </w:pPr>
            <w:r>
              <w:rPr>
                <w:sz w:val="18"/>
              </w:rPr>
              <w:t>-9.33 pp</w:t>
            </w:r>
          </w:p>
        </w:tc>
      </w:tr>
    </w:tbl>
    <w:p>
      <w:pPr>
        <w:pStyle w:val="KGCaption"/>
        <w:keepNext w:val="0"/>
        <w:jc w:val="center"/>
      </w:pPr>
      <w:r>
        <w:t>Table 5.4: Predefined baseline and exploratory AHP group weights</w:t>
      </w:r>
    </w:p>
    <w:p>
      <w:pPr>
        <w:keepNext w:val="0"/>
      </w:pPr>
      <w:r>
        <w:t>The proposed weights were not applied. The baseline was fixed for prototype evaluation, and consistency alone is not external validation against organizational outcomes. Applying the proposal after the demonstrations would change their scoring basis. The difference is reported as an exploratory finding for later organizational review.</w:t>
      </w:r>
    </w:p>
    <w:p>
      <w:pPr>
        <w:keepNext w:val="0"/>
      </w:pPr>
      <w:r>
        <w:t>A separate controlled matrix produced CR = 0.2000, which is inconsistent under the application threshold. Figure 5.5 shows that negative-control safeguard. It is not the ten-expert group result.</w:t>
      </w:r>
    </w:p>
    <w:p>
      <w:pPr>
        <w:keepNext w:val="0"/>
        <w:spacing w:before="200"/>
      </w:pPr>
      <w:r>
        <w:rPr>
          <w:i/>
        </w:rPr>
        <w:t>[Insert Figure 5.5 image here]</w:t>
      </w:r>
    </w:p>
    <w:p>
      <w:pPr>
        <w:pStyle w:val="KGCaption"/>
        <w:keepNext w:val="0"/>
        <w:jc w:val="center"/>
      </w:pPr>
      <w:r>
        <w:t>Figure 5.5: AHP interface rejecting a controlled inconsistent matrix with CR = 0.2000; the expert-group result was CR = 0.0822.</w:t>
      </w:r>
    </w:p>
    <w:p>
      <w:pPr>
        <w:pStyle w:val="Heading2"/>
        <w:keepNext/>
      </w:pPr>
      <w:r>
        <w:t>5.6 Generated quarterly score history</w:t>
      </w:r>
    </w:p>
    <w:p>
      <w:pPr>
        <w:keepNext w:val="0"/>
      </w:pPr>
      <w:r>
        <w:t>The generated Q1-Q4 records show how the application stores and displays repeated assessments for the same fictional identities. Figure 5.6 presents a selected demonstration history. These records are separate from the 30 standalone colleague Q1 responses and do not represent observed changes in real employees over four quarters. A score change in this history is not evidence that a KT plan reduced organizational knowledge loss.</w:t>
      </w:r>
    </w:p>
    <w:p>
      <w:pPr>
        <w:keepNext w:val="0"/>
        <w:spacing w:before="200"/>
      </w:pPr>
      <w:r>
        <w:rPr>
          <w:i/>
        </w:rPr>
        <w:t>[Insert Figure 5.6 image here]</w:t>
      </w:r>
    </w:p>
    <w:p>
      <w:pPr>
        <w:pStyle w:val="KGCaption"/>
        <w:keepNext w:val="0"/>
        <w:jc w:val="center"/>
      </w:pPr>
      <w:r>
        <w:t>Figure 5.6: Score history from the separate generated Q1-Q4 workflow dataset.</w:t>
      </w:r>
    </w:p>
    <w:p>
      <w:pPr>
        <w:pStyle w:val="Heading2"/>
        <w:keepNext/>
      </w:pPr>
      <w:r>
        <w:t>5.7 Usability and acceptance results</w:t>
      </w:r>
    </w:p>
    <w:p>
      <w:pPr>
        <w:keepNext w:val="0"/>
      </w:pPr>
      <w:r>
        <w:t>The ten evaluators' SUS scores had a mean of 89.50, sample standard deviation of 3.07, and range of 85.0-95.0. These values describe favourable perceived usability within this small group. They do not estimate usability across organizations or prove that every task was completed successfully.</w:t>
      </w:r>
    </w:p>
    <w:p>
      <w:pPr>
        <w:keepNext w:val="0"/>
        <w:spacing w:before="200"/>
      </w:pPr>
      <w:r>
        <w:rPr>
          <w:i/>
        </w:rPr>
        <w:t>[Insert Figure 5.7 image here]</w:t>
      </w:r>
    </w:p>
    <w:p>
      <w:pPr>
        <w:pStyle w:val="KGCaption"/>
        <w:keepNext w:val="0"/>
        <w:jc w:val="center"/>
      </w:pPr>
      <w:r>
        <w:t>Figure 5.7: Aggregate SUS results for ten evaluators, showing mean 89.50 and sample standard deviation 3.07.</w:t>
      </w:r>
    </w:p>
    <w:p>
      <w:pPr>
        <w:keepNext w:val="0"/>
      </w:pPr>
      <w:r>
        <w:t>The acceptance-item means were 4.43/5 for perceived usefulness, 4.53/5 for perceived ease of use, and 4.60/5 for behavioural intention. Behavioural intention was the highest descriptive mean. An intention rating is not evidence of sustained organizational use.</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Measure</w:t>
            </w:r>
          </w:p>
        </w:tc>
        <w:tc>
          <w:tcPr>
            <w:tcW w:type="dxa" w:w="2268"/>
            <w:vAlign w:val="center"/>
            <w:shd w:fill="E8EDF3"/>
          </w:tcPr>
          <w:p>
            <w:pPr>
              <w:spacing w:after="0"/>
            </w:pPr>
            <w:r>
              <w:rPr>
                <w:b/>
                <w:sz w:val="18"/>
              </w:rPr>
              <w:t>n</w:t>
            </w:r>
          </w:p>
        </w:tc>
        <w:tc>
          <w:tcPr>
            <w:tcW w:type="dxa" w:w="2268"/>
            <w:vAlign w:val="center"/>
            <w:shd w:fill="E8EDF3"/>
          </w:tcPr>
          <w:p>
            <w:pPr>
              <w:spacing w:after="0"/>
            </w:pPr>
            <w:r>
              <w:rPr>
                <w:b/>
                <w:sz w:val="18"/>
              </w:rPr>
              <w:t>Result</w:t>
            </w:r>
          </w:p>
        </w:tc>
        <w:tc>
          <w:tcPr>
            <w:tcW w:type="dxa" w:w="2268"/>
            <w:vAlign w:val="center"/>
            <w:shd w:fill="E8EDF3"/>
          </w:tcPr>
          <w:p>
            <w:pPr>
              <w:spacing w:after="0"/>
            </w:pPr>
            <w:r>
              <w:rPr>
                <w:b/>
                <w:sz w:val="18"/>
              </w:rPr>
              <w:t>Interpretation boundary</w:t>
            </w:r>
          </w:p>
        </w:tc>
      </w:tr>
      <w:tr>
        <w:trPr>
          <w:cantSplit/>
        </w:trPr>
        <w:tc>
          <w:tcPr>
            <w:tcW w:type="dxa" w:w="2268"/>
            <w:vAlign w:val="center"/>
          </w:tcPr>
          <w:p>
            <w:pPr>
              <w:spacing w:after="0"/>
            </w:pPr>
            <w:r>
              <w:rPr>
                <w:sz w:val="18"/>
              </w:rPr>
              <w:t>SUS</w:t>
            </w:r>
          </w:p>
        </w:tc>
        <w:tc>
          <w:tcPr>
            <w:tcW w:type="dxa" w:w="2268"/>
            <w:vAlign w:val="center"/>
          </w:tcPr>
          <w:p>
            <w:pPr>
              <w:spacing w:after="0"/>
            </w:pPr>
            <w:r>
              <w:rPr>
                <w:sz w:val="18"/>
              </w:rPr>
              <w:t>10</w:t>
            </w:r>
          </w:p>
        </w:tc>
        <w:tc>
          <w:tcPr>
            <w:tcW w:type="dxa" w:w="2268"/>
            <w:vAlign w:val="center"/>
          </w:tcPr>
          <w:p>
            <w:pPr>
              <w:spacing w:after="0"/>
            </w:pPr>
            <w:r>
              <w:rPr>
                <w:sz w:val="18"/>
              </w:rPr>
              <w:t>Mean 89.50; SD 3.07; range 85.0-95.0</w:t>
            </w:r>
          </w:p>
        </w:tc>
        <w:tc>
          <w:tcPr>
            <w:tcW w:type="dxa" w:w="2268"/>
            <w:vAlign w:val="center"/>
          </w:tcPr>
          <w:p>
            <w:pPr>
              <w:spacing w:after="0"/>
            </w:pPr>
            <w:r>
              <w:rPr>
                <w:sz w:val="18"/>
              </w:rPr>
              <w:t>Perceived usability of this evaluator group</w:t>
            </w:r>
          </w:p>
        </w:tc>
      </w:tr>
      <w:tr>
        <w:trPr>
          <w:cantSplit/>
        </w:trPr>
        <w:tc>
          <w:tcPr>
            <w:tcW w:type="dxa" w:w="2268"/>
            <w:vAlign w:val="center"/>
          </w:tcPr>
          <w:p>
            <w:pPr>
              <w:spacing w:after="0"/>
            </w:pPr>
            <w:r>
              <w:rPr>
                <w:sz w:val="18"/>
              </w:rPr>
              <w:t>Perceived usefulness</w:t>
            </w:r>
          </w:p>
        </w:tc>
        <w:tc>
          <w:tcPr>
            <w:tcW w:type="dxa" w:w="2268"/>
            <w:vAlign w:val="center"/>
          </w:tcPr>
          <w:p>
            <w:pPr>
              <w:spacing w:after="0"/>
            </w:pPr>
            <w:r>
              <w:rPr>
                <w:sz w:val="18"/>
              </w:rPr>
              <w:t>10</w:t>
            </w:r>
          </w:p>
        </w:tc>
        <w:tc>
          <w:tcPr>
            <w:tcW w:type="dxa" w:w="2268"/>
            <w:vAlign w:val="center"/>
          </w:tcPr>
          <w:p>
            <w:pPr>
              <w:spacing w:after="0"/>
            </w:pPr>
            <w:r>
              <w:rPr>
                <w:sz w:val="18"/>
              </w:rPr>
              <w:t>Mean 4.43/5</w:t>
            </w:r>
          </w:p>
        </w:tc>
        <w:tc>
          <w:tcPr>
            <w:tcW w:type="dxa" w:w="2268"/>
            <w:vAlign w:val="center"/>
          </w:tcPr>
          <w:p>
            <w:pPr>
              <w:spacing w:after="0"/>
            </w:pPr>
            <w:r>
              <w:rPr>
                <w:sz w:val="18"/>
              </w:rPr>
              <w:t>Perceived value, not measured performance gain</w:t>
            </w:r>
          </w:p>
        </w:tc>
      </w:tr>
      <w:tr>
        <w:trPr>
          <w:cantSplit/>
        </w:trPr>
        <w:tc>
          <w:tcPr>
            <w:tcW w:type="dxa" w:w="2268"/>
            <w:vAlign w:val="center"/>
          </w:tcPr>
          <w:p>
            <w:pPr>
              <w:spacing w:after="0"/>
            </w:pPr>
            <w:r>
              <w:rPr>
                <w:sz w:val="18"/>
              </w:rPr>
              <w:t>Perceived ease of use</w:t>
            </w:r>
          </w:p>
        </w:tc>
        <w:tc>
          <w:tcPr>
            <w:tcW w:type="dxa" w:w="2268"/>
            <w:vAlign w:val="center"/>
          </w:tcPr>
          <w:p>
            <w:pPr>
              <w:spacing w:after="0"/>
            </w:pPr>
            <w:r>
              <w:rPr>
                <w:sz w:val="18"/>
              </w:rPr>
              <w:t>10</w:t>
            </w:r>
          </w:p>
        </w:tc>
        <w:tc>
          <w:tcPr>
            <w:tcW w:type="dxa" w:w="2268"/>
            <w:vAlign w:val="center"/>
          </w:tcPr>
          <w:p>
            <w:pPr>
              <w:spacing w:after="0"/>
            </w:pPr>
            <w:r>
              <w:rPr>
                <w:sz w:val="18"/>
              </w:rPr>
              <w:t>Mean 4.53/5</w:t>
            </w:r>
          </w:p>
        </w:tc>
        <w:tc>
          <w:tcPr>
            <w:tcW w:type="dxa" w:w="2268"/>
            <w:vAlign w:val="center"/>
          </w:tcPr>
          <w:p>
            <w:pPr>
              <w:spacing w:after="0"/>
            </w:pPr>
            <w:r>
              <w:rPr>
                <w:sz w:val="18"/>
              </w:rPr>
              <w:t>Perceived ease, not task-time performance</w:t>
            </w:r>
          </w:p>
        </w:tc>
      </w:tr>
      <w:tr>
        <w:trPr>
          <w:cantSplit/>
        </w:trPr>
        <w:tc>
          <w:tcPr>
            <w:tcW w:type="dxa" w:w="2268"/>
            <w:vAlign w:val="center"/>
          </w:tcPr>
          <w:p>
            <w:pPr>
              <w:spacing w:after="0"/>
            </w:pPr>
            <w:r>
              <w:rPr>
                <w:sz w:val="18"/>
              </w:rPr>
              <w:t>Behavioural intention</w:t>
            </w:r>
          </w:p>
        </w:tc>
        <w:tc>
          <w:tcPr>
            <w:tcW w:type="dxa" w:w="2268"/>
            <w:vAlign w:val="center"/>
          </w:tcPr>
          <w:p>
            <w:pPr>
              <w:spacing w:after="0"/>
            </w:pPr>
            <w:r>
              <w:rPr>
                <w:sz w:val="18"/>
              </w:rPr>
              <w:t>10</w:t>
            </w:r>
          </w:p>
        </w:tc>
        <w:tc>
          <w:tcPr>
            <w:tcW w:type="dxa" w:w="2268"/>
            <w:vAlign w:val="center"/>
          </w:tcPr>
          <w:p>
            <w:pPr>
              <w:spacing w:after="0"/>
            </w:pPr>
            <w:r>
              <w:rPr>
                <w:sz w:val="18"/>
              </w:rPr>
              <w:t>Mean 4.60/5</w:t>
            </w:r>
          </w:p>
        </w:tc>
        <w:tc>
          <w:tcPr>
            <w:tcW w:type="dxa" w:w="2268"/>
            <w:vAlign w:val="center"/>
          </w:tcPr>
          <w:p>
            <w:pPr>
              <w:spacing w:after="0"/>
            </w:pPr>
            <w:r>
              <w:rPr>
                <w:sz w:val="18"/>
              </w:rPr>
              <w:t>Stated intention, not actual adoption</w:t>
            </w:r>
          </w:p>
        </w:tc>
      </w:tr>
    </w:tbl>
    <w:p>
      <w:pPr>
        <w:pStyle w:val="KGCaption"/>
        <w:keepNext w:val="0"/>
        <w:jc w:val="center"/>
      </w:pPr>
      <w:r>
        <w:t>Table 5.5: System-evaluation questionnaire summaries</w:t>
      </w:r>
    </w:p>
    <w:p>
      <w:pPr>
        <w:keepNext w:val="0"/>
        <w:spacing w:before="200"/>
      </w:pPr>
      <w:r>
        <w:rPr>
          <w:i/>
        </w:rPr>
        <w:t>[Insert Figure 5.8 image here]</w:t>
      </w:r>
    </w:p>
    <w:p>
      <w:pPr>
        <w:pStyle w:val="KGCaption"/>
        <w:keepNext w:val="0"/>
        <w:jc w:val="center"/>
      </w:pPr>
      <w:r>
        <w:t>Figure 5.8: Mean TAM construct ratings from ten evaluators on five-point scales.</w:t>
      </w:r>
    </w:p>
    <w:p>
      <w:pPr>
        <w:pStyle w:val="Heading2"/>
        <w:keepNext/>
      </w:pPr>
      <w:r>
        <w:t>5.8 Supporting ML results</w:t>
      </w:r>
    </w:p>
    <w:p>
      <w:pPr>
        <w:keepNext w:val="0"/>
      </w:pPr>
      <w:r>
        <w:t>The saved default model was trained on 500 synthetic profiles labelled according to the baseline formula. Its recorded training accuracy was 0.9780, weighted F1 was 0.9781, and mean five-fold stratified cross-validation F1 was 0.8526 with standard deviation 0.0487. Cross-validation is the more useful internal performance summary, but both metrics concern reproduction of generated formula labels. Neither demonstrates predictive accuracy for real employee departures, disruption or knowledge retention.</w:t>
      </w:r>
    </w:p>
    <w:tbl>
      <w:tblPr>
        <w:tblStyle w:val="TableGrid"/>
        <w:tblW w:type="auto" w:w="0"/>
        <w:tblLayout w:type="fixed"/>
        <w:tblLook w:firstColumn="1" w:firstRow="1" w:lastColumn="0" w:lastRow="0" w:noHBand="0" w:noVBand="1" w:val="04A0"/>
      </w:tblPr>
      <w:tblGrid>
        <w:gridCol w:w="3000"/>
        <w:gridCol w:w="3000"/>
        <w:gridCol w:w="3000"/>
      </w:tblGrid>
      <w:tr>
        <w:trPr>
          <w:cantSplit/>
        </w:trPr>
        <w:tc>
          <w:tcPr>
            <w:tcW w:type="dxa" w:w="3024"/>
            <w:vAlign w:val="center"/>
            <w:shd w:fill="E8EDF3"/>
          </w:tcPr>
          <w:p>
            <w:pPr>
              <w:spacing w:after="0"/>
            </w:pPr>
            <w:r>
              <w:rPr>
                <w:b/>
                <w:sz w:val="18"/>
              </w:rPr>
              <w:t>Saved metric</w:t>
            </w:r>
          </w:p>
        </w:tc>
        <w:tc>
          <w:tcPr>
            <w:tcW w:type="dxa" w:w="3024"/>
            <w:vAlign w:val="center"/>
            <w:shd w:fill="E8EDF3"/>
          </w:tcPr>
          <w:p>
            <w:pPr>
              <w:spacing w:after="0"/>
            </w:pPr>
            <w:r>
              <w:rPr>
                <w:b/>
                <w:sz w:val="18"/>
              </w:rPr>
              <w:t>Value</w:t>
            </w:r>
          </w:p>
        </w:tc>
        <w:tc>
          <w:tcPr>
            <w:tcW w:type="dxa" w:w="3024"/>
            <w:vAlign w:val="center"/>
            <w:shd w:fill="E8EDF3"/>
          </w:tcPr>
          <w:p>
            <w:pPr>
              <w:spacing w:after="0"/>
            </w:pPr>
            <w:r>
              <w:rPr>
                <w:b/>
                <w:sz w:val="18"/>
              </w:rPr>
              <w:t>Interpretation</w:t>
            </w:r>
          </w:p>
        </w:tc>
      </w:tr>
      <w:tr>
        <w:trPr>
          <w:cantSplit/>
        </w:trPr>
        <w:tc>
          <w:tcPr>
            <w:tcW w:type="dxa" w:w="3024"/>
            <w:vAlign w:val="center"/>
          </w:tcPr>
          <w:p>
            <w:pPr>
              <w:spacing w:after="0"/>
            </w:pPr>
            <w:r>
              <w:rPr>
                <w:sz w:val="18"/>
              </w:rPr>
              <w:t>Training accuracy</w:t>
            </w:r>
          </w:p>
        </w:tc>
        <w:tc>
          <w:tcPr>
            <w:tcW w:type="dxa" w:w="3024"/>
            <w:vAlign w:val="center"/>
          </w:tcPr>
          <w:p>
            <w:pPr>
              <w:spacing w:after="0"/>
            </w:pPr>
            <w:r>
              <w:rPr>
                <w:sz w:val="18"/>
              </w:rPr>
              <w:t>0.9780</w:t>
            </w:r>
          </w:p>
        </w:tc>
        <w:tc>
          <w:tcPr>
            <w:tcW w:type="dxa" w:w="3024"/>
            <w:vAlign w:val="center"/>
          </w:tcPr>
          <w:p>
            <w:pPr>
              <w:spacing w:after="0"/>
            </w:pPr>
            <w:r>
              <w:rPr>
                <w:sz w:val="18"/>
              </w:rPr>
              <w:t>Fit to synthetic formula-labelled profiles</w:t>
            </w:r>
          </w:p>
        </w:tc>
      </w:tr>
      <w:tr>
        <w:trPr>
          <w:cantSplit/>
        </w:trPr>
        <w:tc>
          <w:tcPr>
            <w:tcW w:type="dxa" w:w="3024"/>
            <w:vAlign w:val="center"/>
          </w:tcPr>
          <w:p>
            <w:pPr>
              <w:spacing w:after="0"/>
            </w:pPr>
            <w:r>
              <w:rPr>
                <w:sz w:val="18"/>
              </w:rPr>
              <w:t>Weighted F1</w:t>
            </w:r>
          </w:p>
        </w:tc>
        <w:tc>
          <w:tcPr>
            <w:tcW w:type="dxa" w:w="3024"/>
            <w:vAlign w:val="center"/>
          </w:tcPr>
          <w:p>
            <w:pPr>
              <w:spacing w:after="0"/>
            </w:pPr>
            <w:r>
              <w:rPr>
                <w:sz w:val="18"/>
              </w:rPr>
              <w:t>0.9781</w:t>
            </w:r>
          </w:p>
        </w:tc>
        <w:tc>
          <w:tcPr>
            <w:tcW w:type="dxa" w:w="3024"/>
            <w:vAlign w:val="center"/>
          </w:tcPr>
          <w:p>
            <w:pPr>
              <w:spacing w:after="0"/>
            </w:pPr>
            <w:r>
              <w:rPr>
                <w:sz w:val="18"/>
              </w:rPr>
              <w:t>Same synthetic-label setting</w:t>
            </w:r>
          </w:p>
        </w:tc>
      </w:tr>
      <w:tr>
        <w:trPr>
          <w:cantSplit/>
        </w:trPr>
        <w:tc>
          <w:tcPr>
            <w:tcW w:type="dxa" w:w="3024"/>
            <w:vAlign w:val="center"/>
          </w:tcPr>
          <w:p>
            <w:pPr>
              <w:spacing w:after="0"/>
            </w:pPr>
            <w:r>
              <w:rPr>
                <w:sz w:val="18"/>
              </w:rPr>
              <w:t>Cross-validation F1</w:t>
            </w:r>
          </w:p>
        </w:tc>
        <w:tc>
          <w:tcPr>
            <w:tcW w:type="dxa" w:w="3024"/>
            <w:vAlign w:val="center"/>
          </w:tcPr>
          <w:p>
            <w:pPr>
              <w:spacing w:after="0"/>
            </w:pPr>
            <w:r>
              <w:rPr>
                <w:sz w:val="18"/>
              </w:rPr>
              <w:t>0.8526 +/- 0.0487</w:t>
            </w:r>
          </w:p>
        </w:tc>
        <w:tc>
          <w:tcPr>
            <w:tcW w:type="dxa" w:w="3024"/>
            <w:vAlign w:val="center"/>
          </w:tcPr>
          <w:p>
            <w:pPr>
              <w:spacing w:after="0"/>
            </w:pPr>
            <w:r>
              <w:rPr>
                <w:sz w:val="18"/>
              </w:rPr>
              <w:t>Internal variation across synthetic-data folds</w:t>
            </w:r>
          </w:p>
        </w:tc>
      </w:tr>
      <w:tr>
        <w:trPr>
          <w:cantSplit/>
        </w:trPr>
        <w:tc>
          <w:tcPr>
            <w:tcW w:type="dxa" w:w="3024"/>
            <w:vAlign w:val="center"/>
          </w:tcPr>
          <w:p>
            <w:pPr>
              <w:spacing w:after="0"/>
            </w:pPr>
            <w:r>
              <w:rPr>
                <w:sz w:val="18"/>
              </w:rPr>
              <w:t>Represented classes</w:t>
            </w:r>
          </w:p>
        </w:tc>
        <w:tc>
          <w:tcPr>
            <w:tcW w:type="dxa" w:w="3024"/>
            <w:vAlign w:val="center"/>
          </w:tcPr>
          <w:p>
            <w:pPr>
              <w:spacing w:after="0"/>
            </w:pPr>
            <w:r>
              <w:rPr>
                <w:sz w:val="18"/>
              </w:rPr>
              <w:t>Low, Medium, High</w:t>
            </w:r>
          </w:p>
        </w:tc>
        <w:tc>
          <w:tcPr>
            <w:tcW w:type="dxa" w:w="3024"/>
            <w:vAlign w:val="center"/>
          </w:tcPr>
          <w:p>
            <w:pPr>
              <w:spacing w:after="0"/>
            </w:pPr>
            <w:r>
              <w:rPr>
                <w:sz w:val="18"/>
              </w:rPr>
              <w:t>No Critical examples in saved model</w:t>
            </w:r>
          </w:p>
        </w:tc>
      </w:tr>
    </w:tbl>
    <w:p>
      <w:pPr>
        <w:pStyle w:val="KGCaption"/>
        <w:keepNext w:val="0"/>
        <w:jc w:val="center"/>
      </w:pPr>
      <w:r>
        <w:t>Table 5.6: Saved machine-learning metrics and interpretation</w:t>
      </w:r>
    </w:p>
    <w:p>
      <w:pPr>
        <w:keepNext w:val="0"/>
      </w:pPr>
      <w:r>
        <w:t>Because the saved model lacks a Critical class, its probability-weighted score cannot exceed the configured High midpoint of 6.50. The formula and manager components can still produce a Critical final tier. KnowledgeGuard includes a route for retraining on manager-validated records, but the reported model was not trained on those records. Manager-scored labels remain judgement-based until compared with independently observed outcomes.</w:t>
      </w:r>
    </w:p>
    <w:p>
      <w:pPr>
        <w:pStyle w:val="Heading2"/>
        <w:keepNext/>
      </w:pPr>
      <w:r>
        <w:t>5.9 Results against the objectives</w:t>
      </w:r>
    </w:p>
    <w:tbl>
      <w:tblPr>
        <w:tblStyle w:val="TableGrid"/>
        <w:tblW w:type="auto" w:w="0"/>
        <w:tblLayout w:type="fixed"/>
        <w:tblLook w:firstColumn="1" w:firstRow="1" w:lastColumn="0" w:lastRow="0" w:noHBand="0" w:noVBand="1" w:val="04A0"/>
      </w:tblPr>
      <w:tblGrid>
        <w:gridCol w:w="4500"/>
        <w:gridCol w:w="4500"/>
      </w:tblGrid>
      <w:tr>
        <w:trPr>
          <w:cantSplit/>
        </w:trPr>
        <w:tc>
          <w:tcPr>
            <w:tcW w:type="dxa" w:w="4536"/>
            <w:vAlign w:val="center"/>
            <w:shd w:fill="E8EDF3"/>
          </w:tcPr>
          <w:p>
            <w:pPr>
              <w:spacing w:after="0"/>
            </w:pPr>
            <w:r>
              <w:rPr>
                <w:b/>
                <w:sz w:val="18"/>
              </w:rPr>
              <w:t>Objective</w:t>
            </w:r>
          </w:p>
        </w:tc>
        <w:tc>
          <w:tcPr>
            <w:tcW w:type="dxa" w:w="4536"/>
            <w:vAlign w:val="center"/>
            <w:shd w:fill="E8EDF3"/>
          </w:tcPr>
          <w:p>
            <w:pPr>
              <w:spacing w:after="0"/>
            </w:pPr>
            <w:r>
              <w:rPr>
                <w:b/>
                <w:sz w:val="18"/>
              </w:rPr>
              <w:t>Result supported</w:t>
            </w:r>
          </w:p>
        </w:tc>
      </w:tr>
      <w:tr>
        <w:trPr>
          <w:cantSplit/>
        </w:trPr>
        <w:tc>
          <w:tcPr>
            <w:tcW w:type="dxa" w:w="4536"/>
            <w:vAlign w:val="center"/>
          </w:tcPr>
          <w:p>
            <w:pPr>
              <w:spacing w:after="0"/>
            </w:pPr>
            <w:r>
              <w:rPr>
                <w:sz w:val="18"/>
              </w:rPr>
              <w:t>O1 - Indicators and response-quality checks</w:t>
            </w:r>
          </w:p>
        </w:tc>
        <w:tc>
          <w:tcPr>
            <w:tcW w:type="dxa" w:w="4536"/>
            <w:vAlign w:val="center"/>
          </w:tcPr>
          <w:p>
            <w:pPr>
              <w:spacing w:after="0"/>
            </w:pPr>
            <w:r>
              <w:rPr>
                <w:sz w:val="18"/>
              </w:rPr>
              <w:t>Five indicators and transparent mapping implemented; warnings prompt review, not accusations of dishonesty</w:t>
            </w:r>
          </w:p>
        </w:tc>
      </w:tr>
      <w:tr>
        <w:trPr>
          <w:cantSplit/>
        </w:trPr>
        <w:tc>
          <w:tcPr>
            <w:tcW w:type="dxa" w:w="4536"/>
            <w:vAlign w:val="center"/>
          </w:tcPr>
          <w:p>
            <w:pPr>
              <w:spacing w:after="0"/>
            </w:pPr>
            <w:r>
              <w:rPr>
                <w:sz w:val="18"/>
              </w:rPr>
              <w:t>O2 - Literature-based requirements</w:t>
            </w:r>
          </w:p>
        </w:tc>
        <w:tc>
          <w:tcPr>
            <w:tcW w:type="dxa" w:w="4536"/>
            <w:vAlign w:val="center"/>
          </w:tcPr>
          <w:p>
            <w:pPr>
              <w:spacing w:after="0"/>
            </w:pPr>
            <w:r>
              <w:rPr>
                <w:sz w:val="18"/>
              </w:rPr>
              <w:t>Research informed scoring transparency, manager involvement, backup practice and KT stages</w:t>
            </w:r>
          </w:p>
        </w:tc>
      </w:tr>
      <w:tr>
        <w:trPr>
          <w:cantSplit/>
        </w:trPr>
        <w:tc>
          <w:tcPr>
            <w:tcW w:type="dxa" w:w="4536"/>
            <w:vAlign w:val="center"/>
          </w:tcPr>
          <w:p>
            <w:pPr>
              <w:spacing w:after="0"/>
            </w:pPr>
            <w:r>
              <w:rPr>
                <w:sz w:val="18"/>
              </w:rPr>
              <w:t>O3 - Integrated prototype</w:t>
            </w:r>
          </w:p>
        </w:tc>
        <w:tc>
          <w:tcPr>
            <w:tcW w:type="dxa" w:w="4536"/>
            <w:vAlign w:val="center"/>
          </w:tcPr>
          <w:p>
            <w:pPr>
              <w:spacing w:after="0"/>
            </w:pPr>
            <w:r>
              <w:rPr>
                <w:sz w:val="18"/>
              </w:rPr>
              <w:t>Scoring and validation states visible; five KT task types created; other controls have evidence levels in Table 5.3</w:t>
            </w:r>
          </w:p>
        </w:tc>
      </w:tr>
      <w:tr>
        <w:trPr>
          <w:cantSplit/>
        </w:trPr>
        <w:tc>
          <w:tcPr>
            <w:tcW w:type="dxa" w:w="4536"/>
            <w:vAlign w:val="center"/>
          </w:tcPr>
          <w:p>
            <w:pPr>
              <w:spacing w:after="0"/>
            </w:pPr>
            <w:r>
              <w:rPr>
                <w:sz w:val="18"/>
              </w:rPr>
              <w:t>O4 - Verification and evaluator feedback</w:t>
            </w:r>
          </w:p>
        </w:tc>
        <w:tc>
          <w:tcPr>
            <w:tcW w:type="dxa" w:w="4536"/>
            <w:vAlign w:val="center"/>
          </w:tcPr>
          <w:p>
            <w:pPr>
              <w:spacing w:after="0"/>
            </w:pPr>
            <w:r>
              <w:rPr>
                <w:sz w:val="18"/>
              </w:rPr>
              <w:t>Selected UI and unit-test evidence; favourable descriptive SUS and TAM responses from ten evaluators</w:t>
            </w:r>
          </w:p>
        </w:tc>
      </w:tr>
    </w:tbl>
    <w:p>
      <w:pPr>
        <w:pStyle w:val="KGCaption"/>
        <w:keepNext w:val="0"/>
        <w:jc w:val="center"/>
      </w:pPr>
      <w:r>
        <w:t>Table 5.7: Results against the research objectives</w:t>
      </w:r>
    </w:p>
    <w:p>
      <w:pPr>
        <w:pStyle w:val="Heading2"/>
        <w:keepNext/>
      </w:pPr>
      <w:r>
        <w:t>5.10 Chapter summary</w:t>
      </w:r>
    </w:p>
    <w:p>
      <w:pPr>
        <w:keepNext w:val="0"/>
      </w:pPr>
      <w:r>
        <w:t>KnowledgeGuard demonstrated a connected prototype workflow from assessment and scoring to manager review and KT planning. The ten-expert AHP result was internally consistent but proposed weights different from the unchanged baseline. Ten evaluators reported favourable usability and acceptance ratings. Generated quarterly records, simulated KT reduction and synthetic ML metrics establish prototype behaviour within their stated limits; they do not establish real-world prediction or lasting knowledge retention. A subsequent discussion chapter is required to interpret these bounded findings.</w:t>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r>
        <w:t>[1] I. Nonaka, “A dynamic theory of organizational knowledge creation,” Organization Science, vol. 5, no. 1, pp. 14–37, 1994, doi: 10.1287/orsc.5.1.14.</w:t>
      </w:r>
    </w:p>
    <w:p>
      <w:r>
        <w:t>[2] L. Argote and P. Ingram, “Knowledge transfer: A basis for competitive advantage in firms,” Organizational Behavior and Human Decision Processes, vol. 82, no. 1, pp. 150–169, 2000, doi: 10.1006/obhd.2000.2893.</w:t>
      </w:r>
    </w:p>
    <w:p>
      <w:r>
        <w:t>[3] A. Daghfous, N. T. Amer, O. Belkhodja, L. C. Angell, and T. Zoubi, “Managing knowledge loss: A systematic literature review and future research directions,” Journal of Enterprise Information Management, vol. 36, no. 4, pp. 1008–1031, 2023, doi: 10.1108/JEIM-05-2022-0171.</w:t>
      </w:r>
    </w:p>
    <w:p>
      <w:r>
        <w:t>[4] R. Iftikhar and M. Rashid, “Knowledge loss and retention in interorganizational projects: Evidence from public transportation projects from Pakistan,” International Journal of Managing Projects in Business, vol. 18, no. 2, pp. 241–264, 2025, doi: 10.1108/IJMPB-09-2024-0210.</w:t>
      </w:r>
    </w:p>
    <w:p>
      <w:r>
        <w:t>[5] A. R. Hevner, S. T. March, J. Park, and S. Ram, “Design science in information systems research,” MIS Quarterly, vol. 28, no. 1, pp. 75–105, 2004, doi: 10.2307/25148625.</w:t>
      </w:r>
    </w:p>
    <w:p>
      <w:r>
        <w:t>[6] M. S. Sumbal, A. Ključnikov, S. Durst, A. Ferraris, and L. Saeed, “Do you want to retain your relevant knowledge? The role of contextual factors in the banking sector,” Journal of Knowledge Management, vol. 27, no. 9, pp. 2414–2433, 2023, doi: 10.1108/JKM-02-2022-0128.</w:t>
      </w:r>
    </w:p>
    <w:p>
      <w:r>
        <w:t>[7] S. Durst and M. Zieba, “Mapping knowledge risks: Towards a better understanding of knowledge management,” Knowledge Management Research &amp; Practice, vol. 17, no. 1, pp. 1–13, 2019, doi: 10.1080/14778238.2018.1538603.</w:t>
      </w:r>
    </w:p>
    <w:p>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r>
        <w:t>[9] N. Galan, “Knowledge loss induced by organizational member turnover: A review of empirical literature, synthesis and future research directions (Part I),” The Learning Organization, vol. 30, no. 2, pp. 117–136, 2023, doi: 10.1108/TLO-09-2022-0107.</w:t>
      </w:r>
    </w:p>
    <w:p>
      <w:r>
        <w:t>[10] N. Galan, “Knowledge loss induced by organizational member turnover: A review of empirical literature, synthesis and future research directions (Part II),” The Learning Organization, vol. 30, no. 2, pp. 137–161, 2023, doi: 10.1108/TLO-09-2022-0108.</w:t>
      </w:r>
    </w:p>
    <w:p>
      <w:r>
        <w:t>[11] P. R. Massingham, “Measuring the impact of knowledge loss: A longitudinal study,” Journal of Knowledge Management, vol. 22, no. 4, pp. 721–758, 2018, doi: 10.1108/JKM-08-2016-0338.</w:t>
      </w:r>
    </w:p>
    <w:p>
      <w:r>
        <w:t>[12] Microsoft, “Intro to file collaboration in Microsoft 365, powered by SharePoint,” Microsoft Learn, 2025. [Online]. Available: https://learn.microsoft.com/en-us/sharepoint/intro-to-file-collaboration. [Accessed: Sep. 24, 2026].</w:t>
      </w:r>
    </w:p>
    <w:p>
      <w:r>
        <w:t>[13] Atlassian, “Use labels to organize content and attachments,” Confluence Cloud Support, n.d. [Online]. Available: https://support.atlassian.com/confluence-cloud/docs/use-labels-to-organize-your-content/. [Accessed: Sep. 24, 2026].</w:t>
      </w:r>
    </w:p>
    <w:p>
      <w:r>
        <w:t>[14] ServiceNow, “Knowledge workflows,” ServiceNow Platform Documentation, Xanadu release, Aug. 1, 2024. [Online]. Available: https://www.servicenow.com/docs/r/xanadu/servicenow-platform/knowledge-management/r_KnowledgeWorkflows.html. [Accessed: Sep. 24, 2026].</w:t>
      </w:r>
    </w:p>
    <w:p>
      <w:r>
        <w:t>[15] SAP, “Overview of SAP SuccessFactors Succession Planning,” SAP Help Portal, n.d. [Online]. Available: https://help.sap.com/docs/successfactors-succession-and-development/implementing-and-managing-succession/succession-planning-with-sap-successfactors-succession. [Accessed: Sep. 24, 2026].</w:t>
      </w:r>
    </w:p>
    <w:p>
      <w:r>
        <w:t>[16] APQC, “APQC’s Knowledge Loss Risk Matrix,” Sep. 17, 2025. [Online]. Available: https://www.apqc.org/resource-library/resource-listing/apqcs-knowledge-loss-risk-matrix. [Accessed: Sep. 24, 2026].</w:t>
      </w:r>
    </w:p>
    <w:p>
      <w:r>
        <w:t>[17] M. K. Ward and A. W. Meade, “Dealing with careless responding in survey data: Prevention, identification, and recommended best practices,” Annual Review of Psychology, vol. 74, pp. 577–596, 2023, doi: 10.1146/annurev-psych-040422-045007.</w:t>
      </w:r>
    </w:p>
    <w:p>
      <w:r>
        <w:t>[18] E. Igoa-Iraola and F. Díez, “Procedures for transferring organizational knowledge during generational change: A systematic review,” Heliyon, vol. 10, no. 5, art. e27092, 2024, doi: 10.1016/j.heliyon.2024.e27092.</w:t>
      </w:r>
    </w:p>
    <w:p>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r>
        <w:t>[20] T. L. Saaty, “Decision making with the analytic hierarchy process,” International Journal of Services Sciences, vol. 1, no. 1, pp. 83–98, 2008, doi: 10.1504/IJSSCI.2008.017590.</w:t>
      </w:r>
    </w:p>
    <w:p>
      <w:r>
        <w:t>[21] L. Breiman, “Random forests,” Machine Learning, vol. 45, no. 1, pp. 5–32, 2001, doi: 10.1023/A:1010933404324.</w:t>
      </w:r>
    </w:p>
    <w:p>
      <w:r>
        <w:t>[22] F. T. Liu, K. M. Ting, and Z.-H. Zhou, “Isolation forest,” in Proceedings of the 2008 Eighth IEEE International Conference on Data Mining, Pisa, Italy, 2008, pp. 413–422, doi: 10.1109/ICDM.2008.17.</w:t>
      </w:r>
    </w:p>
    <w:p>
      <w:r>
        <w:t>[23] Q. He and Z. Yang, “Generative AI-driven knowledge management in manufacturing firms: A five-stage framework for dynamic knowledge optimization and digital innovation,” Journal of Knowledge Management, vol. 30, no. 4, pp. 1447–1467, 2026, doi: 10.1108/JKM-03-2025-0418.</w:t>
      </w:r>
    </w:p>
    <w:p>
      <w:r>
        <w:t>[24] J. Brooke, “SUS: A quick and dirty usability scale,” in Usability Evaluation in Industry, P. W. Jordan, B. Thomas, B. A. Weerdmeester, and I. L. McClelland, Eds. London, U.K.: Taylor &amp; Francis, 1996, pp. 189–194.</w:t>
      </w:r>
    </w:p>
    <w:p>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blHead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rPr>
          <w:tblHeader/>
        </w:trP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