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collected from colleagues employed in industry, together with a separate generated Q1-Q4 dataset for quarterly workflow testing. Ten collected expert-comparison responses were used to examine the proposed indicator weights. Their aggregated comparisons produced a consistency ratio of 0.2000, above the specified 0.10 threshold; the proposed replacement weights were not accepted. Ten collected system-evaluation responses yielded a mean System Usability Scale score of 89.50 (SD = 3.07). Mean ratings for perceived usefulness, perceived ease of use, and behavioural intention were 4.43, 4.53, and 4.60, respectively. These results indicate positive perceived usability and acceptance among the evaluators.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AHP consistency-validation interface evidence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Distribution of individual System Usability Scale scores</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14F4C1F6" w14:textId="77777777" w:rsidR="00C50885" w:rsidRDefault="00000000">
      <w:pPr>
        <w:ind w:firstLine="360"/>
      </w:pPr>
      <w:r>
        <w:t>Table 2.1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assessment responses from colleagues employed in industry, a separate generated Q1-Q4 dataset for workflow testing, 10 expert pairwise-comparison responses, and 10 system-evaluation responses. The prototype was deployed online to provide evaluator access.</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Online deployment provided access for evaluation but did not constitute a partner-organization field study.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759B61E4" w14:textId="77777777" w:rsidR="00645A18" w:rsidRDefault="00645A18">
      <w:pPr>
        <w:ind w:firstLine="360"/>
        <w:jc w:val="both"/>
      </w:pPr>
    </w:p>
    <w:p w14:paraId="65350EFF" w14:textId="77777777" w:rsidR="00645A18" w:rsidRDefault="00645A18">
      <w:pPr>
        <w:ind w:firstLine="360"/>
        <w:jc w:val="both"/>
      </w:pPr>
    </w:p>
    <w:p w14:paraId="29BE51CE" w14:textId="77777777" w:rsidR="00645A18" w:rsidRDefault="00645A18">
      <w:pPr>
        <w:ind w:firstLine="360"/>
        <w:jc w:val="both"/>
      </w:pPr>
    </w:p>
    <w:p w14:paraId="7B95ADBF" w14:textId="77777777" w:rsidR="00645A18" w:rsidRDefault="00645A18" w:rsidP="00645A18">
      <w:pPr>
        <w:jc w:val="both"/>
      </w:pP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Collected expert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73206059" w14:textId="77777777" w:rsidR="00C50885" w:rsidRDefault="00C50885">
      <w:pPr>
        <w:spacing w:after="60"/>
      </w:pPr>
    </w:p>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pStyle w:val="KGCaption"/>
        <w:jc w:val="center"/>
        <w:rPr>
          <w:b/>
          <w:bCs/>
        </w:rPr>
      </w:pPr>
      <w:r>
        <w:rPr>
          <w:b/>
          <w:bCs/>
          <w:noProof/>
        </w:rPr>
        <w:lastRenderedPageBreak/>
        <w:drawing>
          <wp:inline distT="0" distB="0" distL="0" distR="0" wp14:anchorId="5EAA3D27" wp14:editId="0B3D7EE1">
            <wp:extent cx="5715000" cy="7546975"/>
            <wp:effectExtent l="0" t="0" r="0" b="0"/>
            <wp:docPr id="247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582" name="Picture 24791582"/>
                    <pic:cNvPicPr/>
                  </pic:nvPicPr>
                  <pic:blipFill>
                    <a:blip r:embed="rId9"/>
                    <a:stretch>
                      <a:fillRect/>
                    </a:stretch>
                  </pic:blipFill>
                  <pic:spPr>
                    <a:xfrm>
                      <a:off x="0" y="0"/>
                      <a:ext cx="5715000" cy="7546975"/>
                    </a:xfrm>
                    <a:prstGeom prst="rect">
                      <a:avLst/>
                    </a:prstGeom>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62603971" w14:textId="77777777" w:rsidR="00645A18" w:rsidRDefault="00645A18" w:rsidP="00645A18">
      <w:pPr>
        <w:pStyle w:val="KGCaption"/>
      </w:pP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w:t>
      </w:r>
      <w:r w:rsidR="00645A18">
        <w:t xml:space="preserve">bjective </w:t>
      </w:r>
      <w:r>
        <w:t>1. To identify and define measurable indicators of knowledge-loss risk and develop a structured assessment method that checks the quality of assessment responses.</w:t>
      </w:r>
    </w:p>
    <w:p w14:paraId="7879FB1E" w14:textId="7825A4DE" w:rsidR="00C50885" w:rsidRDefault="00000000" w:rsidP="00645A18">
      <w:pPr>
        <w:pStyle w:val="ListParagraph"/>
        <w:numPr>
          <w:ilvl w:val="0"/>
          <w:numId w:val="10"/>
        </w:numPr>
        <w:jc w:val="both"/>
      </w:pPr>
      <w:r>
        <w:t>O</w:t>
      </w:r>
      <w:r w:rsidR="00645A18">
        <w:t xml:space="preserve">bjective </w:t>
      </w:r>
      <w:r>
        <w:t>2. To examine relevant knowledge-management, risk-assessment, and decision-support research and use it to inform the design of the prototype.</w:t>
      </w:r>
    </w:p>
    <w:p w14:paraId="7AA3B451" w14:textId="285CBD92" w:rsidR="00C50885" w:rsidRDefault="00000000" w:rsidP="00645A18">
      <w:pPr>
        <w:pStyle w:val="ListParagraph"/>
        <w:numPr>
          <w:ilvl w:val="0"/>
          <w:numId w:val="10"/>
        </w:numPr>
        <w:jc w:val="both"/>
      </w:pPr>
      <w:r>
        <w:t>O</w:t>
      </w:r>
      <w:r w:rsidR="00645A18">
        <w:t xml:space="preserve">bjective </w:t>
      </w:r>
      <w:r>
        <w:t>3. To design and implement an integrated workflow that combines indicator-based scoring, manager assessment, supporting machine-learning analysis, risk classification, and knowledge-transfer planning and review.</w:t>
      </w:r>
    </w:p>
    <w:p w14:paraId="75498288" w14:textId="6D9CCDA5" w:rsidR="00C50885" w:rsidRDefault="00000000" w:rsidP="00645A18">
      <w:pPr>
        <w:pStyle w:val="ListParagraph"/>
        <w:numPr>
          <w:ilvl w:val="0"/>
          <w:numId w:val="10"/>
        </w:numPr>
        <w:jc w:val="both"/>
      </w:pPr>
      <w:r>
        <w:t>O</w:t>
      </w:r>
      <w:r w:rsidR="00645A18">
        <w:t xml:space="preserve">bjective </w:t>
      </w:r>
      <w:r>
        <w:t>4. To evaluate the prototype’s assessment and knowledge-transfer functions through testing, and to assess perceived usability and acceptance using system-evaluation responses.</w:t>
      </w:r>
    </w:p>
    <w:p w14:paraId="0C5DFD34" w14:textId="77777777" w:rsidR="00645A18" w:rsidRDefault="00645A18" w:rsidP="00645A18">
      <w:pPr>
        <w:jc w:val="both"/>
      </w:pPr>
    </w:p>
    <w:p w14:paraId="69500A7A" w14:textId="77777777" w:rsidR="00645A18" w:rsidRDefault="00645A18" w:rsidP="00645A18">
      <w:pPr>
        <w:jc w:val="both"/>
      </w:pPr>
    </w:p>
    <w:p w14:paraId="531AF9E2" w14:textId="77777777" w:rsidR="00645A18" w:rsidRDefault="00645A18" w:rsidP="00645A18">
      <w:pPr>
        <w:jc w:val="both"/>
      </w:pPr>
    </w:p>
    <w:p w14:paraId="5C16828E" w14:textId="77777777" w:rsidR="00645A18" w:rsidRDefault="00645A18" w:rsidP="00645A18">
      <w:pPr>
        <w:jc w:val="both"/>
      </w:pPr>
    </w:p>
    <w:p w14:paraId="20218608" w14:textId="77777777" w:rsidR="00C50885" w:rsidRPr="00645A18" w:rsidRDefault="00000000">
      <w:pPr>
        <w:pStyle w:val="KGCaption"/>
        <w:rPr>
          <w:b/>
        </w:rPr>
      </w:pPr>
      <w:r w:rsidRPr="00645A18">
        <w:rPr>
          <w:b/>
        </w:rPr>
        <w:lastRenderedPageBreak/>
        <w:t>Table 2.1: Objective-to-evidence alignment</w:t>
      </w:r>
    </w:p>
    <w:tbl>
      <w:tblPr>
        <w:tblStyle w:val="TableGrid"/>
        <w:tblW w:w="0" w:type="auto"/>
        <w:jc w:val="center"/>
        <w:tblLook w:val="04A0" w:firstRow="1" w:lastRow="0" w:firstColumn="1" w:lastColumn="0" w:noHBand="0" w:noVBand="1"/>
      </w:tblPr>
      <w:tblGrid>
        <w:gridCol w:w="3000"/>
        <w:gridCol w:w="3000"/>
        <w:gridCol w:w="3000"/>
      </w:tblGrid>
      <w:tr w:rsidR="00C50885" w14:paraId="513A231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1FA6AA" w14:textId="77777777" w:rsidR="00C50885" w:rsidRDefault="00000000">
            <w:pPr>
              <w:jc w:val="center"/>
            </w:pPr>
            <w:r>
              <w:rPr>
                <w:b/>
                <w:sz w:val="22"/>
              </w:rP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14:paraId="7649A5B7" w14:textId="77777777" w:rsidR="00C50885" w:rsidRDefault="00000000">
            <w:pPr>
              <w:jc w:val="center"/>
            </w:pPr>
            <w:r>
              <w:rPr>
                <w:b/>
                <w:sz w:val="22"/>
              </w:rPr>
              <w:t>Method</w:t>
            </w:r>
          </w:p>
        </w:tc>
        <w:tc>
          <w:tcPr>
            <w:tcW w:w="3000" w:type="dxa"/>
            <w:tcBorders>
              <w:top w:val="single" w:sz="4" w:space="0" w:color="000000"/>
              <w:left w:val="single" w:sz="4" w:space="0" w:color="000000"/>
              <w:bottom w:val="single" w:sz="4" w:space="0" w:color="000000"/>
              <w:right w:val="single" w:sz="4" w:space="0" w:color="000000"/>
            </w:tcBorders>
            <w:vAlign w:val="center"/>
          </w:tcPr>
          <w:p w14:paraId="02675525" w14:textId="77777777" w:rsidR="00C50885" w:rsidRDefault="00000000">
            <w:pPr>
              <w:jc w:val="center"/>
            </w:pPr>
            <w:r>
              <w:rPr>
                <w:b/>
                <w:sz w:val="22"/>
              </w:rPr>
              <w:t>Evidence reported in Chapter 5</w:t>
            </w:r>
          </w:p>
        </w:tc>
      </w:tr>
      <w:tr w:rsidR="00C50885" w14:paraId="23543C7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E60069D" w14:textId="77777777" w:rsidR="00C50885" w:rsidRDefault="00000000">
            <w:pPr>
              <w:spacing w:after="0"/>
            </w:pPr>
            <w:r>
              <w:rPr>
                <w:sz w:val="21"/>
              </w:rPr>
              <w:t>O1 Indicators and assessment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4EA91CD" w14:textId="77777777" w:rsidR="00C50885" w:rsidRDefault="00000000">
            <w:pPr>
              <w:spacing w:after="0"/>
            </w:pPr>
            <w:r>
              <w:rPr>
                <w:sz w:val="21"/>
              </w:rPr>
              <w:t>Define five indicators; map survey items; check expert comparison consistency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5E81401" w14:textId="77777777" w:rsidR="00C50885" w:rsidRDefault="00000000">
            <w:pPr>
              <w:spacing w:after="0"/>
            </w:pPr>
            <w:r>
              <w:rPr>
                <w:sz w:val="21"/>
              </w:rPr>
              <w:t>Indicator mapping, calculated scores, AHP outcome</w:t>
            </w:r>
          </w:p>
        </w:tc>
      </w:tr>
      <w:tr w:rsidR="00C50885" w14:paraId="356001E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13DE1" w14:textId="77777777" w:rsidR="00C50885" w:rsidRDefault="00000000">
            <w:pPr>
              <w:spacing w:after="0"/>
            </w:pPr>
            <w:r>
              <w:rPr>
                <w:sz w:val="21"/>
              </w:rPr>
              <w:t>O2 Literature and design basis</w:t>
            </w:r>
          </w:p>
        </w:tc>
        <w:tc>
          <w:tcPr>
            <w:tcW w:w="3000" w:type="dxa"/>
            <w:tcBorders>
              <w:top w:val="single" w:sz="4" w:space="0" w:color="000000"/>
              <w:left w:val="single" w:sz="4" w:space="0" w:color="000000"/>
              <w:bottom w:val="single" w:sz="4" w:space="0" w:color="000000"/>
              <w:right w:val="single" w:sz="4" w:space="0" w:color="000000"/>
            </w:tcBorders>
            <w:vAlign w:val="center"/>
          </w:tcPr>
          <w:p w14:paraId="51CFE2F7" w14:textId="77777777" w:rsidR="00C50885" w:rsidRDefault="00000000">
            <w:pPr>
              <w:spacing w:after="0"/>
            </w:pPr>
            <w:r>
              <w:rPr>
                <w:sz w:val="21"/>
              </w:rPr>
              <w:t>Review knowledge-loss evidence and related systems</w:t>
            </w:r>
          </w:p>
        </w:tc>
        <w:tc>
          <w:tcPr>
            <w:tcW w:w="3000" w:type="dxa"/>
            <w:tcBorders>
              <w:top w:val="single" w:sz="4" w:space="0" w:color="000000"/>
              <w:left w:val="single" w:sz="4" w:space="0" w:color="000000"/>
              <w:bottom w:val="single" w:sz="4" w:space="0" w:color="000000"/>
              <w:right w:val="single" w:sz="4" w:space="0" w:color="000000"/>
            </w:tcBorders>
            <w:vAlign w:val="center"/>
          </w:tcPr>
          <w:p w14:paraId="2F42EBE2" w14:textId="77777777" w:rsidR="00C50885" w:rsidRDefault="00000000">
            <w:pPr>
              <w:spacing w:after="0"/>
            </w:pPr>
            <w:r>
              <w:rPr>
                <w:sz w:val="21"/>
              </w:rPr>
              <w:t>Synthesis and justified design choices</w:t>
            </w:r>
          </w:p>
        </w:tc>
      </w:tr>
      <w:tr w:rsidR="00C50885" w14:paraId="051599D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F353190" w14:textId="77777777" w:rsidR="00C50885" w:rsidRDefault="00000000">
            <w:pPr>
              <w:spacing w:after="0"/>
            </w:pPr>
            <w:r>
              <w:rPr>
                <w:sz w:val="21"/>
              </w:rPr>
              <w:t>O3 Integrated prototype</w:t>
            </w:r>
          </w:p>
        </w:tc>
        <w:tc>
          <w:tcPr>
            <w:tcW w:w="3000" w:type="dxa"/>
            <w:tcBorders>
              <w:top w:val="single" w:sz="4" w:space="0" w:color="000000"/>
              <w:left w:val="single" w:sz="4" w:space="0" w:color="000000"/>
              <w:bottom w:val="single" w:sz="4" w:space="0" w:color="000000"/>
              <w:right w:val="single" w:sz="4" w:space="0" w:color="000000"/>
            </w:tcBorders>
            <w:vAlign w:val="center"/>
          </w:tcPr>
          <w:p w14:paraId="76BB41D1" w14:textId="77777777" w:rsidR="00C50885" w:rsidRDefault="00000000">
            <w:pPr>
              <w:spacing w:after="0"/>
            </w:pPr>
            <w:r>
              <w:rPr>
                <w:sz w:val="21"/>
              </w:rPr>
              <w:t>Implement scoring, validation and five KT stages</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8ED55" w14:textId="77777777" w:rsidR="00C50885" w:rsidRDefault="00000000">
            <w:pPr>
              <w:spacing w:after="0"/>
            </w:pPr>
            <w:r>
              <w:rPr>
                <w:sz w:val="21"/>
              </w:rPr>
              <w:t>System outputs and functional scenarios</w:t>
            </w:r>
          </w:p>
        </w:tc>
      </w:tr>
      <w:tr w:rsidR="00C50885" w14:paraId="0446242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8BB9D48" w14:textId="77777777" w:rsidR="00C50885" w:rsidRDefault="00000000">
            <w:pPr>
              <w:spacing w:after="0"/>
            </w:pPr>
            <w:r>
              <w:rPr>
                <w:sz w:val="21"/>
              </w:rPr>
              <w:t>O4 Evaluation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408D9445" w14:textId="77777777" w:rsidR="00C50885" w:rsidRDefault="00000000">
            <w:pPr>
              <w:spacing w:after="0"/>
            </w:pPr>
            <w:r>
              <w:rPr>
                <w:sz w:val="21"/>
              </w:rPr>
              <w:t>Run tests; calculate SUS and acceptance summaries</w:t>
            </w:r>
          </w:p>
        </w:tc>
        <w:tc>
          <w:tcPr>
            <w:tcW w:w="3000" w:type="dxa"/>
            <w:tcBorders>
              <w:top w:val="single" w:sz="4" w:space="0" w:color="000000"/>
              <w:left w:val="single" w:sz="4" w:space="0" w:color="000000"/>
              <w:bottom w:val="single" w:sz="4" w:space="0" w:color="000000"/>
              <w:right w:val="single" w:sz="4" w:space="0" w:color="000000"/>
            </w:tcBorders>
            <w:vAlign w:val="center"/>
          </w:tcPr>
          <w:p w14:paraId="127DEEFD" w14:textId="77777777" w:rsidR="00C50885" w:rsidRDefault="00000000">
            <w:pPr>
              <w:spacing w:after="0"/>
            </w:pPr>
            <w:r>
              <w:rPr>
                <w:sz w:val="21"/>
              </w:rPr>
              <w:t>Recorded test outcomes and questionnaire summaries</w:t>
            </w:r>
          </w:p>
        </w:tc>
      </w:tr>
    </w:tbl>
    <w:p w14:paraId="11E671AC" w14:textId="77777777" w:rsidR="00C50885" w:rsidRDefault="00C50885">
      <w:pPr>
        <w:spacing w:after="60"/>
      </w:pPr>
    </w:p>
    <w:p w14:paraId="50A3841D" w14:textId="77777777" w:rsidR="00C50885" w:rsidRPr="00645A18" w:rsidRDefault="00000000">
      <w:pPr>
        <w:pStyle w:val="Heading2"/>
        <w:rPr>
          <w:bCs w:val="0"/>
        </w:rPr>
      </w:pPr>
      <w:bookmarkStart w:id="20" w:name="_Toc241869511"/>
      <w:r w:rsidRPr="00645A18">
        <w:rPr>
          <w:rFonts w:ascii="Times New Roman" w:hAnsi="Times New Roman"/>
          <w:bCs w:val="0"/>
        </w:rPr>
        <w:t>2.3 How the objectives guide the thesis</w:t>
      </w:r>
      <w:bookmarkEnd w:id="20"/>
    </w:p>
    <w:p w14:paraId="2C1021F4" w14:textId="77777777" w:rsidR="00C50885" w:rsidRDefault="00000000">
      <w:pPr>
        <w:ind w:firstLine="360"/>
        <w:jc w:val="both"/>
      </w:pPr>
      <w: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14:paraId="01F36A2E" w14:textId="77777777" w:rsidR="00C50885" w:rsidRPr="00645A18" w:rsidRDefault="00000000">
      <w:pPr>
        <w:pStyle w:val="Heading2"/>
        <w:rPr>
          <w:bCs w:val="0"/>
        </w:rPr>
      </w:pPr>
      <w:bookmarkStart w:id="21" w:name="_Toc241869512"/>
      <w:r w:rsidRPr="00645A18">
        <w:rPr>
          <w:rFonts w:ascii="Times New Roman" w:hAnsi="Times New Roman"/>
          <w:bCs w:val="0"/>
        </w:rPr>
        <w:t>2.4 Chapter summary</w:t>
      </w:r>
      <w:bookmarkEnd w:id="21"/>
    </w:p>
    <w:p w14:paraId="723D26B2" w14:textId="77777777" w:rsidR="00C50885" w:rsidRDefault="00000000">
      <w:pPr>
        <w:ind w:firstLine="360"/>
        <w:jc w:val="both"/>
      </w:pPr>
      <w:r>
        <w:t>This chapter defined the aim and four specific objectives of the study and linked each objective to its method and expected evidence. Chapter 3 reviews the concepts, prior systems and technical approaches that provide the rationale for the prototype design.</w:t>
      </w:r>
    </w:p>
    <w:p w14:paraId="2F027F84" w14:textId="77777777" w:rsidR="00C50885" w:rsidRDefault="00000000">
      <w:r>
        <w:br w:type="page"/>
      </w:r>
    </w:p>
    <w:p w14:paraId="0DE2B74F" w14:textId="77777777" w:rsidR="00C50885" w:rsidRPr="00645A18" w:rsidRDefault="00000000">
      <w:pPr>
        <w:pStyle w:val="Heading1"/>
        <w:rPr>
          <w:bCs w:val="0"/>
        </w:rPr>
      </w:pPr>
      <w:bookmarkStart w:id="22" w:name="_Toc241869513"/>
      <w:r w:rsidRPr="00645A18">
        <w:rPr>
          <w:rFonts w:ascii="Times New Roman" w:hAnsi="Times New Roman"/>
          <w:bCs w:val="0"/>
        </w:rPr>
        <w:lastRenderedPageBreak/>
        <w:t>3 LITERATURE REVIEW</w:t>
      </w:r>
      <w:bookmarkEnd w:id="22"/>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lastRenderedPageBreak/>
        <w:t>AHP provides a structured method for deriving possible indicator weights through expert pairwise comparisons and a consistency ratio (CR) to test whether the comparisons are logically coherent [20]. In KnowledgeGuard, AHP considers future calibration of baseline weights; it is not recalculated for every employee assessment. If CR is 0.10 or greater, the proposed weights are rejected and the existing configured weights remain unchanged. A consistent matrix would show coherent expert comparisons, not proof that the weights predict real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to provide plain-language risk explanations, suggest knowledge-transfer interview questions, generate improvement suggestions, and support manager queries about team risk. These functions are assistance, not automatic decisions. Generated output must be reviewed because it may be incomplete, inaccurate, or contextually unsuitable [23].</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rejecting inconsistent AHP weights,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Three kinds of input were used. First, 30 anonymised standalone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how assessment answers map to the four survey-derived indicators. Each colleague also manually supplied an employment start date solely for the prototype calculation of tenure. The prototype did not obtain this field automatically because it was not integrated with an organizational HR information system. These were individual colleague responses, not employee records supplied by an organization, and they are not treated as representative of an industry workforce.</w:t>
      </w:r>
    </w:p>
    <w:p w14:paraId="53E2E960" w14:textId="77777777" w:rsidR="006F10DC" w:rsidRDefault="006F10DC" w:rsidP="006F10DC">
      <w:pPr>
        <w:ind w:firstLine="360"/>
        <w:jc w:val="both"/>
      </w:pPr>
      <w:r>
        <w:t xml:space="preserve">Separately, a generated Q1-Q4 dataset was constructed as controlled test scenarios to test quarterly imports, score-history behaviour, manager validation, and the knowledge-transfer </w:t>
      </w:r>
      <w:r>
        <w:lastRenderedPageBreak/>
        <w:t>workflow. This dataset does not contain the colleague responses, is not a prospective cohort, and cannot be treated as follow-up measurement of any colleague.</w:t>
      </w:r>
    </w:p>
    <w:p w14:paraId="431FD87F" w14:textId="77777777" w:rsidR="006F10DC" w:rsidRDefault="006F10DC" w:rsidP="006F10DC">
      <w:pPr>
        <w:ind w:firstLine="360"/>
        <w:jc w:val="both"/>
      </w:pPr>
      <w:r>
        <w:t>Second, a pairwise-comparison questionnaire supplied ten responses for examining the relative importance of the five indicators. Third, ten working professionals with experience in HR, team management, technical work, or organizational processes used the deployed prototype and completed the System Usability Scale (SUS) and acceptance items. Exact evaluator role counts and organization affiliations were not recorded. These groups serve different purposes and are not assumed to represent the same people or a probability sample of organizational employees. The findings are therefore reported as descriptive responses from the available evaluators, without claims of representativeness.</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2350002" w14:textId="77777777" w:rsidR="006F10DC" w:rsidRDefault="006F10DC" w:rsidP="008E032A">
            <w:pPr>
              <w:jc w:val="center"/>
            </w:pPr>
            <w:r>
              <w:rPr>
                <w:b/>
                <w:sz w:val="22"/>
              </w:rPr>
              <w:t>Source</w:t>
            </w:r>
          </w:p>
        </w:tc>
        <w:tc>
          <w:tcPr>
            <w:tcW w:w="3000" w:type="dxa"/>
            <w:tcBorders>
              <w:top w:val="single" w:sz="4" w:space="0" w:color="000000"/>
              <w:left w:val="single" w:sz="4" w:space="0" w:color="000000"/>
              <w:bottom w:val="single" w:sz="4" w:space="0" w:color="000000"/>
              <w:right w:val="single" w:sz="4" w:space="0" w:color="000000"/>
            </w:tcBorders>
            <w:vAlign w:val="center"/>
          </w:tcPr>
          <w:p w14:paraId="164E133D" w14:textId="77777777" w:rsidR="006F10DC" w:rsidRDefault="006F10DC" w:rsidP="008E032A">
            <w:pPr>
              <w:jc w:val="center"/>
            </w:pPr>
            <w:r>
              <w:rPr>
                <w:b/>
                <w:sz w:val="22"/>
              </w:rP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14:paraId="4C44BBB7" w14:textId="77777777" w:rsidR="006F10DC" w:rsidRDefault="006F10DC" w:rsidP="008E032A">
            <w:pPr>
              <w:jc w:val="center"/>
            </w:pPr>
            <w:r>
              <w:rPr>
                <w:b/>
                <w:sz w:val="22"/>
              </w:rP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6F701F" w14:textId="77777777" w:rsidR="006F10DC" w:rsidRDefault="006F10DC" w:rsidP="008E032A">
            <w:pPr>
              <w:spacing w:after="0"/>
            </w:pPr>
            <w:r>
              <w:rPr>
                <w:sz w:val="21"/>
              </w:rP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14:paraId="4C2D14E0" w14:textId="77777777" w:rsidR="006F10DC" w:rsidRDefault="006F10DC" w:rsidP="008E032A">
            <w:pPr>
              <w:spacing w:after="0"/>
            </w:pPr>
            <w:r>
              <w:rPr>
                <w:sz w:val="21"/>
              </w:rP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7886B761" w14:textId="77777777" w:rsidR="006F10DC" w:rsidRDefault="006F10DC" w:rsidP="008E032A">
            <w:pPr>
              <w:spacing w:after="0"/>
            </w:pPr>
            <w:r>
              <w:rPr>
                <w:sz w:val="21"/>
              </w:rP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7F3D037" w14:textId="77777777" w:rsidR="006F10DC" w:rsidRDefault="006F10DC" w:rsidP="008E032A">
            <w:pPr>
              <w:spacing w:after="0"/>
            </w:pPr>
            <w:r>
              <w:rPr>
                <w:sz w:val="21"/>
              </w:rP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14:paraId="4F87A5A5" w14:textId="77777777" w:rsidR="006F10DC" w:rsidRDefault="006F10DC" w:rsidP="008E032A">
            <w:pPr>
              <w:spacing w:after="0"/>
            </w:pPr>
            <w:r>
              <w:rPr>
                <w:sz w:val="21"/>
              </w:rPr>
              <w:t>Q1–Q4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1EA98B7" w14:textId="77777777" w:rsidR="006F10DC" w:rsidRDefault="006F10DC" w:rsidP="008E032A">
            <w:pPr>
              <w:spacing w:after="0"/>
            </w:pPr>
            <w:r>
              <w:rPr>
                <w:sz w:val="21"/>
              </w:rP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607CD3" w14:textId="77777777" w:rsidR="006F10DC" w:rsidRDefault="006F10DC" w:rsidP="008E032A">
            <w:pPr>
              <w:spacing w:after="0"/>
            </w:pPr>
            <w:r>
              <w:rPr>
                <w:sz w:val="21"/>
              </w:rPr>
              <w:t>Expert pairwise comparisons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75A16970" w14:textId="77777777" w:rsidR="006F10DC" w:rsidRDefault="006F10DC" w:rsidP="008E032A">
            <w:pPr>
              <w:spacing w:after="0"/>
            </w:pPr>
            <w:r>
              <w:rPr>
                <w:sz w:val="21"/>
              </w:rP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4C56F622" w14:textId="77777777" w:rsidR="006F10DC" w:rsidRDefault="006F10DC" w:rsidP="008E032A">
            <w:pPr>
              <w:spacing w:after="0"/>
            </w:pPr>
            <w:r>
              <w:rPr>
                <w:sz w:val="21"/>
              </w:rPr>
              <w:t>AHP consistency and proposed weights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71708BC" w14:textId="77777777" w:rsidR="006F10DC" w:rsidRDefault="006F10DC" w:rsidP="008E032A">
            <w:pPr>
              <w:spacing w:after="0"/>
            </w:pPr>
            <w:r>
              <w:rPr>
                <w:sz w:val="21"/>
              </w:rP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14:paraId="59B6E13F" w14:textId="77777777" w:rsidR="006F10DC" w:rsidRDefault="006F10DC" w:rsidP="008E032A">
            <w:pPr>
              <w:spacing w:after="0"/>
            </w:pPr>
            <w:r>
              <w:rPr>
                <w:sz w:val="21"/>
              </w:rP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57EC1CA1" w14:textId="77777777" w:rsidR="006F10DC" w:rsidRDefault="006F10DC" w:rsidP="008E032A">
            <w:pPr>
              <w:spacing w:after="0"/>
            </w:pPr>
            <w:r>
              <w:rPr>
                <w:sz w:val="21"/>
              </w:rPr>
              <w:t>Descriptive SUS and acceptance ratings</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intended application stakeholders were employees providing assessment information, managers validating cases and overseeing transfer, HR or research staff inspecting results, and a nominated backup employee participating in transfer. Their application roles are distinct from the contributors to the two research questionnaires. Source CSV files, question wording, and an appropriately de-identified account of the evaluation instruments can be placed in the appendices so that the analysis can be followed without publishing personal identifiers.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 xml:space="preserve">The intervention requirements were to restrict creation of a knowledge-transfer (KT) plan to high- or critical-risk holders, nominate a viable backup, record evidence and confirmations, assess backup competence, and require final approval before recalculating risk. The interface compares the selected holder’s knowledge tags with candidate tags, pre-populates the relevant knowledge areas, and presents candidates with greater tag overlap first. Tag overlap is a recommendation aid rather than a compulsory compatibility rule. The implementation checks that the knowledge holder and backup are distinct employee accounts, that the assigned manager’s team restriction applies, and that a backup already classified as high or critical is not selected. The backend independently rejects a high- or critical-risk backup even if a client request bypasses the interface. Where no backup score </w:t>
      </w:r>
      <w:r>
        <w:lastRenderedPageBreak/>
        <w:t>exists, the present implementation does not treat the absence of a score as a high-risk classification; this is a limitation of the check rather than proof of backup suitability.</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rsidRPr="00C22A0C">
        <w:t>In addition to functional behaviour, KnowledgeGuard was designed with non-functional priorities that support responsible prototype use. Role-based access control restricts functions according to user responsibility. Transparency is supported through visible indicator values, formula components, manager validation and recorded notes. Reliability is supported by a formula-score fallback when the ML service is unavailable. Usability is assessed through evaluator feedback using SUS and TAM items. Privacy is supported by anonymised research inputs, role-limited access and avoidance of unnecessary personal or confidential organizational data. Maintainability is supported by separation of the React/Vite interface, Node.js/Express application layer, MongoDB data store and FastAPI ML service. These are prototype design requirements; the evaluation does not claim completion of a penetration test, performance benchmark, scalability study or organizational security audit.</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lastRenderedPageBreak/>
        <w:t>The initial allocation makes expertise uniqueness the largest component (0.25), reflecting the project’s focus on knowledge that is difficult to replace [9], [10]. Documentation gap, project criticality, and collaboration dependency each receive 0.20: documented knowledge, the consequences of loss, and transfer between people are all relevant [1], [2], [11], but the cited research does not establish that one of these three should dominate the others. Tenure receives 0.15 as contextual information; years of service alone do not establish that a person holds critical or irreplaceable knowledge. The weights add to 1.00 and keep the formula on its input scale. These particular percentages are a transparent design judgement, not a published or empirically validated optimum. AHP was used to assess a proposed alternative; under the predefined rule, an inconsistent comparison matrix cannot replace the weights already configured. Chapter 5 reports whether the collected comparisons met that rule.</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 xml:space="preserve">The system offers Analytic Hierarchy Process (AHP) calibration of its five indicator weights [20]. It aggregates ten pairwise comparison columns by geometric mean, builds a reciprocal 5 × 5 matrix, normalizes columns, and averages rows to obtain proposed weights. It estimates lambda_max, then calculates CI = (lambda_max − 5)/4 and CR = CI/1.12. The </w:t>
      </w:r>
      <w:r>
        <w:lastRenderedPageBreak/>
        <w:t>user interface enables application only when CR &lt; 0.10. The supplied API route receives the comparison matrix, recalculates its weights and CR, and returns HTTP 400 if the calculated CR is at least 0.10. Rejection leaves the existing settings in place; those settings may be predefined or previously applied dynamic weights. Chapter 5 should report this control as tested only when an executed API request and the unchanged stored settings are available. Consistency does not establish predictive validity.</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high- or critical-risk holder, the manager can create a KT plan with a backup employee, knowledge areas, priority, and deadline. The interface uses the holder’s knowledge tags to pre-populate knowledge areas and rank potential backups by shared tags. A manager may still select an eligible candidate with no overlap, so the tag comparison supports rather than proves suitability. Both the interface and backend prevent a high- or critical-risk employee from being assigned as backup. The backend requests interview questions from an external language-model service and uses default questions if that request fails. Five task records are then created: documentation; shadowing with participant confirmations; a structured interview; independent backup practice with a manager competence rating; and final manager sign-off. The sign-off route checks that all preceding tasks are marked complete before closing the plan. A task record reports workflow completion; it does not verify long-term retention.</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 xml:space="preserve">At sign-off, the KT update reads the approved evidence and competence rating. It can reduce DG by up to 3 points according to the proportion of approved documentation tasks, EU by 0–3 points according to backup competence, and CD by up to 2 points when both shadowing and interview are approved and the competence mapping permits a reduction. The </w:t>
      </w:r>
      <w:r>
        <w:lastRenderedPageBreak/>
        <w:t>code applies reductions to employee indicator scores and, if available, to validated manager scores, bounded below by 1. PC and tenure remain unchanged. The weighted formula component can consequently fall by at most 0.25(3) + 0.20(3) + 0.20(2) = 1.75 points before bounds; this is not a guaranteed cap on the final blended score because its manager and ML components are recalculated too. No later-quarter assessment is generated automatically by sign-off.</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an external questionnaire and the CSV import path, followed by response mapping and scoring. The application layer then integrated manager review and risk presentation. A separate service was introduced for classifier training, prediction, and anomaly analysis. Finally, the intervention workflow joined risk eligibility checks, AI-supported interview prompts, task evidence, participant confirmations, competence validation, sign-off, and recalculation. The current application stores scores and task state so the workflow can be inspected in successive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 xml:space="preserve">Evaluation was organized against the four objectives. For O1, the inspection checks whether the collected colleague responses import, map to the intended indicators, produce tenure-based formula scores and quality warnings, and whether the AHP interface disables application when expert judgements are inconsistent. The evaluation should include a real direct API request with CR at or above 0.10, followed by a read of the settings to establish that no weights changed. The separate generated Q1-Q4 test dataset checks repeated import </w:t>
      </w:r>
      <w:r>
        <w:lastRenderedPageBreak/>
        <w:t>and score-history behaviour without representing organizational follow-up of the colleagues. The expert exercise aggregates ten collected comparison responses and reports proposed weights together with the unrounded and displayed consistency ratio. The predefined criterion is CR &lt; 0.10; the result and its consequences are reported in Chapter 5.</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3BFFEB" w14:textId="77777777" w:rsidR="006F10DC" w:rsidRDefault="006F10DC" w:rsidP="008E032A">
            <w:pPr>
              <w:jc w:val="center"/>
            </w:pPr>
            <w:r>
              <w:rPr>
                <w:b/>
                <w:sz w:val="22"/>
              </w:rPr>
              <w:t>Aspect</w:t>
            </w:r>
          </w:p>
        </w:tc>
        <w:tc>
          <w:tcPr>
            <w:tcW w:w="3000" w:type="dxa"/>
            <w:tcBorders>
              <w:top w:val="single" w:sz="4" w:space="0" w:color="000000"/>
              <w:left w:val="single" w:sz="4" w:space="0" w:color="000000"/>
              <w:bottom w:val="single" w:sz="4" w:space="0" w:color="000000"/>
              <w:right w:val="single" w:sz="4" w:space="0" w:color="000000"/>
            </w:tcBorders>
            <w:vAlign w:val="center"/>
          </w:tcPr>
          <w:p w14:paraId="40D5AF31" w14:textId="77777777" w:rsidR="006F10DC" w:rsidRDefault="006F10DC" w:rsidP="008E032A">
            <w:pPr>
              <w:jc w:val="center"/>
            </w:pPr>
            <w:r>
              <w:rPr>
                <w:b/>
                <w:sz w:val="22"/>
              </w:rP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EB5F4" w14:textId="77777777" w:rsidR="006F10DC" w:rsidRDefault="006F10DC" w:rsidP="008E032A">
            <w:pPr>
              <w:jc w:val="center"/>
            </w:pPr>
            <w:r>
              <w:rPr>
                <w:b/>
                <w:sz w:val="22"/>
              </w:rP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2ACF312" w14:textId="77777777" w:rsidR="006F10DC" w:rsidRDefault="006F10DC" w:rsidP="008E032A">
            <w:pPr>
              <w:spacing w:after="0"/>
            </w:pPr>
            <w:r>
              <w:rPr>
                <w:sz w:val="21"/>
              </w:rP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7FF5CB0F" w14:textId="77777777" w:rsidR="006F10DC" w:rsidRDefault="006F10DC" w:rsidP="008E032A">
            <w:pPr>
              <w:spacing w:after="0"/>
            </w:pPr>
            <w:r>
              <w:rPr>
                <w:sz w:val="21"/>
              </w:rP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7BF045" w14:textId="77777777" w:rsidR="006F10DC" w:rsidRDefault="006F10DC" w:rsidP="008E032A">
            <w:pPr>
              <w:spacing w:after="0"/>
            </w:pPr>
            <w:r>
              <w:rPr>
                <w:sz w:val="21"/>
              </w:rP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9FD3DDC" w14:textId="77777777" w:rsidR="006F10DC" w:rsidRDefault="006F10DC" w:rsidP="008E032A">
            <w:pPr>
              <w:spacing w:after="0"/>
            </w:pPr>
            <w:r>
              <w:rPr>
                <w:sz w:val="21"/>
              </w:rPr>
              <w:t>AHP calibration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433AEFD2" w14:textId="77777777" w:rsidR="006F10DC" w:rsidRDefault="006F10DC" w:rsidP="008E032A">
            <w:pPr>
              <w:spacing w:after="0"/>
            </w:pPr>
            <w:r>
              <w:rPr>
                <w:sz w:val="21"/>
              </w:rPr>
              <w:t>Weights, CI and CR; CR &lt; 0.10 interface rule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F2F65" w14:textId="77777777" w:rsidR="006F10DC" w:rsidRDefault="006F10DC" w:rsidP="008E032A">
            <w:pPr>
              <w:spacing w:after="0"/>
            </w:pPr>
            <w:r>
              <w:rPr>
                <w:sz w:val="21"/>
              </w:rPr>
              <w:t>Comparison output and interface response</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6FBBCE" w14:textId="77777777" w:rsidR="006F10DC" w:rsidRDefault="006F10DC" w:rsidP="008E032A">
            <w:pPr>
              <w:spacing w:after="0"/>
            </w:pPr>
            <w:r>
              <w:rPr>
                <w:sz w:val="21"/>
              </w:rP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884A905" w14:textId="77777777" w:rsidR="006F10DC" w:rsidRDefault="006F10DC" w:rsidP="008E032A">
            <w:pPr>
              <w:spacing w:after="0"/>
            </w:pPr>
            <w:r>
              <w:rPr>
                <w:sz w:val="21"/>
              </w:rP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14:paraId="14552732" w14:textId="77777777" w:rsidR="006F10DC" w:rsidRDefault="006F10DC" w:rsidP="008E032A">
            <w:pPr>
              <w:spacing w:after="0"/>
            </w:pPr>
            <w:r>
              <w:rPr>
                <w:sz w:val="21"/>
              </w:rP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EB84DA1" w14:textId="77777777" w:rsidR="006F10DC" w:rsidRDefault="006F10DC" w:rsidP="008E032A">
            <w:pPr>
              <w:spacing w:after="0"/>
            </w:pPr>
            <w:r>
              <w:rPr>
                <w:sz w:val="21"/>
              </w:rP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F86F294" w14:textId="77777777" w:rsidR="006F10DC" w:rsidRDefault="006F10DC" w:rsidP="008E032A">
            <w:pPr>
              <w:spacing w:after="0"/>
            </w:pPr>
            <w:r>
              <w:rPr>
                <w:sz w:val="21"/>
              </w:rPr>
              <w:t>Individual SUS scores;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14:paraId="5714F07B" w14:textId="77777777" w:rsidR="006F10DC" w:rsidRDefault="006F10DC" w:rsidP="008E032A">
            <w:pPr>
              <w:spacing w:after="0"/>
            </w:pPr>
            <w:r>
              <w:rPr>
                <w:sz w:val="21"/>
              </w:rPr>
              <w:t>Ten scored questionnaires</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F2A7A36" w14:textId="77777777" w:rsidR="006F10DC" w:rsidRDefault="006F10DC" w:rsidP="008E032A">
            <w:pPr>
              <w:spacing w:after="0"/>
            </w:pPr>
            <w:r>
              <w:rPr>
                <w:sz w:val="21"/>
              </w:rP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1B9F5897" w14:textId="77777777" w:rsidR="006F10DC" w:rsidRDefault="006F10DC" w:rsidP="008E032A">
            <w:pPr>
              <w:spacing w:after="0"/>
            </w:pPr>
            <w:r>
              <w:rPr>
                <w:sz w:val="21"/>
              </w:rP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14:paraId="4B164CC8" w14:textId="77777777" w:rsidR="006F10DC" w:rsidRDefault="006F10DC" w:rsidP="008E032A">
            <w:pPr>
              <w:spacing w:after="0"/>
            </w:pPr>
            <w:r>
              <w:rPr>
                <w:sz w:val="21"/>
              </w:rP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lastRenderedPageBreak/>
        <w:t>A KT example may compare the stored score before and immediately after sign-off and report scoreDelta as final score minus the previous score. Thus a hypothetical decrease from 8.50 to 7.00 is stored as −1.50, not +1.50. A later-quarter score in the generated four-quarter demonstration requires a separately imported assessment and must be labelled simulated. These outputs test the implemented arithmetic and records, not an observed decrease in actual disruption or knowledge loss. No independently labelled organizational departure or retention outcomes were available for validation of classifier accuracy. Nonfunctional evaluation can report only the access-control, error-handling, response-time, or other checks for which actual test records exist; unmeasured qualities are not claimed as established results.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30 anonymised standalone responses from colleagues employed in industry, together with manually supplied start dates for tenure calculation, and a separate generated Q1-Q4 test dataset rather than a partner organization’s employee file. The separately collected AHP and system-evaluation responses should be reported in aggregate, and any appendix containing CSV extracts or screenshots should omit email addresses and other identifiers. An employee-related risk tier can affect how a manager sees a person; KnowledgeGuard therefore presents it as decision support for knowledge-transfer preparation, not as evidence for dismissal, promotion, or an individual’s likelihood of resigning. Access checks assign functions by role. External AI input should be limited to the information needed to formulate interview questions; its generated suggestions require human review.</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0C5F0A85" w14:textId="77777777" w:rsidR="006F10DC" w:rsidRDefault="006F10DC">
      <w:pPr>
        <w:pStyle w:val="Heading1"/>
        <w:rPr>
          <w:rFonts w:ascii="Times New Roman" w:hAnsi="Times New Roman"/>
          <w:b w:val="0"/>
        </w:rPr>
      </w:pPr>
    </w:p>
    <w:p w14:paraId="240F3E61" w14:textId="77777777" w:rsidR="006F10DC" w:rsidRDefault="006F10DC">
      <w:pPr>
        <w:pStyle w:val="Heading1"/>
        <w:rPr>
          <w:rFonts w:ascii="Times New Roman" w:hAnsi="Times New Roman"/>
          <w:b w:val="0"/>
        </w:rPr>
      </w:pPr>
    </w:p>
    <w:p w14:paraId="533106F3" w14:textId="77777777" w:rsidR="006F10DC" w:rsidRDefault="006F10DC">
      <w:pPr>
        <w:pStyle w:val="Heading1"/>
        <w:rPr>
          <w:rFonts w:ascii="Times New Roman" w:hAnsi="Times New Roman"/>
          <w:b w:val="0"/>
        </w:rPr>
      </w:pPr>
    </w:p>
    <w:p w14:paraId="4D058C03" w14:textId="77777777" w:rsidR="006F10DC" w:rsidRDefault="006F10DC">
      <w:pPr>
        <w:pStyle w:val="Heading1"/>
        <w:rPr>
          <w:rFonts w:ascii="Times New Roman" w:hAnsi="Times New Roman"/>
          <w:b w:val="0"/>
        </w:rPr>
      </w:pPr>
    </w:p>
    <w:p w14:paraId="6FD5AF2E" w14:textId="77777777" w:rsidR="006F10DC" w:rsidRDefault="006F10DC">
      <w:pPr>
        <w:pStyle w:val="Heading1"/>
        <w:rPr>
          <w:rFonts w:ascii="Times New Roman" w:hAnsi="Times New Roman"/>
          <w:b w:val="0"/>
        </w:rPr>
      </w:pPr>
    </w:p>
    <w:p w14:paraId="04D9B92D" w14:textId="77777777" w:rsidR="006F10DC" w:rsidRDefault="006F10DC">
      <w:pPr>
        <w:pStyle w:val="Heading1"/>
        <w:rPr>
          <w:rFonts w:ascii="Times New Roman" w:hAnsi="Times New Roman"/>
          <w:b w:val="0"/>
        </w:rPr>
      </w:pPr>
    </w:p>
    <w:p w14:paraId="23770FDF" w14:textId="77777777" w:rsidR="006F10DC" w:rsidRDefault="006F10DC">
      <w:pPr>
        <w:pStyle w:val="Heading1"/>
        <w:rPr>
          <w:rFonts w:ascii="Times New Roman" w:hAnsi="Times New Roman"/>
          <w:b w:val="0"/>
        </w:rPr>
      </w:pP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final evaluation setting consisted of three evidence sources. Thirty anonymised standalone assessment responses were collected from colleagues employed in industry and used to demonstrate response mapping to the defined indicators. Associated employment start dates were manually supplied for this prototype evaluation so that the tenure indicator could be calculated; the application was not integrated with an organizational HR information system. A separate generated Q1-Q4 assessment and manager-validation dataset exercised repeated import, score-history and workflow behaviour; it did not contain the colleague responses and did not represent a real organizational cohort. Ten expert-comparison responses supplied the AHP calculation. A separate set of ten system-evaluation responses supplied SUS and TAM values after the evaluators used the deployed prototype. The evaluation group included HR managers, team managers, technical leads and industry colleagues. The prototype comprised a React/Vite client, Node.js/Express application server, MongoDB data store, and Python/FastAPI ML service.</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E64BFF2" w14:textId="77777777" w:rsidR="00C50885" w:rsidRDefault="00000000">
            <w:pPr>
              <w:jc w:val="center"/>
            </w:pPr>
            <w:r>
              <w:rPr>
                <w:b/>
                <w:sz w:val="22"/>
              </w:rP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14:paraId="3A247344" w14:textId="77777777" w:rsidR="00C50885" w:rsidRDefault="00000000">
            <w:pPr>
              <w:jc w:val="center"/>
            </w:pPr>
            <w:r>
              <w:rPr>
                <w:b/>
                <w:sz w:val="22"/>
              </w:rP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6D511" w14:textId="77777777" w:rsidR="00C50885" w:rsidRDefault="00000000">
            <w:pPr>
              <w:jc w:val="center"/>
            </w:pPr>
            <w:r>
              <w:rPr>
                <w:b/>
                <w:sz w:val="22"/>
              </w:rP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6E522DF" w14:textId="77777777" w:rsidR="00C50885" w:rsidRDefault="00000000">
            <w:pPr>
              <w:spacing w:after="0"/>
            </w:pPr>
            <w:r>
              <w:rPr>
                <w:sz w:val="21"/>
              </w:rP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F77A4D9" w14:textId="77777777" w:rsidR="00C50885" w:rsidRDefault="00000000">
            <w:pPr>
              <w:spacing w:after="0"/>
            </w:pPr>
            <w:r>
              <w:rPr>
                <w:sz w:val="21"/>
              </w:rP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14:paraId="1BFBD886" w14:textId="77777777" w:rsidR="00C50885" w:rsidRDefault="00000000">
            <w:pPr>
              <w:spacing w:after="0"/>
            </w:pPr>
            <w:r>
              <w:rPr>
                <w:sz w:val="21"/>
              </w:rP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524B614" w14:textId="77777777" w:rsidR="00C50885" w:rsidRDefault="00000000">
            <w:pPr>
              <w:spacing w:after="0"/>
            </w:pPr>
            <w:r>
              <w:rPr>
                <w:sz w:val="21"/>
              </w:rP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14:paraId="4C6A0232" w14:textId="77777777" w:rsidR="00C50885" w:rsidRDefault="00000000">
            <w:pPr>
              <w:spacing w:after="0"/>
            </w:pPr>
            <w:r>
              <w:rPr>
                <w:sz w:val="21"/>
              </w:rP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19E30558" w14:textId="77777777" w:rsidR="00C50885" w:rsidRDefault="00000000">
            <w:pPr>
              <w:spacing w:after="0"/>
            </w:pPr>
            <w:r>
              <w:rPr>
                <w:sz w:val="21"/>
              </w:rP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AB8522" w14:textId="77777777" w:rsidR="00C50885" w:rsidRDefault="00000000">
            <w:pPr>
              <w:spacing w:after="0"/>
            </w:pPr>
            <w:r>
              <w:rPr>
                <w:sz w:val="21"/>
              </w:rPr>
              <w:lastRenderedPageBreak/>
              <w:t>Expert AHP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1F6B59" w14:textId="77777777" w:rsidR="00C50885" w:rsidRDefault="00000000">
            <w:pPr>
              <w:spacing w:after="0"/>
            </w:pPr>
            <w:r>
              <w:rPr>
                <w:sz w:val="21"/>
              </w:rP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17663B3B" w14:textId="77777777" w:rsidR="00C50885" w:rsidRDefault="00000000">
            <w:pPr>
              <w:spacing w:after="0"/>
            </w:pPr>
            <w:r>
              <w:rPr>
                <w:sz w:val="21"/>
              </w:rPr>
              <w:t>Consistency calculation and proposed weights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5BC0A01" w14:textId="77777777" w:rsidR="00C50885" w:rsidRDefault="00000000">
            <w:pPr>
              <w:spacing w:after="0"/>
            </w:pPr>
            <w:r>
              <w:rPr>
                <w:sz w:val="21"/>
              </w:rP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19D88894" w14:textId="77777777" w:rsidR="00C50885" w:rsidRDefault="00000000">
            <w:pPr>
              <w:spacing w:after="0"/>
            </w:pPr>
            <w:r>
              <w:rPr>
                <w:sz w:val="21"/>
              </w:rP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FC62CB" w14:textId="77777777" w:rsidR="00C50885" w:rsidRDefault="00000000">
            <w:pPr>
              <w:spacing w:after="0"/>
            </w:pPr>
            <w:r>
              <w:rPr>
                <w:sz w:val="21"/>
              </w:rPr>
              <w:t>Descriptive SUS and TAM findings</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implemented artefact provides five connected capabilities. First, an authorized administrator or HR user can import assessment CSV files and map recognized answers to the four survey-derived indicators. Second, the scoring engine records a transparent formula score, a manager score when available, a supporting ML score, a final score, tier, confidence level and score change. Third, managers can validate a team member’s assessment and view the risk explanation. Fourth, high- and critical-risk holders can enter a five-stage knowledge-transfer plan with a backup employee. The plan screen pre-populates knowledge areas from the holder’s knowledge tags and ranks candidates with shared tags first; it is a recommendation aid, not a mandatory tag-match rule. Both the interface and backend block high- or critical-risk candidates from becoming backups. Finally, researcher and HR views provide AHP calculations, bias summaries, metrics and exports.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5.1: Redacted preliminary assessment screenshot for one synthetic demonstration employee. Use the Overview and Validation tab before submitting manager validation. Show the indicator breakdown, formula score, supporting ML score, preliminary weighted score, risk tier or confidence, and the visible message that manager review is pending. Blur employee name, email address, identifiers and confidential work details.</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 xml:space="preserve">FIGURE 5.2: Redacted screenshot of the same synthetic demonstration employee after </w:t>
      </w:r>
      <w:r>
        <w:rPr>
          <w:sz w:val="22"/>
        </w:rPr>
        <w:lastRenderedPageBreak/>
        <w:t>manager validation. Use the Overview and Validation tab after saving the review. Show the manager score, validated status, review note or recorded decision, and the resulting final weighted score. Blur all names, email addresses, identifiers and confidential work details.</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5.3: Redacted knowledge-transfer plan creation screenshot. Show the High or Critical knowledge holder, backup receiver selection, holder knowledge-tag suggestions, and the disabled or labelled High or Critical backup candidates. Also retain the visible five-stage plan preview. Blur all names, email addresses, identifiers and confidential work details.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5.4: Redacted expanded active knowledge-transfer plan screenshot. Show the separate documentation, shadowing, structured-interview, competence-validation, and sign-off tasks with their progress or status. Blur all names, email addresses, identifiers and confidential work details.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5.5: Redacted AHP-validation screenshot. Show the calculated CR = 0.2000, the inconsistent-result warning and the disabled Apply button. Do not show account information or other confidential data.</w:t>
      </w:r>
    </w:p>
    <w:p w14:paraId="4BC7FA53" w14:textId="77777777" w:rsidR="00C50885" w:rsidRDefault="00000000">
      <w:pPr>
        <w:pStyle w:val="KGCaption"/>
        <w:jc w:val="center"/>
      </w:pPr>
      <w:r>
        <w:t>Figure 5.5: AHP consistency validation, showing that an inconsistent comparison set is prevented from changing the live scoring weights.</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lastRenderedPageBreak/>
        <w:t>FIGURE PLACEHOLDER</w:t>
      </w:r>
      <w:r>
        <w:rPr>
          <w:sz w:val="22"/>
        </w:rPr>
        <w:br/>
        <w:t>FIGURE 5.6: Redacted Score History tab screenshot from the separate generated Q1-Q4 workflow dataset. Show the quarter labels and corresponding score-history rows. Do not show employee identifiers. The caption must state that these are generated demonstration records, not real employee longitudinal observations.</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pPr>
              <w:spacing w:after="0"/>
            </w:pPr>
            <w:r>
              <w:t>Submit an inconsistent AHP matrix with CR = 0.2000</w:t>
            </w:r>
          </w:p>
        </w:tc>
        <w:tc>
          <w:tcPr>
            <w:tcW w:type="dxa" w:w="1500"/>
          </w:tcPr>
          <w:p>
            <w:pPr>
              <w:spacing w:after="0"/>
            </w:pPr>
            <w:r>
              <w:t>Apply action is disabled and inconsistent weights are not applied.</w:t>
            </w:r>
          </w:p>
        </w:tc>
        <w:tc>
          <w:tcPr>
            <w:tcW w:type="dxa" w:w="1500"/>
          </w:tcPr>
          <w:p>
            <w:pPr>
              <w:spacing w:after="0"/>
            </w:pPr>
            <w:r>
              <w:t>The interface displayed CR = 0.2000 as inconsistent and disabled the Apply action. Three AHP unit tests also accepted a consistent matrix and rejected inconsistent or invalid matrices.</w:t>
            </w:r>
          </w:p>
        </w:tc>
        <w:tc>
          <w:tcPr>
            <w:tcW w:type="dxa" w:w="1500"/>
          </w:tcPr>
          <w:p>
            <w:pPr>
              <w:spacing w:after="0"/>
            </w:pPr>
            <w:r>
              <w:t>Pass - UI and unit test</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The group AHP matrix was calculated from the ten expert responses using geometric means. The proposed priority vector was EU = 0.3179, DG = 0.3234, PC = 0.1812, CD = 0.1045 and T = 0.0730. The calculated lambda maximum was 5.8959, giving CI = 0.2240 and CR = 0.2000. Because the consistency ratio exceeded the predefined 0.10 threshold, the proposed weights were not accepted for interface application. The baseline weights of 0.25, 0.20, 0.20, 0.20 and 0.15 therefore remained the documented configuration.</w:t>
      </w:r>
    </w:p>
    <w:p w14:paraId="109FB052" w14:textId="77777777" w:rsidR="00C50885" w:rsidRDefault="00000000">
      <w:pPr>
        <w:pStyle w:val="KGCaption"/>
      </w:pPr>
      <w:r>
        <w:t>Table 5.4: AHP aggregation result</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93BEF23"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6B51F824" w14:textId="77777777" w:rsidR="00C50885" w:rsidRDefault="00000000">
            <w:pPr>
              <w:jc w:val="center"/>
            </w:pPr>
            <w:r>
              <w:rPr>
                <w:b/>
                <w:sz w:val="22"/>
              </w:rPr>
              <w:t>Observed 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42A96288" w14:textId="77777777" w:rsidR="00C50885" w:rsidRDefault="00000000">
            <w:pPr>
              <w:jc w:val="center"/>
            </w:pPr>
            <w:r>
              <w:rPr>
                <w:b/>
                <w:sz w:val="22"/>
              </w:rPr>
              <w:t>Decision rule</w:t>
            </w:r>
          </w:p>
        </w:tc>
        <w:tc>
          <w:tcPr>
            <w:tcW w:w="2250" w:type="dxa"/>
            <w:tcBorders>
              <w:top w:val="single" w:sz="4" w:space="0" w:color="000000"/>
              <w:left w:val="single" w:sz="4" w:space="0" w:color="000000"/>
              <w:bottom w:val="single" w:sz="4" w:space="0" w:color="000000"/>
              <w:right w:val="single" w:sz="4" w:space="0" w:color="000000"/>
            </w:tcBorders>
            <w:vAlign w:val="center"/>
          </w:tcPr>
          <w:p w14:paraId="7735D325" w14:textId="77777777" w:rsidR="00C50885" w:rsidRDefault="00000000">
            <w:pPr>
              <w:jc w:val="center"/>
            </w:pPr>
            <w:r>
              <w:rPr>
                <w:b/>
                <w:sz w:val="22"/>
              </w:rPr>
              <w:t>Outcome</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2D5E98C" w14:textId="77777777" w:rsidR="00C50885" w:rsidRDefault="00000000">
            <w:pPr>
              <w:spacing w:after="0"/>
            </w:pPr>
            <w:r>
              <w:rPr>
                <w:sz w:val="21"/>
              </w:rPr>
              <w:t>Proposed EU weight</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D97E6" w14:textId="77777777" w:rsidR="00C50885" w:rsidRDefault="00000000">
            <w:pPr>
              <w:spacing w:after="0"/>
            </w:pPr>
            <w:r>
              <w:rPr>
                <w:sz w:val="21"/>
              </w:rPr>
              <w:t>0.3179</w:t>
            </w:r>
          </w:p>
        </w:tc>
        <w:tc>
          <w:tcPr>
            <w:tcW w:w="2250" w:type="dxa"/>
            <w:tcBorders>
              <w:top w:val="single" w:sz="4" w:space="0" w:color="000000"/>
              <w:left w:val="single" w:sz="4" w:space="0" w:color="000000"/>
              <w:bottom w:val="single" w:sz="4" w:space="0" w:color="000000"/>
              <w:right w:val="single" w:sz="4" w:space="0" w:color="000000"/>
            </w:tcBorders>
            <w:vAlign w:val="center"/>
          </w:tcPr>
          <w:p w14:paraId="6E6905BA" w14:textId="77777777" w:rsidR="00C50885" w:rsidRDefault="00000000">
            <w:pPr>
              <w:spacing w:after="0"/>
            </w:pPr>
            <w:r>
              <w:rPr>
                <w:sz w:val="21"/>
              </w:rPr>
              <w:t>Reported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4E0DB318" w14:textId="77777777" w:rsidR="00C50885" w:rsidRDefault="00000000">
            <w:pPr>
              <w:spacing w:after="0"/>
            </w:pPr>
            <w:r>
              <w:rPr>
                <w:sz w:val="21"/>
              </w:rPr>
              <w:t>Not applied</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5D18B0" w14:textId="77777777" w:rsidR="00C50885" w:rsidRDefault="00000000">
            <w:pPr>
              <w:spacing w:after="0"/>
            </w:pPr>
            <w:r>
              <w:rPr>
                <w:sz w:val="21"/>
              </w:rPr>
              <w:t>Proposed DG weight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88E9AF" w14:textId="77777777" w:rsidR="00C50885" w:rsidRDefault="00000000">
            <w:pPr>
              <w:spacing w:after="0"/>
            </w:pPr>
            <w:r>
              <w:rPr>
                <w:sz w:val="21"/>
              </w:rPr>
              <w:t>0.3234</w:t>
            </w:r>
          </w:p>
        </w:tc>
        <w:tc>
          <w:tcPr>
            <w:tcW w:w="2250" w:type="dxa"/>
            <w:tcBorders>
              <w:top w:val="single" w:sz="4" w:space="0" w:color="000000"/>
              <w:left w:val="single" w:sz="4" w:space="0" w:color="000000"/>
              <w:bottom w:val="single" w:sz="4" w:space="0" w:color="000000"/>
              <w:right w:val="single" w:sz="4" w:space="0" w:color="000000"/>
            </w:tcBorders>
            <w:vAlign w:val="center"/>
          </w:tcPr>
          <w:p w14:paraId="3B79BEEF" w14:textId="77777777" w:rsidR="00C50885" w:rsidRDefault="00000000">
            <w:pPr>
              <w:spacing w:after="0"/>
            </w:pPr>
            <w:r>
              <w:rPr>
                <w:sz w:val="21"/>
              </w:rPr>
              <w:t>Reported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489EA0EE" w14:textId="77777777" w:rsidR="00C50885" w:rsidRDefault="00000000">
            <w:pPr>
              <w:spacing w:after="0"/>
            </w:pPr>
            <w:r>
              <w:rPr>
                <w:sz w:val="21"/>
              </w:rPr>
              <w:t>Not applied</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DEDE750" w14:textId="77777777" w:rsidR="00C50885" w:rsidRDefault="00000000">
            <w:pPr>
              <w:spacing w:after="0"/>
            </w:pPr>
            <w:r>
              <w:rPr>
                <w:sz w:val="21"/>
              </w:rPr>
              <w:t>Proposed PC, CD and T weights</w:t>
            </w:r>
          </w:p>
        </w:tc>
        <w:tc>
          <w:tcPr>
            <w:tcW w:w="2250" w:type="dxa"/>
            <w:tcBorders>
              <w:top w:val="single" w:sz="4" w:space="0" w:color="000000"/>
              <w:left w:val="single" w:sz="4" w:space="0" w:color="000000"/>
              <w:bottom w:val="single" w:sz="4" w:space="0" w:color="000000"/>
              <w:right w:val="single" w:sz="4" w:space="0" w:color="000000"/>
            </w:tcBorders>
            <w:vAlign w:val="center"/>
          </w:tcPr>
          <w:p w14:paraId="1ACFB458" w14:textId="77777777" w:rsidR="00C50885" w:rsidRDefault="00000000">
            <w:pPr>
              <w:spacing w:after="0"/>
            </w:pPr>
            <w:r>
              <w:rPr>
                <w:sz w:val="21"/>
              </w:rPr>
              <w:t>0.1812, 0.1045, 0.0730</w:t>
            </w:r>
          </w:p>
        </w:tc>
        <w:tc>
          <w:tcPr>
            <w:tcW w:w="2250" w:type="dxa"/>
            <w:tcBorders>
              <w:top w:val="single" w:sz="4" w:space="0" w:color="000000"/>
              <w:left w:val="single" w:sz="4" w:space="0" w:color="000000"/>
              <w:bottom w:val="single" w:sz="4" w:space="0" w:color="000000"/>
              <w:right w:val="single" w:sz="4" w:space="0" w:color="000000"/>
            </w:tcBorders>
            <w:vAlign w:val="center"/>
          </w:tcPr>
          <w:p w14:paraId="2D464400" w14:textId="77777777" w:rsidR="00C50885" w:rsidRDefault="00000000">
            <w:pPr>
              <w:spacing w:after="0"/>
            </w:pPr>
            <w:r>
              <w:rPr>
                <w:sz w:val="21"/>
              </w:rPr>
              <w:t>Reported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7BAB7808" w14:textId="77777777" w:rsidR="00C50885" w:rsidRDefault="00000000">
            <w:pPr>
              <w:spacing w:after="0"/>
            </w:pPr>
            <w:r>
              <w:rPr>
                <w:sz w:val="21"/>
              </w:rPr>
              <w:t>Not applied</w:t>
            </w:r>
          </w:p>
        </w:tc>
      </w:tr>
      <w:tr w:rsidR="00C50885" w14:paraId="48DC4CD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39D4793" w14:textId="77777777" w:rsidR="00C50885" w:rsidRDefault="00000000">
            <w:pPr>
              <w:spacing w:after="0"/>
            </w:pPr>
            <w:r>
              <w:rPr>
                <w:sz w:val="21"/>
              </w:rPr>
              <w:t>Consistency ratio</w:t>
            </w:r>
          </w:p>
        </w:tc>
        <w:tc>
          <w:tcPr>
            <w:tcW w:w="2250" w:type="dxa"/>
            <w:tcBorders>
              <w:top w:val="single" w:sz="4" w:space="0" w:color="000000"/>
              <w:left w:val="single" w:sz="4" w:space="0" w:color="000000"/>
              <w:bottom w:val="single" w:sz="4" w:space="0" w:color="000000"/>
              <w:right w:val="single" w:sz="4" w:space="0" w:color="000000"/>
            </w:tcBorders>
            <w:vAlign w:val="center"/>
          </w:tcPr>
          <w:p w14:paraId="03CFADBE" w14:textId="77777777" w:rsidR="00C50885" w:rsidRDefault="00000000">
            <w:pPr>
              <w:spacing w:after="0"/>
            </w:pPr>
            <w:r>
              <w:rPr>
                <w:sz w:val="21"/>
              </w:rPr>
              <w:t>0.2000</w:t>
            </w:r>
          </w:p>
        </w:tc>
        <w:tc>
          <w:tcPr>
            <w:tcW w:w="2250" w:type="dxa"/>
            <w:tcBorders>
              <w:top w:val="single" w:sz="4" w:space="0" w:color="000000"/>
              <w:left w:val="single" w:sz="4" w:space="0" w:color="000000"/>
              <w:bottom w:val="single" w:sz="4" w:space="0" w:color="000000"/>
              <w:right w:val="single" w:sz="4" w:space="0" w:color="000000"/>
            </w:tcBorders>
            <w:vAlign w:val="center"/>
          </w:tcPr>
          <w:p w14:paraId="5149159C" w14:textId="77777777" w:rsidR="00C50885" w:rsidRDefault="00000000">
            <w:pPr>
              <w:spacing w:after="0"/>
            </w:pPr>
            <w:r>
              <w:rPr>
                <w:sz w:val="21"/>
              </w:rPr>
              <w:t>Accept only when CR &lt; 0.10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BCED55D" w14:textId="77777777" w:rsidR="00C50885" w:rsidRDefault="00000000">
            <w:pPr>
              <w:spacing w:after="0"/>
            </w:pPr>
            <w:r>
              <w:rPr>
                <w:sz w:val="21"/>
              </w:rPr>
              <w:t>Inconsistent</w:t>
            </w:r>
          </w:p>
        </w:tc>
      </w:tr>
    </w:tbl>
    <w:p w14:paraId="467DB2B2" w14:textId="77777777" w:rsidR="00C50885" w:rsidRDefault="00C50885">
      <w:pPr>
        <w:spacing w:after="60"/>
      </w:pPr>
    </w:p>
    <w:p w14:paraId="5F3D2C88" w14:textId="77777777" w:rsidR="00C50885" w:rsidRDefault="00000000">
      <w:pPr>
        <w:ind w:firstLine="360"/>
        <w:jc w:val="both"/>
      </w:pPr>
      <w:r>
        <w:t>The ten SUS scores were 92.5, 90.0, 87.5, 85.0, 87.5, 87.5, 87.5, 95.0, 92.5 and 90.0. Their mean was 89.50 with sample standard deviation 3.07 and range 85.0 to 95.0. The values describe high perceived usability among this small evaluator group. They do not estimate usability for a wider workforce.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5.7: SUS score distribution. Create a dot plot or column chart of the ten individual scores: 92.5, 90.0, 87.5, 85.0, 87.5, 87.5, 87.5, 95.0, 92.5 and 90.0. Label the y-axis 'SUS score (0-100)', show n = 10, and add a horizontal mean line at 89.50. Do not identify individual respondents.</w:t>
      </w:r>
    </w:p>
    <w:p w14:paraId="2A59F2F5" w14:textId="77777777" w:rsidR="00C50885" w:rsidRDefault="00000000">
      <w:pPr>
        <w:pStyle w:val="KGCaption"/>
        <w:jc w:val="center"/>
      </w:pPr>
      <w:r>
        <w:t>Figure 5.7: Distribution of individual System Usability Scale scores.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5.8: TAM construct means. Create a three-bar chart with Perceived Usefulness = 4.43, Perceived Ease of Use = 4.53 and Behavioural Intention = 4.60. Use a y-axis from 1 to 5, add n = 10 in the caption, and include no decorative colours or respondent identifiers.</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metrics were obtained from synthetic training data. The saved model used 500 generated profiles and reported training accuracy 0.9780, weighted F1 0.9781, and mean stratified cross-validation F1 0.8526 with standard deviation 0.0487. Its saved class counts included low, medium and high labels but no critical label. These values show how the classifier reproduced formula-generated labels; they do not validate prediction of departure, knowledge loss or continuity outcomes.</w:t>
      </w:r>
    </w:p>
    <w:p w14:paraId="2ED6458E" w14:textId="77777777" w:rsidR="00C50885" w:rsidRDefault="00000000">
      <w:pPr>
        <w:ind w:firstLine="360"/>
        <w:jc w:val="both"/>
      </w:pPr>
      <w:r>
        <w:t xml:space="preserve">The implemented training route can also use real manager-validated assessments. When synthetic training is disabled, it extracts the same five features from records that contain both employee and manager scores, derives a tier label from the manager-scored formula, and requires at least ten usable records unless controlled augmentation is explicitly selected. This </w:t>
      </w:r>
      <w:r>
        <w:lastRenderedPageBreak/>
        <w:t>capability supports future organizational retraining. It does not by itself establish predictive validity because the labels remain risk tiers derived from assessment information; independently observed continuity or knowledge-retention outcomes would still be needed.</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71E8B0" w14:textId="77777777" w:rsidR="00C50885" w:rsidRDefault="00000000">
            <w:pPr>
              <w:jc w:val="center"/>
            </w:pPr>
            <w:r>
              <w:rPr>
                <w:b/>
                <w:sz w:val="22"/>
              </w:rP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14:paraId="23F88107" w14:textId="77777777" w:rsidR="00C50885" w:rsidRDefault="00000000">
            <w:pPr>
              <w:jc w:val="center"/>
            </w:pPr>
            <w:r>
              <w:rPr>
                <w:b/>
                <w:sz w:val="22"/>
              </w:rP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14:paraId="0F7AC243" w14:textId="77777777" w:rsidR="00C50885" w:rsidRDefault="00000000">
            <w:pPr>
              <w:jc w:val="center"/>
            </w:pPr>
            <w:r>
              <w:rPr>
                <w:b/>
                <w:sz w:val="22"/>
              </w:rP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751A75" w14:textId="77777777" w:rsidR="00C50885" w:rsidRDefault="00000000">
            <w:pPr>
              <w:spacing w:after="0"/>
            </w:pPr>
            <w:r>
              <w:rPr>
                <w:sz w:val="21"/>
              </w:rPr>
              <w:t>O1</w:t>
            </w:r>
          </w:p>
        </w:tc>
        <w:tc>
          <w:tcPr>
            <w:tcW w:w="3000" w:type="dxa"/>
            <w:tcBorders>
              <w:top w:val="single" w:sz="4" w:space="0" w:color="000000"/>
              <w:left w:val="single" w:sz="4" w:space="0" w:color="000000"/>
              <w:bottom w:val="single" w:sz="4" w:space="0" w:color="000000"/>
              <w:right w:val="single" w:sz="4" w:space="0" w:color="000000"/>
            </w:tcBorders>
            <w:vAlign w:val="center"/>
          </w:tcPr>
          <w:p w14:paraId="7C84E99F" w14:textId="77777777" w:rsidR="00C50885" w:rsidRDefault="00000000">
            <w:pPr>
              <w:spacing w:after="0"/>
            </w:pPr>
            <w:r>
              <w:rPr>
                <w:sz w:val="21"/>
              </w:rPr>
              <w:t>Five indicators, mapped responses, quality flags and an AHP consistency outcome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14:paraId="120360EA" w14:textId="77777777" w:rsidR="00C50885" w:rsidRDefault="00000000">
            <w:pPr>
              <w:spacing w:after="0"/>
            </w:pPr>
            <w:r>
              <w:rPr>
                <w:sz w:val="21"/>
              </w:rPr>
              <w:t>The assessment design can be demonstrated; weights are not validated for a population</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7E0DAA5" w14:textId="77777777" w:rsidR="00C50885" w:rsidRDefault="00000000">
            <w:pPr>
              <w:spacing w:after="0"/>
            </w:pPr>
            <w:r>
              <w:rPr>
                <w:sz w:val="21"/>
              </w:rPr>
              <w:t>O2</w:t>
            </w:r>
          </w:p>
        </w:tc>
        <w:tc>
          <w:tcPr>
            <w:tcW w:w="3000" w:type="dxa"/>
            <w:tcBorders>
              <w:top w:val="single" w:sz="4" w:space="0" w:color="000000"/>
              <w:left w:val="single" w:sz="4" w:space="0" w:color="000000"/>
              <w:bottom w:val="single" w:sz="4" w:space="0" w:color="000000"/>
              <w:right w:val="single" w:sz="4" w:space="0" w:color="000000"/>
            </w:tcBorders>
            <w:vAlign w:val="center"/>
          </w:tcPr>
          <w:p w14:paraId="6830D31E" w14:textId="77777777" w:rsidR="00C50885" w:rsidRDefault="00000000">
            <w:pPr>
              <w:spacing w:after="0"/>
            </w:pPr>
            <w:r>
              <w:rPr>
                <w:sz w:val="21"/>
              </w:rPr>
              <w:t>The literature review informed indicator, review and KT design choices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3420044F" w14:textId="77777777" w:rsidR="00C50885" w:rsidRDefault="00000000">
            <w:pPr>
              <w:spacing w:after="0"/>
            </w:pPr>
            <w:r>
              <w:rPr>
                <w:sz w:val="21"/>
              </w:rPr>
              <w:t>The design rationale is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88D1C9A" w14:textId="77777777" w:rsidR="00C50885" w:rsidRDefault="00000000">
            <w:pPr>
              <w:spacing w:after="0"/>
            </w:pPr>
            <w:r>
              <w:rPr>
                <w:sz w:val="21"/>
              </w:rPr>
              <w:t>O3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8EFEA9" w14:textId="77777777" w:rsidR="00C50885" w:rsidRDefault="00000000">
            <w:pPr>
              <w:spacing w:after="0"/>
            </w:pPr>
            <w:r>
              <w:rPr>
                <w:sz w:val="21"/>
              </w:rP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30CC7482" w14:textId="77777777" w:rsidR="00C50885" w:rsidRDefault="00000000">
            <w:pPr>
              <w:spacing w:after="0"/>
            </w:pPr>
            <w:r>
              <w:rPr>
                <w:sz w:val="21"/>
              </w:rP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FDF5B21" w14:textId="77777777" w:rsidR="00C50885" w:rsidRDefault="00000000">
            <w:pPr>
              <w:spacing w:after="0"/>
            </w:pPr>
            <w:r>
              <w:rPr>
                <w:sz w:val="21"/>
              </w:rPr>
              <w:t>O4</w:t>
            </w:r>
          </w:p>
        </w:tc>
        <w:tc>
          <w:tcPr>
            <w:tcW w:w="3000" w:type="dxa"/>
            <w:tcBorders>
              <w:top w:val="single" w:sz="4" w:space="0" w:color="000000"/>
              <w:left w:val="single" w:sz="4" w:space="0" w:color="000000"/>
              <w:bottom w:val="single" w:sz="4" w:space="0" w:color="000000"/>
              <w:right w:val="single" w:sz="4" w:space="0" w:color="000000"/>
            </w:tcBorders>
            <w:vAlign w:val="center"/>
          </w:tcPr>
          <w:p w14:paraId="06B7AF39" w14:textId="77777777" w:rsidR="00C50885" w:rsidRDefault="00000000">
            <w:pPr>
              <w:spacing w:after="0"/>
            </w:pPr>
            <w:r>
              <w:rPr>
                <w:sz w:val="21"/>
              </w:rPr>
              <w:t xml:space="preserve">SUS and TAM summaries from </w:t>
            </w:r>
            <w:r>
              <w:rPr>
                <w:sz w:val="21"/>
              </w:rPr>
              <w:lastRenderedPageBreak/>
              <w:t>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14:paraId="4FC9D3F4" w14:textId="77777777" w:rsidR="00C50885" w:rsidRDefault="00000000">
            <w:pPr>
              <w:spacing w:after="0"/>
            </w:pPr>
            <w:r>
              <w:rPr>
                <w:sz w:val="21"/>
              </w:rPr>
              <w:lastRenderedPageBreak/>
              <w:t xml:space="preserve">The prototype received </w:t>
            </w:r>
            <w:r>
              <w:rPr>
                <w:sz w:val="21"/>
              </w:rPr>
              <w:lastRenderedPageBreak/>
              <w:t>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evidence sources are reported separately because they answer different questions: real-input mapping, generated workflow behaviour, AHP consistency, synthetic ML performance, and descriptive evaluator feedback only.</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 working assessment-to-transfer prototype, mapping evidence from 30 anonymised industry-colleague responses, an inconsistent AHP result that retained default weights, and favourable usability and acceptance summaries from ten evaluators. A separate generated Q1-Q4 test dataset and synthetic ML data demonstrate system behaviour, not effectiveness after a real transition. Chapter 6 interprets these findings against the research question and literature.</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 xml:space="preserve">The AHP result demonstrates a useful boundary rather than a successful calibration. The group CR of 0.2000 shows that the available ten comparisons were not sufficiently consistent </w:t>
      </w:r>
      <w:r>
        <w:lastRenderedPageBreak/>
        <w:t>under the study rule. Retaining predefined weights was the appropriate outcome. The result does not show that the defaults are correct; it shows that the prototype did not automatically replace them with an internally inconsistent proposal through its interface.</w:t>
      </w:r>
    </w:p>
    <w:p w14:paraId="73EEEF4E" w14:textId="77777777" w:rsidR="00C50885" w:rsidRDefault="00000000">
      <w:pPr>
        <w:ind w:firstLine="360"/>
        <w:jc w:val="both"/>
      </w:pPr>
      <w:r>
        <w:t>The usability findings were favourable. A mean SUS of 89.50 and the three TAM means above 4.4 indicate that the ten evaluators responded positively to usability, usefulness, ease of use and intended use. These findings support continued prototype development, but the sample is small and its recruitment and role breakdown are not fully documented. They should therefore be defended as descriptive evaluator feedback, not as evidence that a whole organization would adopt the system.</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system design is consistent with literature that distinguishes explicit from tacit knowledge and emphasizes that transfer requires more than storing documents [1], [2]. The documentation, shadowing, interview and practice steps provide different opportunities to record and use knowledge. This is also consistent with transfer procedures reviewed by Igoa-Iraola and Diez [18]. However, the completed workflow record does not prove that the backup can perform work after the holder leaves, which is a limitation noted by knowledge-transfer research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Taken together, the evidence supports a bounded claim about KnowledgeGuard. The application operationalizes a literature-informed assessment, preserves visible decision rules, incorporates manager judgement, and records a structured transfer process. It does not convert uncertain organizational conditions into an automatic employment decision. This distinction is important for practical use because a manager can inspect the indicators, response-quality warnings, score components, backup recommendation, task evidence and approval state before deciding how to act. The prototype therefore contributes traceability as well as automation. It makes the route from assessment input to proposed continuity action inspectable, while retaining human accountability at points where context, fairness and practical competence matter. The evidence is sufficient to demonstrate the prototype's internal workflow and evaluator response, but its applicability to a particular organization remains conditional on local calibration, governance, data quality and field evaluation. Future use should therefore begin with a limited, consented pilot in which managers and employees can challenge outputs, document exceptions, and determine whether the workflow improves continuity without creating avoidable burden or unfairness in practice.</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 xml:space="preserve">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AHP and ten evaluation responses are small convenience groups with incomplete documented recruitment and participant-role information. Third, the ML labels are generated </w:t>
      </w:r>
      <w:r>
        <w:lastRenderedPageBreak/>
        <w:t>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is currently based on questionnaires and CSV import. The prototype does not demonstrate automated integration with HR information systems, source-control platforms, project-management tools, or documentation repositories, and therefore does not establish the completeness, accuracy, fairness, or operational acceptability of data drawn from those systems. Fifth, the AHP route now recalculates consistency from the raw matrix before applying weights, but the reported checks are unit-level implementation tests rather than a live organizational deployment test. Sixth, the repository provides implementation evidence for authorization controls and ML fallback, but it does not contain a full penetration, performance or scalability test report. Finally, sign-off and score recalculation are workflow outputs; they do not show lasting backup competence or retained knowledge after a transition.</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that collects real assessment and manager-validation records over multiple periods. The study should measure whether a backup can complete critical work after a transition and should include independent outcome labels before ML evaluation. The model should be trained with all relevant risk tiers. Further work should also conduct endpoint-level AHP tests, role-based security testing, load and response-time tests, and user studies with documented recruitment and task protocols.</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bookmarkStart w:id="72" w:name="_Toc241869563"/>
      <w:r>
        <w:rPr>
          <w:rFonts w:ascii="Times New Roman" w:hAnsi="Times New Roman"/>
          <w:b w:val="0"/>
        </w:rPr>
        <w:lastRenderedPageBreak/>
        <w:t>Appendix B: AHP expert-comparison instrument and calculation</w:t>
      </w:r>
      <w:bookmarkEnd w:id="72"/>
    </w:p>
    <w:p w14:paraId="28259150" w14:textId="77777777" w:rsidR="00C50885" w:rsidRDefault="00000000">
      <w:pPr>
        <w:ind w:firstLine="360"/>
        <w:jc w:val="both"/>
      </w:pPr>
      <w:r>
        <w:t>The ten pairwise comparisons used Saaty's 1-9 scale: EU/DG, EU/PC, EU/CD, EU/T, DG/PC, DG/CD, DG/T, PC/CD, PC/T and CD/T. The following de-identified group matrix was calculated from the ten collected responses by taking the geometric mean of each comparison. No respondent identities or timestamps are included.</w:t>
      </w:r>
    </w:p>
    <w:p w14:paraId="44446688" w14:textId="77777777" w:rsidR="00C50885" w:rsidRDefault="00000000">
      <w:pPr>
        <w:pStyle w:val="KGCaption"/>
      </w:pPr>
      <w:r>
        <w:t>Table B.1: Aggregated AHP geometric-mean matrix</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0F1E394A" w14:textId="77777777" w:rsidR="00C50885" w:rsidRDefault="00000000">
            <w:pPr>
              <w:jc w:val="center"/>
            </w:pPr>
            <w:r>
              <w:rPr>
                <w:b/>
                <w:sz w:val="22"/>
              </w:rPr>
              <w:t>Factor</w:t>
            </w:r>
          </w:p>
        </w:tc>
        <w:tc>
          <w:tcPr>
            <w:tcW w:w="1500" w:type="dxa"/>
            <w:tcBorders>
              <w:top w:val="single" w:sz="4" w:space="0" w:color="000000"/>
              <w:left w:val="single" w:sz="4" w:space="0" w:color="000000"/>
              <w:bottom w:val="single" w:sz="4" w:space="0" w:color="000000"/>
              <w:right w:val="single" w:sz="4" w:space="0" w:color="000000"/>
            </w:tcBorders>
            <w:vAlign w:val="center"/>
          </w:tcPr>
          <w:p w14:paraId="1588831C" w14:textId="77777777" w:rsidR="00C50885" w:rsidRDefault="00000000">
            <w:pPr>
              <w:jc w:val="center"/>
            </w:pPr>
            <w:r>
              <w:rPr>
                <w:b/>
                <w:sz w:val="22"/>
              </w:rPr>
              <w:t>EU</w:t>
            </w:r>
          </w:p>
        </w:tc>
        <w:tc>
          <w:tcPr>
            <w:tcW w:w="1500" w:type="dxa"/>
            <w:tcBorders>
              <w:top w:val="single" w:sz="4" w:space="0" w:color="000000"/>
              <w:left w:val="single" w:sz="4" w:space="0" w:color="000000"/>
              <w:bottom w:val="single" w:sz="4" w:space="0" w:color="000000"/>
              <w:right w:val="single" w:sz="4" w:space="0" w:color="000000"/>
            </w:tcBorders>
            <w:vAlign w:val="center"/>
          </w:tcPr>
          <w:p w14:paraId="311A77A1" w14:textId="77777777" w:rsidR="00C50885" w:rsidRDefault="00000000">
            <w:pPr>
              <w:jc w:val="center"/>
            </w:pPr>
            <w:r>
              <w:rPr>
                <w:b/>
                <w:sz w:val="22"/>
              </w:rPr>
              <w:t>DG</w:t>
            </w:r>
          </w:p>
        </w:tc>
        <w:tc>
          <w:tcPr>
            <w:tcW w:w="1500" w:type="dxa"/>
            <w:tcBorders>
              <w:top w:val="single" w:sz="4" w:space="0" w:color="000000"/>
              <w:left w:val="single" w:sz="4" w:space="0" w:color="000000"/>
              <w:bottom w:val="single" w:sz="4" w:space="0" w:color="000000"/>
              <w:right w:val="single" w:sz="4" w:space="0" w:color="000000"/>
            </w:tcBorders>
            <w:vAlign w:val="center"/>
          </w:tcPr>
          <w:p w14:paraId="5F6C26A4" w14:textId="77777777" w:rsidR="00C50885" w:rsidRDefault="00000000">
            <w:pPr>
              <w:jc w:val="center"/>
            </w:pPr>
            <w:r>
              <w:rPr>
                <w:b/>
                <w:sz w:val="22"/>
              </w:rPr>
              <w:t>PC</w:t>
            </w:r>
          </w:p>
        </w:tc>
        <w:tc>
          <w:tcPr>
            <w:tcW w:w="1500" w:type="dxa"/>
            <w:tcBorders>
              <w:top w:val="single" w:sz="4" w:space="0" w:color="000000"/>
              <w:left w:val="single" w:sz="4" w:space="0" w:color="000000"/>
              <w:bottom w:val="single" w:sz="4" w:space="0" w:color="000000"/>
              <w:right w:val="single" w:sz="4" w:space="0" w:color="000000"/>
            </w:tcBorders>
            <w:vAlign w:val="center"/>
          </w:tcPr>
          <w:p w14:paraId="53134289" w14:textId="77777777" w:rsidR="00C50885" w:rsidRDefault="00000000">
            <w:pPr>
              <w:jc w:val="center"/>
            </w:pPr>
            <w:r>
              <w:rPr>
                <w:b/>
                <w:sz w:val="22"/>
              </w:rPr>
              <w:t>CD</w:t>
            </w:r>
          </w:p>
        </w:tc>
        <w:tc>
          <w:tcPr>
            <w:tcW w:w="1500" w:type="dxa"/>
            <w:tcBorders>
              <w:top w:val="single" w:sz="4" w:space="0" w:color="000000"/>
              <w:left w:val="single" w:sz="4" w:space="0" w:color="000000"/>
              <w:bottom w:val="single" w:sz="4" w:space="0" w:color="000000"/>
              <w:right w:val="single" w:sz="4" w:space="0" w:color="000000"/>
            </w:tcBorders>
            <w:vAlign w:val="center"/>
          </w:tcPr>
          <w:p w14:paraId="24EC5D42" w14:textId="77777777" w:rsidR="00C50885" w:rsidRDefault="00000000">
            <w:pPr>
              <w:jc w:val="center"/>
            </w:pPr>
            <w:r>
              <w:rPr>
                <w:b/>
                <w:sz w:val="22"/>
              </w:rPr>
              <w:t>T</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327BBFF4" w14:textId="77777777" w:rsidR="00C50885" w:rsidRDefault="00000000">
            <w:pPr>
              <w:spacing w:after="0"/>
            </w:pPr>
            <w:r>
              <w:rPr>
                <w:sz w:val="21"/>
              </w:rPr>
              <w:t>EU</w:t>
            </w:r>
          </w:p>
        </w:tc>
        <w:tc>
          <w:tcPr>
            <w:tcW w:w="1500" w:type="dxa"/>
            <w:tcBorders>
              <w:top w:val="single" w:sz="4" w:space="0" w:color="000000"/>
              <w:left w:val="single" w:sz="4" w:space="0" w:color="000000"/>
              <w:bottom w:val="single" w:sz="4" w:space="0" w:color="000000"/>
              <w:right w:val="single" w:sz="4" w:space="0" w:color="000000"/>
            </w:tcBorders>
            <w:vAlign w:val="center"/>
          </w:tcPr>
          <w:p w14:paraId="507FCA1B" w14:textId="77777777" w:rsidR="00C50885" w:rsidRDefault="00000000">
            <w:pPr>
              <w:spacing w:after="0"/>
            </w:pPr>
            <w:r>
              <w:rPr>
                <w:sz w:val="21"/>
              </w:rPr>
              <w:t>1.0000</w:t>
            </w:r>
          </w:p>
        </w:tc>
        <w:tc>
          <w:tcPr>
            <w:tcW w:w="1500" w:type="dxa"/>
            <w:tcBorders>
              <w:top w:val="single" w:sz="4" w:space="0" w:color="000000"/>
              <w:left w:val="single" w:sz="4" w:space="0" w:color="000000"/>
              <w:bottom w:val="single" w:sz="4" w:space="0" w:color="000000"/>
              <w:right w:val="single" w:sz="4" w:space="0" w:color="000000"/>
            </w:tcBorders>
            <w:vAlign w:val="center"/>
          </w:tcPr>
          <w:p w14:paraId="51795F2D" w14:textId="77777777" w:rsidR="00C50885" w:rsidRDefault="00000000">
            <w:pPr>
              <w:spacing w:after="0"/>
            </w:pPr>
            <w:r>
              <w:rPr>
                <w:sz w:val="21"/>
              </w:rPr>
              <w:t>2.2442</w:t>
            </w:r>
          </w:p>
        </w:tc>
        <w:tc>
          <w:tcPr>
            <w:tcW w:w="1500" w:type="dxa"/>
            <w:tcBorders>
              <w:top w:val="single" w:sz="4" w:space="0" w:color="000000"/>
              <w:left w:val="single" w:sz="4" w:space="0" w:color="000000"/>
              <w:bottom w:val="single" w:sz="4" w:space="0" w:color="000000"/>
              <w:right w:val="single" w:sz="4" w:space="0" w:color="000000"/>
            </w:tcBorders>
            <w:vAlign w:val="center"/>
          </w:tcPr>
          <w:p w14:paraId="3845145E" w14:textId="77777777" w:rsidR="00C50885" w:rsidRDefault="00000000">
            <w:pPr>
              <w:spacing w:after="0"/>
            </w:pPr>
            <w:r>
              <w:rPr>
                <w:sz w:val="21"/>
              </w:rPr>
              <w:t>2.4785</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B3DE1" w14:textId="77777777" w:rsidR="00C50885" w:rsidRDefault="00000000">
            <w:pPr>
              <w:spacing w:after="0"/>
            </w:pPr>
            <w:r>
              <w:rPr>
                <w:sz w:val="21"/>
              </w:rPr>
              <w:t>2.4785</w:t>
            </w:r>
          </w:p>
        </w:tc>
        <w:tc>
          <w:tcPr>
            <w:tcW w:w="1500" w:type="dxa"/>
            <w:tcBorders>
              <w:top w:val="single" w:sz="4" w:space="0" w:color="000000"/>
              <w:left w:val="single" w:sz="4" w:space="0" w:color="000000"/>
              <w:bottom w:val="single" w:sz="4" w:space="0" w:color="000000"/>
              <w:right w:val="single" w:sz="4" w:space="0" w:color="000000"/>
            </w:tcBorders>
            <w:vAlign w:val="center"/>
          </w:tcPr>
          <w:p w14:paraId="0EF1B184" w14:textId="77777777" w:rsidR="00C50885" w:rsidRDefault="00000000">
            <w:pPr>
              <w:spacing w:after="0"/>
            </w:pPr>
            <w:r>
              <w:rPr>
                <w:sz w:val="21"/>
              </w:rPr>
              <w:t>2.4464</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01834250" w14:textId="77777777" w:rsidR="00C50885" w:rsidRDefault="00000000">
            <w:pPr>
              <w:spacing w:after="0"/>
            </w:pPr>
            <w:r>
              <w:rPr>
                <w:sz w:val="21"/>
              </w:rPr>
              <w:t>DG</w:t>
            </w:r>
          </w:p>
        </w:tc>
        <w:tc>
          <w:tcPr>
            <w:tcW w:w="1500" w:type="dxa"/>
            <w:tcBorders>
              <w:top w:val="single" w:sz="4" w:space="0" w:color="000000"/>
              <w:left w:val="single" w:sz="4" w:space="0" w:color="000000"/>
              <w:bottom w:val="single" w:sz="4" w:space="0" w:color="000000"/>
              <w:right w:val="single" w:sz="4" w:space="0" w:color="000000"/>
            </w:tcBorders>
            <w:vAlign w:val="center"/>
          </w:tcPr>
          <w:p w14:paraId="239397F5" w14:textId="77777777" w:rsidR="00C50885" w:rsidRDefault="00000000">
            <w:pPr>
              <w:spacing w:after="0"/>
            </w:pPr>
            <w:r>
              <w:rPr>
                <w:sz w:val="21"/>
              </w:rPr>
              <w:t>0.4456</w:t>
            </w:r>
          </w:p>
        </w:tc>
        <w:tc>
          <w:tcPr>
            <w:tcW w:w="1500" w:type="dxa"/>
            <w:tcBorders>
              <w:top w:val="single" w:sz="4" w:space="0" w:color="000000"/>
              <w:left w:val="single" w:sz="4" w:space="0" w:color="000000"/>
              <w:bottom w:val="single" w:sz="4" w:space="0" w:color="000000"/>
              <w:right w:val="single" w:sz="4" w:space="0" w:color="000000"/>
            </w:tcBorders>
            <w:vAlign w:val="center"/>
          </w:tcPr>
          <w:p w14:paraId="703961E0" w14:textId="77777777" w:rsidR="00C50885" w:rsidRDefault="00000000">
            <w:pPr>
              <w:spacing w:after="0"/>
            </w:pPr>
            <w:r>
              <w:rPr>
                <w:sz w:val="21"/>
              </w:rPr>
              <w:t>1.0000</w:t>
            </w:r>
          </w:p>
        </w:tc>
        <w:tc>
          <w:tcPr>
            <w:tcW w:w="1500" w:type="dxa"/>
            <w:tcBorders>
              <w:top w:val="single" w:sz="4" w:space="0" w:color="000000"/>
              <w:left w:val="single" w:sz="4" w:space="0" w:color="000000"/>
              <w:bottom w:val="single" w:sz="4" w:space="0" w:color="000000"/>
              <w:right w:val="single" w:sz="4" w:space="0" w:color="000000"/>
            </w:tcBorders>
            <w:vAlign w:val="center"/>
          </w:tcPr>
          <w:p w14:paraId="646CCBD7" w14:textId="77777777" w:rsidR="00C50885" w:rsidRDefault="00000000">
            <w:pPr>
              <w:spacing w:after="0"/>
            </w:pPr>
            <w:r>
              <w:rPr>
                <w:sz w:val="21"/>
              </w:rPr>
              <w:t>5.0713</w:t>
            </w:r>
          </w:p>
        </w:tc>
        <w:tc>
          <w:tcPr>
            <w:tcW w:w="1500" w:type="dxa"/>
            <w:tcBorders>
              <w:top w:val="single" w:sz="4" w:space="0" w:color="000000"/>
              <w:left w:val="single" w:sz="4" w:space="0" w:color="000000"/>
              <w:bottom w:val="single" w:sz="4" w:space="0" w:color="000000"/>
              <w:right w:val="single" w:sz="4" w:space="0" w:color="000000"/>
            </w:tcBorders>
            <w:vAlign w:val="center"/>
          </w:tcPr>
          <w:p w14:paraId="3CD4EA45" w14:textId="77777777" w:rsidR="00C50885" w:rsidRDefault="00000000">
            <w:pPr>
              <w:spacing w:after="0"/>
            </w:pPr>
            <w:r>
              <w:rPr>
                <w:sz w:val="21"/>
              </w:rPr>
              <w:t>5.0386</w:t>
            </w:r>
          </w:p>
        </w:tc>
        <w:tc>
          <w:tcPr>
            <w:tcW w:w="1500" w:type="dxa"/>
            <w:tcBorders>
              <w:top w:val="single" w:sz="4" w:space="0" w:color="000000"/>
              <w:left w:val="single" w:sz="4" w:space="0" w:color="000000"/>
              <w:bottom w:val="single" w:sz="4" w:space="0" w:color="000000"/>
              <w:right w:val="single" w:sz="4" w:space="0" w:color="000000"/>
            </w:tcBorders>
            <w:vAlign w:val="center"/>
          </w:tcPr>
          <w:p w14:paraId="4F2C39E0" w14:textId="77777777" w:rsidR="00C50885" w:rsidRDefault="00000000">
            <w:pPr>
              <w:spacing w:after="0"/>
            </w:pPr>
            <w:r>
              <w:rPr>
                <w:sz w:val="21"/>
              </w:rPr>
              <w:t>3.4968</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33CA44DD" w14:textId="77777777" w:rsidR="00C50885" w:rsidRDefault="00000000">
            <w:pPr>
              <w:spacing w:after="0"/>
            </w:pPr>
            <w:r>
              <w:rPr>
                <w:sz w:val="21"/>
              </w:rPr>
              <w:t>PC</w:t>
            </w:r>
          </w:p>
        </w:tc>
        <w:tc>
          <w:tcPr>
            <w:tcW w:w="1500" w:type="dxa"/>
            <w:tcBorders>
              <w:top w:val="single" w:sz="4" w:space="0" w:color="000000"/>
              <w:left w:val="single" w:sz="4" w:space="0" w:color="000000"/>
              <w:bottom w:val="single" w:sz="4" w:space="0" w:color="000000"/>
              <w:right w:val="single" w:sz="4" w:space="0" w:color="000000"/>
            </w:tcBorders>
            <w:vAlign w:val="center"/>
          </w:tcPr>
          <w:p w14:paraId="71C09D23" w14:textId="77777777" w:rsidR="00C50885" w:rsidRDefault="00000000">
            <w:pPr>
              <w:spacing w:after="0"/>
            </w:pPr>
            <w:r>
              <w:rPr>
                <w:sz w:val="21"/>
              </w:rPr>
              <w:t>0.4035</w:t>
            </w:r>
          </w:p>
        </w:tc>
        <w:tc>
          <w:tcPr>
            <w:tcW w:w="1500" w:type="dxa"/>
            <w:tcBorders>
              <w:top w:val="single" w:sz="4" w:space="0" w:color="000000"/>
              <w:left w:val="single" w:sz="4" w:space="0" w:color="000000"/>
              <w:bottom w:val="single" w:sz="4" w:space="0" w:color="000000"/>
              <w:right w:val="single" w:sz="4" w:space="0" w:color="000000"/>
            </w:tcBorders>
            <w:vAlign w:val="center"/>
          </w:tcPr>
          <w:p w14:paraId="0559332A" w14:textId="77777777" w:rsidR="00C50885" w:rsidRDefault="00000000">
            <w:pPr>
              <w:spacing w:after="0"/>
            </w:pPr>
            <w:r>
              <w:rPr>
                <w:sz w:val="21"/>
              </w:rPr>
              <w:t>0.1972</w:t>
            </w:r>
          </w:p>
        </w:tc>
        <w:tc>
          <w:tcPr>
            <w:tcW w:w="1500" w:type="dxa"/>
            <w:tcBorders>
              <w:top w:val="single" w:sz="4" w:space="0" w:color="000000"/>
              <w:left w:val="single" w:sz="4" w:space="0" w:color="000000"/>
              <w:bottom w:val="single" w:sz="4" w:space="0" w:color="000000"/>
              <w:right w:val="single" w:sz="4" w:space="0" w:color="000000"/>
            </w:tcBorders>
            <w:vAlign w:val="center"/>
          </w:tcPr>
          <w:p w14:paraId="4A0C9804" w14:textId="77777777" w:rsidR="00C50885" w:rsidRDefault="00000000">
            <w:pPr>
              <w:spacing w:after="0"/>
            </w:pPr>
            <w:r>
              <w:rPr>
                <w:sz w:val="21"/>
              </w:rPr>
              <w:t>1.0000</w:t>
            </w:r>
          </w:p>
        </w:tc>
        <w:tc>
          <w:tcPr>
            <w:tcW w:w="1500" w:type="dxa"/>
            <w:tcBorders>
              <w:top w:val="single" w:sz="4" w:space="0" w:color="000000"/>
              <w:left w:val="single" w:sz="4" w:space="0" w:color="000000"/>
              <w:bottom w:val="single" w:sz="4" w:space="0" w:color="000000"/>
              <w:right w:val="single" w:sz="4" w:space="0" w:color="000000"/>
            </w:tcBorders>
            <w:vAlign w:val="center"/>
          </w:tcPr>
          <w:p w14:paraId="6030AF69" w14:textId="77777777" w:rsidR="00C50885" w:rsidRDefault="00000000">
            <w:pPr>
              <w:spacing w:after="0"/>
            </w:pPr>
            <w:r>
              <w:rPr>
                <w:sz w:val="21"/>
              </w:rPr>
              <w:t>4.9274</w:t>
            </w:r>
          </w:p>
        </w:tc>
        <w:tc>
          <w:tcPr>
            <w:tcW w:w="1500" w:type="dxa"/>
            <w:tcBorders>
              <w:top w:val="single" w:sz="4" w:space="0" w:color="000000"/>
              <w:left w:val="single" w:sz="4" w:space="0" w:color="000000"/>
              <w:bottom w:val="single" w:sz="4" w:space="0" w:color="000000"/>
              <w:right w:val="single" w:sz="4" w:space="0" w:color="000000"/>
            </w:tcBorders>
            <w:vAlign w:val="center"/>
          </w:tcPr>
          <w:p w14:paraId="46C646CE" w14:textId="77777777" w:rsidR="00C50885" w:rsidRDefault="00000000">
            <w:pPr>
              <w:spacing w:after="0"/>
            </w:pPr>
            <w:r>
              <w:rPr>
                <w:sz w:val="21"/>
              </w:rPr>
              <w:t>3.0514</w:t>
            </w:r>
          </w:p>
        </w:tc>
      </w:tr>
      <w:tr w:rsidR="00C50885" w14:paraId="47486E72"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25296738" w14:textId="77777777" w:rsidR="00C50885" w:rsidRDefault="00000000">
            <w:pPr>
              <w:spacing w:after="0"/>
            </w:pPr>
            <w:r>
              <w:rPr>
                <w:sz w:val="21"/>
              </w:rPr>
              <w:t>CD</w:t>
            </w:r>
          </w:p>
        </w:tc>
        <w:tc>
          <w:tcPr>
            <w:tcW w:w="1500" w:type="dxa"/>
            <w:tcBorders>
              <w:top w:val="single" w:sz="4" w:space="0" w:color="000000"/>
              <w:left w:val="single" w:sz="4" w:space="0" w:color="000000"/>
              <w:bottom w:val="single" w:sz="4" w:space="0" w:color="000000"/>
              <w:right w:val="single" w:sz="4" w:space="0" w:color="000000"/>
            </w:tcBorders>
            <w:vAlign w:val="center"/>
          </w:tcPr>
          <w:p w14:paraId="40699939" w14:textId="77777777" w:rsidR="00C50885" w:rsidRDefault="00000000">
            <w:pPr>
              <w:spacing w:after="0"/>
            </w:pPr>
            <w:r>
              <w:rPr>
                <w:sz w:val="21"/>
              </w:rPr>
              <w:t>0.4035</w:t>
            </w:r>
          </w:p>
        </w:tc>
        <w:tc>
          <w:tcPr>
            <w:tcW w:w="1500" w:type="dxa"/>
            <w:tcBorders>
              <w:top w:val="single" w:sz="4" w:space="0" w:color="000000"/>
              <w:left w:val="single" w:sz="4" w:space="0" w:color="000000"/>
              <w:bottom w:val="single" w:sz="4" w:space="0" w:color="000000"/>
              <w:right w:val="single" w:sz="4" w:space="0" w:color="000000"/>
            </w:tcBorders>
            <w:vAlign w:val="center"/>
          </w:tcPr>
          <w:p w14:paraId="2E27FD4B" w14:textId="77777777" w:rsidR="00C50885" w:rsidRDefault="00000000">
            <w:pPr>
              <w:spacing w:after="0"/>
            </w:pPr>
            <w:r>
              <w:rPr>
                <w:sz w:val="21"/>
              </w:rPr>
              <w:t>0.1985</w:t>
            </w:r>
          </w:p>
        </w:tc>
        <w:tc>
          <w:tcPr>
            <w:tcW w:w="1500" w:type="dxa"/>
            <w:tcBorders>
              <w:top w:val="single" w:sz="4" w:space="0" w:color="000000"/>
              <w:left w:val="single" w:sz="4" w:space="0" w:color="000000"/>
              <w:bottom w:val="single" w:sz="4" w:space="0" w:color="000000"/>
              <w:right w:val="single" w:sz="4" w:space="0" w:color="000000"/>
            </w:tcBorders>
            <w:vAlign w:val="center"/>
          </w:tcPr>
          <w:p w14:paraId="4F2CFB10" w14:textId="77777777" w:rsidR="00C50885" w:rsidRDefault="00000000">
            <w:pPr>
              <w:spacing w:after="0"/>
            </w:pPr>
            <w:r>
              <w:rPr>
                <w:sz w:val="21"/>
              </w:rPr>
              <w:t>0.2029</w:t>
            </w:r>
          </w:p>
        </w:tc>
        <w:tc>
          <w:tcPr>
            <w:tcW w:w="1500" w:type="dxa"/>
            <w:tcBorders>
              <w:top w:val="single" w:sz="4" w:space="0" w:color="000000"/>
              <w:left w:val="single" w:sz="4" w:space="0" w:color="000000"/>
              <w:bottom w:val="single" w:sz="4" w:space="0" w:color="000000"/>
              <w:right w:val="single" w:sz="4" w:space="0" w:color="000000"/>
            </w:tcBorders>
            <w:vAlign w:val="center"/>
          </w:tcPr>
          <w:p w14:paraId="0BA88655" w14:textId="77777777" w:rsidR="00C50885" w:rsidRDefault="00000000">
            <w:pPr>
              <w:spacing w:after="0"/>
            </w:pPr>
            <w:r>
              <w:rPr>
                <w:sz w:val="21"/>
              </w:rPr>
              <w:t>1.0000</w:t>
            </w:r>
          </w:p>
        </w:tc>
        <w:tc>
          <w:tcPr>
            <w:tcW w:w="1500" w:type="dxa"/>
            <w:tcBorders>
              <w:top w:val="single" w:sz="4" w:space="0" w:color="000000"/>
              <w:left w:val="single" w:sz="4" w:space="0" w:color="000000"/>
              <w:bottom w:val="single" w:sz="4" w:space="0" w:color="000000"/>
              <w:right w:val="single" w:sz="4" w:space="0" w:color="000000"/>
            </w:tcBorders>
            <w:vAlign w:val="center"/>
          </w:tcPr>
          <w:p w14:paraId="5B362579" w14:textId="77777777" w:rsidR="00C50885" w:rsidRDefault="00000000">
            <w:pPr>
              <w:spacing w:after="0"/>
            </w:pPr>
            <w:r>
              <w:rPr>
                <w:sz w:val="21"/>
              </w:rPr>
              <w:t>2.9113</w:t>
            </w:r>
          </w:p>
        </w:tc>
      </w:tr>
      <w:tr w:rsidR="00C50885" w14:paraId="11CCEA74"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C1DCF0" w14:textId="77777777" w:rsidR="00C50885" w:rsidRDefault="00000000">
            <w:pPr>
              <w:spacing w:after="0"/>
            </w:pPr>
            <w:r>
              <w:rPr>
                <w:sz w:val="21"/>
              </w:rPr>
              <w:t>T</w:t>
            </w:r>
          </w:p>
        </w:tc>
        <w:tc>
          <w:tcPr>
            <w:tcW w:w="1500" w:type="dxa"/>
            <w:tcBorders>
              <w:top w:val="single" w:sz="4" w:space="0" w:color="000000"/>
              <w:left w:val="single" w:sz="4" w:space="0" w:color="000000"/>
              <w:bottom w:val="single" w:sz="4" w:space="0" w:color="000000"/>
              <w:right w:val="single" w:sz="4" w:space="0" w:color="000000"/>
            </w:tcBorders>
            <w:vAlign w:val="center"/>
          </w:tcPr>
          <w:p w14:paraId="6845AEA3" w14:textId="77777777" w:rsidR="00C50885" w:rsidRDefault="00000000">
            <w:pPr>
              <w:spacing w:after="0"/>
            </w:pPr>
            <w:r>
              <w:rPr>
                <w:sz w:val="21"/>
              </w:rPr>
              <w:t>0.4088</w:t>
            </w:r>
          </w:p>
        </w:tc>
        <w:tc>
          <w:tcPr>
            <w:tcW w:w="1500" w:type="dxa"/>
            <w:tcBorders>
              <w:top w:val="single" w:sz="4" w:space="0" w:color="000000"/>
              <w:left w:val="single" w:sz="4" w:space="0" w:color="000000"/>
              <w:bottom w:val="single" w:sz="4" w:space="0" w:color="000000"/>
              <w:right w:val="single" w:sz="4" w:space="0" w:color="000000"/>
            </w:tcBorders>
            <w:vAlign w:val="center"/>
          </w:tcPr>
          <w:p w14:paraId="5449A00B" w14:textId="77777777" w:rsidR="00C50885" w:rsidRDefault="00000000">
            <w:pPr>
              <w:spacing w:after="0"/>
            </w:pPr>
            <w:r>
              <w:rPr>
                <w:sz w:val="21"/>
              </w:rPr>
              <w:t>0.2860</w:t>
            </w:r>
          </w:p>
        </w:tc>
        <w:tc>
          <w:tcPr>
            <w:tcW w:w="1500" w:type="dxa"/>
            <w:tcBorders>
              <w:top w:val="single" w:sz="4" w:space="0" w:color="000000"/>
              <w:left w:val="single" w:sz="4" w:space="0" w:color="000000"/>
              <w:bottom w:val="single" w:sz="4" w:space="0" w:color="000000"/>
              <w:right w:val="single" w:sz="4" w:space="0" w:color="000000"/>
            </w:tcBorders>
            <w:vAlign w:val="center"/>
          </w:tcPr>
          <w:p w14:paraId="278DB75D" w14:textId="77777777" w:rsidR="00C50885" w:rsidRDefault="00000000">
            <w:pPr>
              <w:spacing w:after="0"/>
            </w:pPr>
            <w:r>
              <w:rPr>
                <w:sz w:val="21"/>
              </w:rPr>
              <w:t>0.3277</w:t>
            </w:r>
          </w:p>
        </w:tc>
        <w:tc>
          <w:tcPr>
            <w:tcW w:w="1500" w:type="dxa"/>
            <w:tcBorders>
              <w:top w:val="single" w:sz="4" w:space="0" w:color="000000"/>
              <w:left w:val="single" w:sz="4" w:space="0" w:color="000000"/>
              <w:bottom w:val="single" w:sz="4" w:space="0" w:color="000000"/>
              <w:right w:val="single" w:sz="4" w:space="0" w:color="000000"/>
            </w:tcBorders>
            <w:vAlign w:val="center"/>
          </w:tcPr>
          <w:p w14:paraId="02C03DCF" w14:textId="77777777" w:rsidR="00C50885" w:rsidRDefault="00000000">
            <w:pPr>
              <w:spacing w:after="0"/>
            </w:pPr>
            <w:r>
              <w:rPr>
                <w:sz w:val="21"/>
              </w:rPr>
              <w:t>0.3435</w:t>
            </w:r>
          </w:p>
        </w:tc>
        <w:tc>
          <w:tcPr>
            <w:tcW w:w="1500" w:type="dxa"/>
            <w:tcBorders>
              <w:top w:val="single" w:sz="4" w:space="0" w:color="000000"/>
              <w:left w:val="single" w:sz="4" w:space="0" w:color="000000"/>
              <w:bottom w:val="single" w:sz="4" w:space="0" w:color="000000"/>
              <w:right w:val="single" w:sz="4" w:space="0" w:color="000000"/>
            </w:tcBorders>
            <w:vAlign w:val="center"/>
          </w:tcPr>
          <w:p w14:paraId="240FEB91" w14:textId="77777777" w:rsidR="00C50885" w:rsidRDefault="00000000">
            <w:pPr>
              <w:spacing w:after="0"/>
            </w:pPr>
            <w:r>
              <w:rPr>
                <w:sz w:val="21"/>
              </w:rPr>
              <w:t>1.0000</w:t>
            </w:r>
          </w:p>
        </w:tc>
      </w:tr>
    </w:tbl>
    <w:p w14:paraId="7D4B2746" w14:textId="77777777" w:rsidR="00C50885" w:rsidRDefault="00C50885">
      <w:pPr>
        <w:spacing w:after="60"/>
      </w:pPr>
    </w:p>
    <w:p w14:paraId="472E9F0B" w14:textId="77777777" w:rsidR="00C50885" w:rsidRDefault="00000000">
      <w:pPr>
        <w:ind w:firstLine="360"/>
        <w:jc w:val="both"/>
      </w:pPr>
      <w:r>
        <w:t>The derived weights were EU = 0.3179, DG = 0.3234, PC = 0.1812, CD = 0.1045 and T = 0.0730. Lambda maximum was 5.8959, CI was 0.2240 and CR was 0.2000. Because CR exceeded 0.10, these weights were not applied through the interface. The baseline configuration remained in use.</w:t>
      </w:r>
    </w:p>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006E54" w14:textId="77777777" w:rsidR="00C50885" w:rsidRDefault="00000000">
            <w:pPr>
              <w:jc w:val="center"/>
            </w:pPr>
            <w:r>
              <w:rPr>
                <w:b/>
                <w:sz w:val="22"/>
              </w:rPr>
              <w:t>Step</w:t>
            </w:r>
          </w:p>
        </w:tc>
        <w:tc>
          <w:tcPr>
            <w:tcW w:w="3000" w:type="dxa"/>
            <w:tcBorders>
              <w:top w:val="single" w:sz="4" w:space="0" w:color="000000"/>
              <w:left w:val="single" w:sz="4" w:space="0" w:color="000000"/>
              <w:bottom w:val="single" w:sz="4" w:space="0" w:color="000000"/>
              <w:right w:val="single" w:sz="4" w:space="0" w:color="000000"/>
            </w:tcBorders>
            <w:vAlign w:val="center"/>
          </w:tcPr>
          <w:p w14:paraId="7A954F33" w14:textId="77777777" w:rsidR="00C50885" w:rsidRDefault="00000000">
            <w:pPr>
              <w:jc w:val="center"/>
            </w:pPr>
            <w:r>
              <w:rPr>
                <w:b/>
                <w:sz w:val="22"/>
              </w:rP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14:paraId="4D0C4AB1" w14:textId="77777777" w:rsidR="00C50885" w:rsidRDefault="00000000">
            <w:pPr>
              <w:jc w:val="center"/>
            </w:pPr>
            <w:r>
              <w:rPr>
                <w:b/>
                <w:sz w:val="22"/>
              </w:rP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8F66499"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3F7DF0DD" w14:textId="77777777" w:rsidR="00C50885" w:rsidRDefault="00000000">
            <w:pPr>
              <w:spacing w:after="0"/>
            </w:pPr>
            <w:r>
              <w:rPr>
                <w:sz w:val="21"/>
              </w:rP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5D8E195D" w14:textId="77777777" w:rsidR="00C50885" w:rsidRDefault="00000000">
            <w:pPr>
              <w:spacing w:after="0"/>
            </w:pPr>
            <w:r>
              <w:rPr>
                <w:sz w:val="21"/>
              </w:rP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C23189"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41F34C48" w14:textId="77777777" w:rsidR="00C50885" w:rsidRDefault="00000000">
            <w:pPr>
              <w:spacing w:after="0"/>
            </w:pPr>
            <w:r>
              <w:rPr>
                <w:sz w:val="21"/>
              </w:rP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14:paraId="2DC23535" w14:textId="77777777" w:rsidR="00C50885" w:rsidRDefault="00000000">
            <w:pPr>
              <w:spacing w:after="0"/>
            </w:pPr>
            <w:r>
              <w:rPr>
                <w:sz w:val="21"/>
              </w:rP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3D7ED5"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55379662" w14:textId="77777777" w:rsidR="00C50885" w:rsidRDefault="00000000">
            <w:pPr>
              <w:spacing w:after="0"/>
            </w:pPr>
            <w:r>
              <w:rPr>
                <w:sz w:val="21"/>
              </w:rP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509101BF" w14:textId="77777777" w:rsidR="00C50885" w:rsidRDefault="00000000">
            <w:pPr>
              <w:spacing w:after="0"/>
            </w:pPr>
            <w:r>
              <w:rPr>
                <w:sz w:val="21"/>
              </w:rP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F9961E8"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DD966" w14:textId="77777777" w:rsidR="00C50885" w:rsidRDefault="00000000">
            <w:pPr>
              <w:spacing w:after="0"/>
            </w:pPr>
            <w:r>
              <w:rPr>
                <w:sz w:val="21"/>
              </w:rP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14:paraId="0799E8E9" w14:textId="77777777" w:rsidR="00C50885" w:rsidRDefault="00000000">
            <w:pPr>
              <w:spacing w:after="0"/>
            </w:pPr>
            <w:r>
              <w:rPr>
                <w:sz w:val="21"/>
              </w:rP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F94868B"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3FFA5285" w14:textId="77777777" w:rsidR="00C50885" w:rsidRDefault="00000000">
            <w:pPr>
              <w:spacing w:after="0"/>
            </w:pPr>
            <w:r>
              <w:rPr>
                <w:sz w:val="21"/>
              </w:rPr>
              <w:t>View the AHP validation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14:paraId="013C91DC" w14:textId="77777777" w:rsidR="00C50885" w:rsidRDefault="00000000">
            <w:pPr>
              <w:spacing w:after="0"/>
            </w:pPr>
            <w:r>
              <w:rPr>
                <w:sz w:val="21"/>
              </w:rPr>
              <w:t>Assesses visibility of the consistency safeguard.</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standard ten SUS items, followed by three Perceived Usefulness items, three Perceived Ease of Use items, and one Behavioural Intention item. The TAM construct mapping was: PU = questions 11-13; PEOU = questions 14-16; BI = question 17. Insert the de-identified questionnaire wording and the ten individual SUS scores. Report the aggregate results as SUS mean = 89.50, sample SD = 3.07, PU mean = 4.43, PEOU mean = 4.53, and BI mean = 4.60. Do not publish timestamps or other respondent identifiers.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researcher-interface component that disables the Apply action when CR is greater than or equal to 0.10, together with the backend AHP application route or shared utility that receives the raw matrix, recalculates CR, and rejects an inconsistent request.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440B3C0" w14:textId="77777777" w:rsidR="00C50885" w:rsidRDefault="00000000">
            <w:pPr>
              <w:jc w:val="center"/>
            </w:pPr>
            <w:r>
              <w:rPr>
                <w:b/>
                <w:sz w:val="22"/>
              </w:rPr>
              <w:t>Order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13CAC70" w14:textId="77777777" w:rsidR="00C50885" w:rsidRDefault="00000000">
            <w:pPr>
              <w:jc w:val="center"/>
            </w:pPr>
            <w:r>
              <w:rPr>
                <w:b/>
                <w:sz w:val="22"/>
              </w:rP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2FAFF671" w14:textId="77777777" w:rsidR="00C50885" w:rsidRDefault="00000000">
            <w:pPr>
              <w:jc w:val="center"/>
            </w:pPr>
            <w:r>
              <w:rPr>
                <w:b/>
                <w:sz w:val="22"/>
              </w:rP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237E45E"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7540AFC1" w14:textId="77777777" w:rsidR="00C50885" w:rsidRDefault="00000000">
            <w:pPr>
              <w:spacing w:after="0"/>
            </w:pPr>
            <w:r>
              <w:rPr>
                <w:sz w:val="21"/>
              </w:rP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4DA37580" w14:textId="77777777" w:rsidR="00C50885" w:rsidRDefault="00000000">
            <w:pPr>
              <w:spacing w:after="0"/>
            </w:pPr>
            <w:r>
              <w:rPr>
                <w:sz w:val="21"/>
              </w:rP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9920CC"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218BF59F" w14:textId="77777777" w:rsidR="00C50885" w:rsidRDefault="00000000">
            <w:pPr>
              <w:spacing w:after="0"/>
            </w:pPr>
            <w:r>
              <w:rPr>
                <w:sz w:val="21"/>
              </w:rP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15AA17E" w14:textId="77777777" w:rsidR="00C50885" w:rsidRDefault="00000000">
            <w:pPr>
              <w:spacing w:after="0"/>
            </w:pPr>
            <w:r>
              <w:rPr>
                <w:sz w:val="21"/>
              </w:rP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DB2F2EC"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51E211F" w14:textId="77777777" w:rsidR="00C50885" w:rsidRDefault="00000000">
            <w:pPr>
              <w:spacing w:after="0"/>
            </w:pPr>
            <w:r>
              <w:rPr>
                <w:sz w:val="21"/>
              </w:rP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4FE996D9" w14:textId="77777777" w:rsidR="00C50885" w:rsidRDefault="00000000">
            <w:pPr>
              <w:spacing w:after="0"/>
            </w:pPr>
            <w:r>
              <w:rPr>
                <w:sz w:val="21"/>
              </w:rP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65DDA41"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698AD07E" w14:textId="77777777" w:rsidR="00C50885" w:rsidRDefault="00000000">
            <w:pPr>
              <w:spacing w:after="0"/>
            </w:pPr>
            <w:r>
              <w:rPr>
                <w:sz w:val="21"/>
              </w:rP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0D6D6CA9" w14:textId="77777777" w:rsidR="00C50885" w:rsidRDefault="00000000">
            <w:pPr>
              <w:spacing w:after="0"/>
            </w:pPr>
            <w:r>
              <w:rPr>
                <w:sz w:val="21"/>
              </w:rP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3E73DEE"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93F8716" w14:textId="77777777" w:rsidR="00C50885" w:rsidRDefault="00000000">
            <w:pPr>
              <w:spacing w:after="0"/>
            </w:pPr>
            <w:r>
              <w:rPr>
                <w:sz w:val="21"/>
              </w:rP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14:paraId="752E3699" w14:textId="77777777" w:rsidR="00C50885" w:rsidRDefault="00000000">
            <w:pPr>
              <w:spacing w:after="0"/>
            </w:pPr>
            <w:r>
              <w:rPr>
                <w:sz w:val="21"/>
              </w:rP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43EFEC5"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6FC0973E" w14:textId="77777777" w:rsidR="00C50885" w:rsidRDefault="00000000">
            <w:pPr>
              <w:spacing w:after="0"/>
            </w:pPr>
            <w:r>
              <w:rPr>
                <w:sz w:val="21"/>
              </w:rPr>
              <w:t>Show score history and AHP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4A7710E5" w14:textId="77777777" w:rsidR="00C50885" w:rsidRDefault="00000000">
            <w:pPr>
              <w:spacing w:after="0"/>
            </w:pPr>
            <w:r>
              <w:rPr>
                <w:sz w:val="21"/>
              </w:rPr>
              <w:t>Later quarters are separately imported; inconsistent AHP weights cannot be applied.</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F54228" w14:textId="77777777" w:rsidR="00C50885" w:rsidRDefault="00000000">
            <w:pPr>
              <w:jc w:val="center"/>
            </w:pPr>
            <w:r>
              <w:rPr>
                <w:b/>
                <w:sz w:val="22"/>
              </w:rP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14:paraId="2AF7AC02" w14:textId="77777777" w:rsidR="00C50885" w:rsidRDefault="00000000">
            <w:pPr>
              <w:jc w:val="center"/>
            </w:pPr>
            <w:r>
              <w:rPr>
                <w:b/>
                <w:sz w:val="22"/>
              </w:rP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14:paraId="7A8E9A65" w14:textId="77777777" w:rsidR="00C50885" w:rsidRDefault="00000000">
            <w:pPr>
              <w:jc w:val="center"/>
            </w:pPr>
            <w:r>
              <w:rPr>
                <w:b/>
                <w:sz w:val="22"/>
              </w:rP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90B27B8" w14:textId="77777777" w:rsidR="00C50885" w:rsidRDefault="00000000">
            <w:pPr>
              <w:spacing w:after="0"/>
            </w:pPr>
            <w:r>
              <w:rPr>
                <w:sz w:val="21"/>
              </w:rP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14:paraId="0BFF6A34" w14:textId="77777777" w:rsidR="00C50885" w:rsidRDefault="00000000">
            <w:pPr>
              <w:spacing w:after="0"/>
            </w:pPr>
            <w:r>
              <w:rPr>
                <w:sz w:val="21"/>
              </w:rP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609A14BF" w14:textId="77777777" w:rsidR="00C50885" w:rsidRDefault="00000000">
            <w:pPr>
              <w:spacing w:after="0"/>
            </w:pPr>
            <w:r>
              <w:rPr>
                <w:sz w:val="21"/>
              </w:rP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7F6BEF1" w14:textId="77777777" w:rsidR="00C50885" w:rsidRDefault="00000000">
            <w:pPr>
              <w:spacing w:after="0"/>
            </w:pPr>
            <w:r>
              <w:rPr>
                <w:sz w:val="21"/>
              </w:rP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14:paraId="4007E497" w14:textId="77777777" w:rsidR="00C50885" w:rsidRDefault="00000000">
            <w:pPr>
              <w:spacing w:after="0"/>
            </w:pPr>
            <w:r>
              <w:rPr>
                <w:sz w:val="21"/>
              </w:rP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14:paraId="09D941CF" w14:textId="77777777" w:rsidR="00C50885" w:rsidRDefault="00000000">
            <w:pPr>
              <w:spacing w:after="0"/>
            </w:pPr>
            <w:r>
              <w:rPr>
                <w:sz w:val="21"/>
              </w:rP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A0B9B71" w14:textId="77777777" w:rsidR="00C50885" w:rsidRDefault="00000000">
            <w:pPr>
              <w:spacing w:after="0"/>
            </w:pPr>
            <w:r>
              <w:rPr>
                <w:sz w:val="21"/>
              </w:rPr>
              <w:t>AHP response export and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4A56F247" w14:textId="77777777" w:rsidR="00C50885" w:rsidRDefault="00000000">
            <w:pPr>
              <w:spacing w:after="0"/>
            </w:pPr>
            <w:r>
              <w:rPr>
                <w:sz w:val="21"/>
              </w:rPr>
              <w:t>Expert comparison CSV and Appendix B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0499586D" w14:textId="77777777" w:rsidR="00C50885" w:rsidRDefault="00000000">
            <w:pPr>
              <w:spacing w:after="0"/>
            </w:pPr>
            <w:r>
              <w:rPr>
                <w:sz w:val="21"/>
              </w:rPr>
              <w:t>Weight-calculation trace and CR result.</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DD18D44" w14:textId="77777777" w:rsidR="00C50885" w:rsidRDefault="00000000">
            <w:pPr>
              <w:spacing w:after="0"/>
            </w:pPr>
            <w:r>
              <w:rPr>
                <w:sz w:val="21"/>
              </w:rP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14:paraId="2B25389B" w14:textId="77777777" w:rsidR="00C50885" w:rsidRDefault="00000000">
            <w:pPr>
              <w:spacing w:after="0"/>
            </w:pPr>
            <w:r>
              <w:rPr>
                <w:sz w:val="21"/>
              </w:rP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4DF9500D" w14:textId="77777777" w:rsidR="00C50885" w:rsidRDefault="00000000">
            <w:pPr>
              <w:spacing w:after="0"/>
            </w:pPr>
            <w:r>
              <w:rPr>
                <w:sz w:val="21"/>
              </w:rP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8B767B7" w14:textId="77777777" w:rsidR="00C50885" w:rsidRDefault="00000000">
            <w:pPr>
              <w:spacing w:after="0"/>
            </w:pPr>
            <w:r>
              <w:rPr>
                <w:sz w:val="21"/>
              </w:rP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4F128C74" w14:textId="77777777" w:rsidR="00C50885" w:rsidRDefault="00000000">
            <w:pPr>
              <w:spacing w:after="0"/>
            </w:pPr>
            <w:r>
              <w:rPr>
                <w:sz w:val="21"/>
              </w:rP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14:paraId="15A32818" w14:textId="77777777" w:rsidR="00C50885" w:rsidRDefault="00000000">
            <w:pPr>
              <w:spacing w:after="0"/>
            </w:pPr>
            <w:r>
              <w:rPr>
                <w:sz w:val="21"/>
              </w:rP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3FE9E71" w14:textId="77777777" w:rsidR="00C50885" w:rsidRDefault="00000000">
            <w:pPr>
              <w:spacing w:after="0"/>
            </w:pPr>
            <w:r>
              <w:rPr>
                <w:sz w:val="21"/>
              </w:rP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7A112718" w14:textId="77777777" w:rsidR="00C50885" w:rsidRDefault="00000000">
            <w:pPr>
              <w:spacing w:after="0"/>
            </w:pPr>
            <w:r>
              <w:rPr>
                <w:sz w:val="21"/>
              </w:rP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14:paraId="7F15BFF2" w14:textId="77777777" w:rsidR="00C50885" w:rsidRDefault="00000000">
            <w:pPr>
              <w:spacing w:after="0"/>
            </w:pPr>
            <w:r>
              <w:rPr>
                <w:sz w:val="21"/>
              </w:rP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KnowledgeGuard Thesis Chapters 1 to 4</dc:title>
  <dc:subject/>
  <dc:creator>Shanuka S. Jayakodi</dc:creator>
  <cp:keywords/>
  <dc:description>generated by python-docx</dc:description>
  <cp:lastModifiedBy>Shanuka Jayakodi</cp:lastModifiedBy>
  <cp:revision>21</cp:revision>
  <dcterms:created xsi:type="dcterms:W3CDTF">2013-12-23T23:15:00Z</dcterms:created>
  <dcterms:modified xsi:type="dcterms:W3CDTF">2026-10-04T01:44:00Z</dcterms:modified>
  <cp:category/>
</cp:coreProperties>
</file>