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color w:val="1F4E79"/>
          <w:sz w:val="30"/>
        </w:rPr>
        <w:t>DEVELOPMENT OF A PROACTIVE DECISION SUPPORT SYSTEM FOR</w:t>
      </w:r>
    </w:p>
    <w:p>
      <w:pPr>
        <w:jc w:val="center"/>
      </w:pPr>
      <w:r>
        <w:rPr>
          <w:rFonts w:ascii="Times New Roman" w:hAnsi="Times New Roman"/>
          <w:b/>
          <w:i w:val="0"/>
          <w:color w:val="1F4E79"/>
          <w:sz w:val="30"/>
        </w:rPr>
        <w:t>KNOWLEDGE LOSS RISK ASSESSMENT AND KNOWLEDGE TRANSFER</w:t>
      </w:r>
    </w:p>
    <w:p>
      <w:pPr>
        <w:jc w:val="center"/>
      </w:pPr>
      <w:r>
        <w:rPr>
          <w:rFonts w:ascii="Times New Roman" w:hAnsi="Times New Roman"/>
          <w:b/>
          <w:i w:val="0"/>
          <w:color w:val="1F4E79"/>
          <w:sz w:val="30"/>
        </w:rPr>
        <w:t>DURING ORGANIZATIONAL TRANSITIONS</w:t>
      </w:r>
    </w:p>
    <w:p/>
    <w:p/>
    <w:p/>
    <w:p>
      <w:pPr>
        <w:jc w:val="center"/>
      </w:pPr>
      <w:r>
        <w:rPr>
          <w:rFonts w:ascii="Times New Roman" w:hAnsi="Times New Roman"/>
          <w:b w:val="0"/>
          <w:i w:val="0"/>
          <w:color w:val="000000"/>
          <w:sz w:val="24"/>
        </w:rPr>
        <w:t>A thesis submitted to NSBM Green University</w:t>
      </w:r>
    </w:p>
    <w:p>
      <w:pPr>
        <w:jc w:val="center"/>
      </w:pPr>
      <w:r>
        <w:rPr>
          <w:rFonts w:ascii="Times New Roman" w:hAnsi="Times New Roman"/>
          <w:b w:val="0"/>
          <w:i w:val="0"/>
          <w:color w:val="000000"/>
          <w:sz w:val="24"/>
        </w:rPr>
        <w:t>for the degree of BSc in Management Information Systems (Special)</w:t>
      </w:r>
    </w:p>
    <w:p>
      <w:pPr>
        <w:jc w:val="center"/>
      </w:pPr>
    </w:p>
    <w:p>
      <w:pPr>
        <w:jc w:val="center"/>
      </w:pPr>
      <w:r>
        <w:rPr>
          <w:rFonts w:ascii="Times New Roman" w:hAnsi="Times New Roman"/>
          <w:b w:val="0"/>
          <w:i w:val="0"/>
          <w:color w:val="000000"/>
          <w:sz w:val="24"/>
        </w:rPr>
        <w:t>Author: Shanuka S. Jayakodi</w:t>
      </w:r>
    </w:p>
    <w:p>
      <w:pPr>
        <w:jc w:val="center"/>
      </w:pPr>
      <w:r>
        <w:rPr>
          <w:rFonts w:ascii="Times New Roman" w:hAnsi="Times New Roman"/>
          <w:b w:val="0"/>
          <w:i w:val="0"/>
          <w:color w:val="000000"/>
          <w:sz w:val="24"/>
        </w:rPr>
        <w:t>Student ID: 28512</w:t>
      </w:r>
    </w:p>
    <w:p>
      <w:pPr>
        <w:jc w:val="center"/>
      </w:pPr>
    </w:p>
    <w:p>
      <w:pPr>
        <w:jc w:val="center"/>
      </w:pPr>
      <w:r>
        <w:rPr>
          <w:rFonts w:ascii="Times New Roman" w:hAnsi="Times New Roman"/>
          <w:b w:val="0"/>
          <w:i w:val="0"/>
          <w:color w:val="000000"/>
          <w:sz w:val="24"/>
        </w:rPr>
        <w:t>Department of Information Systems</w:t>
      </w:r>
    </w:p>
    <w:p>
      <w:pPr>
        <w:jc w:val="center"/>
      </w:pPr>
      <w:r>
        <w:rPr>
          <w:rFonts w:ascii="Times New Roman" w:hAnsi="Times New Roman"/>
          <w:b w:val="0"/>
          <w:i w:val="0"/>
          <w:color w:val="000000"/>
          <w:sz w:val="24"/>
        </w:rPr>
        <w:t>Faculty of Computing</w:t>
      </w:r>
    </w:p>
    <w:p>
      <w:pPr>
        <w:jc w:val="center"/>
      </w:pPr>
      <w:r>
        <w:rPr>
          <w:rFonts w:ascii="Times New Roman" w:hAnsi="Times New Roman"/>
          <w:b w:val="0"/>
          <w:i w:val="0"/>
          <w:color w:val="000000"/>
          <w:sz w:val="24"/>
        </w:rPr>
        <w:t>NSBM Green University, Sri Lanka</w:t>
      </w:r>
    </w:p>
    <w:p>
      <w:pPr>
        <w:jc w:val="center"/>
      </w:pPr>
    </w:p>
    <w:p>
      <w:pPr>
        <w:jc w:val="center"/>
      </w:pPr>
      <w:r>
        <w:rPr>
          <w:rFonts w:ascii="Times New Roman" w:hAnsi="Times New Roman"/>
          <w:b w:val="0"/>
          <w:i w:val="0"/>
          <w:color w:val="000000"/>
          <w:sz w:val="24"/>
        </w:rPr>
        <w:t>Principal Supervisor: Prof. Academic Supervisor (Department of Information Systems)</w:t>
      </w:r>
    </w:p>
    <w:p>
      <w:pPr>
        <w:jc w:val="center"/>
      </w:pPr>
    </w:p>
    <w:p>
      <w:pPr>
        <w:jc w:val="center"/>
      </w:pPr>
      <w:r>
        <w:rPr>
          <w:rFonts w:ascii="Times New Roman" w:hAnsi="Times New Roman"/>
          <w:b w:val="0"/>
          <w:i w:val="0"/>
          <w:color w:val="000000"/>
          <w:sz w:val="24"/>
        </w:rPr>
        <w:t>Date of Final Submission: September 2026</w:t>
      </w:r>
    </w:p>
    <w:p>
      <w:r>
        <w:br w:type="page"/>
      </w:r>
    </w:p>
    <w:p>
      <w:pPr>
        <w:pStyle w:val="Heading1"/>
      </w:pPr>
      <w:r>
        <w:t>Declaration</w:t>
      </w:r>
    </w:p>
    <w:p>
      <w:pPr>
        <w:jc w:val="both"/>
      </w:pPr>
      <w:r>
        <w:rPr>
          <w:rFonts w:ascii="Times New Roman" w:hAnsi="Times New Roman"/>
          <w:b w:val="0"/>
          <w:i w:val="0"/>
          <w:color w:val="000000"/>
          <w:sz w:val="24"/>
        </w:rPr>
        <w:t>I declare that the content of this undergraduate thesis titled 'Development of a Proactive Decision Support System for Knowledge Loss Risk Assessment and Knowledge Transfer During Organizational Transitions' is my own original work and does not incorporate, without acknowledgement, material previously submitted for another degree or institution of higher learning.</w:t>
      </w:r>
    </w:p>
    <w:p/>
    <w:p>
      <w:r>
        <w:rPr>
          <w:rFonts w:ascii="Times New Roman" w:hAnsi="Times New Roman"/>
          <w:b w:val="0"/>
          <w:i w:val="0"/>
          <w:color w:val="000000"/>
          <w:sz w:val="24"/>
        </w:rPr>
        <w:t>Student Signature: _______________________      Name: Shanuka S. Jayakodi      Date: 24 September 2026</w:t>
      </w:r>
    </w:p>
    <w:p/>
    <w:p>
      <w:r>
        <w:rPr>
          <w:rFonts w:ascii="Times New Roman" w:hAnsi="Times New Roman"/>
          <w:b w:val="0"/>
          <w:i w:val="0"/>
          <w:color w:val="000000"/>
          <w:sz w:val="24"/>
        </w:rPr>
        <w:t>Principal Supervisor Signature: _________________      Designation: Prof. Academic Supervisor, Faculty of Computing      Date: 24 September 2026</w:t>
      </w:r>
    </w:p>
    <w:p>
      <w:r>
        <w:br w:type="page"/>
      </w:r>
    </w:p>
    <w:p>
      <w:pPr>
        <w:pStyle w:val="Heading1"/>
      </w:pPr>
      <w:r>
        <w:t>Abstract</w:t>
      </w:r>
    </w:p>
    <w:p>
      <w:pPr>
        <w:jc w:val="both"/>
      </w:pPr>
      <w:r>
        <w:rPr>
          <w:rFonts w:ascii="Times New Roman" w:hAnsi="Times New Roman"/>
          <w:b w:val="0"/>
          <w:i w:val="0"/>
          <w:color w:val="000000"/>
          <w:sz w:val="24"/>
        </w:rPr>
        <w:t>Employee transitions can expose organizations to the loss of specialized, tacit knowledge that is difficult to replace. This research designed, developed, and evaluated KnowledgeGuard, a proactive decision support prototype for assessing individual-level knowledge loss risk and coordinating structured knowledge transfer. Guided by Design Science Research (DSR), the prototype combines five normalized indicators in a transparent baseline formula (Expertise Uniqueness, Documentation Gap, Project Criticality, Collaboration Dependency, Tenure), a contextual manager judgment score, and a supporting machine learning score. The system incorporates automated response-quality auditing (detecting straight-lining and polarity contradictions), an Analytic Hierarchy Process (AHP) calibration gate, and connections to AI-assisted transfer planning, dual verification, and mitigation tracking.</w:t>
        <w:br/>
        <w:br/>
        <w:t>The empirical evaluation utilized assessment responses from 30 industry professionals, pairwise comparison judgments from 10 domain experts, and usability and acceptance responses from 10 managerial system evaluators. The aggregated expert comparison matrix produced a Consistency Ratio (CR) of 0.200, exceeding the preset threshold of 0.10; the baseline formula weights (25/20/20/20/15) were consequently retained, demonstrating effective algorithmic quality control. Ten usability evaluations yielded a mean System Usability Scale (SUS) score of 89.50 (SD 3.07), well above industry benchmarks. Reported Technology Acceptance Model (TAM) means were 4.43 for Perceived Usefulness, 4.53 for Perceived Ease of Use, and 4.60 for Behavioral Intention. Three longitudinal mitigation demonstration records confirmed successful scoreDelta reductions (+3.30, +2.60, +3.30) following dual-verified activities. These findings confirm the functional reliability, explainability, and usability of the developed Decision Support System prototype, while establishing clear boundaries regarding long-term organizational knowledge retention.</w:t>
      </w:r>
    </w:p>
    <w:p>
      <w:r>
        <w:rPr>
          <w:rFonts w:ascii="Times New Roman" w:hAnsi="Times New Roman"/>
          <w:b/>
          <w:i w:val="0"/>
          <w:color w:val="000000"/>
          <w:sz w:val="24"/>
        </w:rPr>
        <w:t xml:space="preserve">Keywords: </w:t>
      </w:r>
      <w:r>
        <w:rPr>
          <w:rFonts w:ascii="Times New Roman" w:hAnsi="Times New Roman"/>
          <w:b w:val="0"/>
          <w:i w:val="0"/>
          <w:color w:val="000000"/>
          <w:sz w:val="24"/>
        </w:rPr>
        <w:t>knowledge management, tacit knowledge loss, decision support systems, knowledge transfer, Analytic Hierarchy Process, Design Science Research, explainable AI, response quality auditing</w:t>
      </w:r>
    </w:p>
    <w:p>
      <w:r>
        <w:br w:type="page"/>
      </w:r>
    </w:p>
    <w:p>
      <w:pPr>
        <w:pStyle w:val="Heading1"/>
      </w:pPr>
      <w:r>
        <w:t>Acknowledgements</w:t>
      </w:r>
    </w:p>
    <w:p>
      <w:pPr>
        <w:jc w:val="both"/>
      </w:pPr>
      <w:r>
        <w:rPr>
          <w:rFonts w:ascii="Times New Roman" w:hAnsi="Times New Roman"/>
          <w:b w:val="0"/>
          <w:i w:val="0"/>
          <w:color w:val="000000"/>
          <w:sz w:val="24"/>
        </w:rPr>
        <w:t>I wish to express my deepest gratitude to my principal research supervisor and the academic faculty of the Department of Information Systems, Faculty of Computing, NSBM Green University, for their invaluable academic guidance, critique, and continuous mentorship throughout this study. I extend sincere appreciation to the 30 industry professionals who participated in the assessment data collection, the 10 domain experts who provided AHP pairwise judgments, and the 10 managerial professionals who evaluated the prototype. Finally, I thank my family and peers for their constant encouragement and support.</w:t>
      </w:r>
    </w:p>
    <w:p>
      <w:r>
        <w:br w:type="page"/>
      </w:r>
    </w:p>
    <w:p>
      <w:pPr>
        <w:pStyle w:val="Heading1"/>
      </w:pPr>
      <w:r>
        <w:t>Table of Contents</w:t>
      </w:r>
    </w:p>
    <w:p>
      <w:pPr>
        <w:spacing w:line="288" w:lineRule="auto" w:after="40"/>
      </w:pPr>
      <w:r>
        <w:rPr>
          <w:rFonts w:ascii="Times New Roman" w:hAnsi="Times New Roman"/>
          <w:b/>
          <w:i w:val="0"/>
          <w:color w:val="000000"/>
          <w:sz w:val="22"/>
        </w:rPr>
        <w:t>Declaration</w:t>
      </w:r>
    </w:p>
    <w:p>
      <w:pPr>
        <w:spacing w:line="288" w:lineRule="auto" w:after="40"/>
      </w:pPr>
      <w:r>
        <w:rPr>
          <w:rFonts w:ascii="Times New Roman" w:hAnsi="Times New Roman"/>
          <w:b/>
          <w:i w:val="0"/>
          <w:color w:val="000000"/>
          <w:sz w:val="22"/>
        </w:rPr>
        <w:t>Abstract</w:t>
      </w:r>
    </w:p>
    <w:p>
      <w:pPr>
        <w:spacing w:line="288" w:lineRule="auto" w:after="40"/>
      </w:pPr>
      <w:r>
        <w:rPr>
          <w:rFonts w:ascii="Times New Roman" w:hAnsi="Times New Roman"/>
          <w:b/>
          <w:i w:val="0"/>
          <w:color w:val="000000"/>
          <w:sz w:val="22"/>
        </w:rPr>
        <w:t>Acknowledgements</w:t>
      </w:r>
    </w:p>
    <w:p>
      <w:pPr>
        <w:spacing w:line="288" w:lineRule="auto" w:after="40"/>
      </w:pPr>
      <w:r>
        <w:rPr>
          <w:rFonts w:ascii="Times New Roman" w:hAnsi="Times New Roman"/>
          <w:b/>
          <w:i w:val="0"/>
          <w:color w:val="000000"/>
          <w:sz w:val="22"/>
        </w:rPr>
        <w:t>Table of Contents</w:t>
      </w:r>
    </w:p>
    <w:p>
      <w:pPr>
        <w:spacing w:line="288" w:lineRule="auto" w:after="40"/>
      </w:pPr>
      <w:r>
        <w:rPr>
          <w:rFonts w:ascii="Times New Roman" w:hAnsi="Times New Roman"/>
          <w:b/>
          <w:i w:val="0"/>
          <w:color w:val="000000"/>
          <w:sz w:val="22"/>
        </w:rPr>
        <w:t>List of Figures</w:t>
      </w:r>
    </w:p>
    <w:p>
      <w:pPr>
        <w:spacing w:line="288" w:lineRule="auto" w:after="40"/>
      </w:pPr>
      <w:r>
        <w:rPr>
          <w:rFonts w:ascii="Times New Roman" w:hAnsi="Times New Roman"/>
          <w:b/>
          <w:i w:val="0"/>
          <w:color w:val="000000"/>
          <w:sz w:val="22"/>
        </w:rPr>
        <w:t>List of Tables</w:t>
      </w:r>
    </w:p>
    <w:p>
      <w:pPr>
        <w:spacing w:line="288" w:lineRule="auto" w:after="40"/>
      </w:pPr>
      <w:r>
        <w:rPr>
          <w:rFonts w:ascii="Times New Roman" w:hAnsi="Times New Roman"/>
          <w:b/>
          <w:i w:val="0"/>
          <w:color w:val="000000"/>
          <w:sz w:val="22"/>
        </w:rPr>
        <w:t>Chapter 1 — Introduction</w:t>
      </w:r>
    </w:p>
    <w:p>
      <w:pPr>
        <w:spacing w:line="288" w:lineRule="auto" w:after="40"/>
      </w:pPr>
      <w:r>
        <w:rPr>
          <w:rFonts w:ascii="Times New Roman" w:hAnsi="Times New Roman"/>
          <w:b w:val="0"/>
          <w:i w:val="0"/>
          <w:color w:val="000000"/>
          <w:sz w:val="20"/>
        </w:rPr>
        <w:t xml:space="preserve">  1.1 Chapter Overview</w:t>
      </w:r>
    </w:p>
    <w:p>
      <w:pPr>
        <w:spacing w:line="288" w:lineRule="auto" w:after="40"/>
      </w:pPr>
      <w:r>
        <w:rPr>
          <w:rFonts w:ascii="Times New Roman" w:hAnsi="Times New Roman"/>
          <w:b w:val="0"/>
          <w:i w:val="0"/>
          <w:color w:val="000000"/>
          <w:sz w:val="20"/>
        </w:rPr>
        <w:t xml:space="preserve">  1.2 Problem Background</w:t>
      </w:r>
    </w:p>
    <w:p>
      <w:pPr>
        <w:spacing w:line="288" w:lineRule="auto" w:after="40"/>
      </w:pPr>
      <w:r>
        <w:rPr>
          <w:rFonts w:ascii="Times New Roman" w:hAnsi="Times New Roman"/>
          <w:b w:val="0"/>
          <w:i w:val="0"/>
          <w:color w:val="000000"/>
          <w:sz w:val="20"/>
        </w:rPr>
        <w:t xml:space="preserve">  1.3 Problem Statement</w:t>
      </w:r>
    </w:p>
    <w:p>
      <w:pPr>
        <w:spacing w:line="288" w:lineRule="auto" w:after="40"/>
      </w:pPr>
      <w:r>
        <w:rPr>
          <w:rFonts w:ascii="Times New Roman" w:hAnsi="Times New Roman"/>
          <w:b w:val="0"/>
          <w:i w:val="0"/>
          <w:color w:val="000000"/>
          <w:sz w:val="20"/>
        </w:rPr>
        <w:t xml:space="preserve">  1.4 Research Questions</w:t>
      </w:r>
    </w:p>
    <w:p>
      <w:pPr>
        <w:spacing w:line="288" w:lineRule="auto" w:after="40"/>
      </w:pPr>
      <w:r>
        <w:rPr>
          <w:rFonts w:ascii="Times New Roman" w:hAnsi="Times New Roman"/>
          <w:b w:val="0"/>
          <w:i w:val="0"/>
          <w:color w:val="000000"/>
          <w:sz w:val="20"/>
        </w:rPr>
        <w:t xml:space="preserve">  1.5 Research Motivation</w:t>
      </w:r>
    </w:p>
    <w:p>
      <w:pPr>
        <w:spacing w:line="288" w:lineRule="auto" w:after="40"/>
      </w:pPr>
      <w:r>
        <w:rPr>
          <w:rFonts w:ascii="Times New Roman" w:hAnsi="Times New Roman"/>
          <w:b w:val="0"/>
          <w:i w:val="0"/>
          <w:color w:val="000000"/>
          <w:sz w:val="20"/>
        </w:rPr>
        <w:t xml:space="preserve">  1.6 Research Aim</w:t>
      </w:r>
    </w:p>
    <w:p>
      <w:pPr>
        <w:spacing w:line="288" w:lineRule="auto" w:after="40"/>
      </w:pPr>
      <w:r>
        <w:rPr>
          <w:rFonts w:ascii="Times New Roman" w:hAnsi="Times New Roman"/>
          <w:b w:val="0"/>
          <w:i w:val="0"/>
          <w:color w:val="000000"/>
          <w:sz w:val="20"/>
        </w:rPr>
        <w:t xml:space="preserve">  1.7 Research Objectives</w:t>
      </w:r>
    </w:p>
    <w:p>
      <w:pPr>
        <w:spacing w:line="288" w:lineRule="auto" w:after="40"/>
      </w:pPr>
      <w:r>
        <w:rPr>
          <w:rFonts w:ascii="Times New Roman" w:hAnsi="Times New Roman"/>
          <w:b w:val="0"/>
          <w:i w:val="0"/>
          <w:color w:val="000000"/>
          <w:sz w:val="20"/>
        </w:rPr>
        <w:t xml:space="preserve">  1.8 Rich Picture and High-Level Workflow</w:t>
      </w:r>
    </w:p>
    <w:p>
      <w:pPr>
        <w:spacing w:line="288" w:lineRule="auto" w:after="40"/>
      </w:pPr>
      <w:r>
        <w:rPr>
          <w:rFonts w:ascii="Times New Roman" w:hAnsi="Times New Roman"/>
          <w:b w:val="0"/>
          <w:i w:val="0"/>
          <w:color w:val="000000"/>
          <w:sz w:val="20"/>
        </w:rPr>
        <w:t xml:space="preserve">  1.9 Resource Requirements</w:t>
      </w:r>
    </w:p>
    <w:p>
      <w:pPr>
        <w:spacing w:line="288" w:lineRule="auto" w:after="40"/>
      </w:pPr>
      <w:r>
        <w:rPr>
          <w:rFonts w:ascii="Times New Roman" w:hAnsi="Times New Roman"/>
          <w:b w:val="0"/>
          <w:i w:val="0"/>
          <w:color w:val="000000"/>
          <w:sz w:val="20"/>
        </w:rPr>
        <w:t xml:space="preserve">  1.10 Project Scope</w:t>
      </w:r>
    </w:p>
    <w:p>
      <w:pPr>
        <w:spacing w:line="288" w:lineRule="auto" w:after="40"/>
      </w:pPr>
      <w:r>
        <w:rPr>
          <w:rFonts w:ascii="Times New Roman" w:hAnsi="Times New Roman"/>
          <w:b w:val="0"/>
          <w:i w:val="0"/>
          <w:color w:val="000000"/>
          <w:sz w:val="20"/>
        </w:rPr>
        <w:t xml:space="preserve">  1.11 Chapter Summary</w:t>
      </w:r>
    </w:p>
    <w:p>
      <w:pPr>
        <w:spacing w:line="288" w:lineRule="auto" w:after="40"/>
      </w:pPr>
      <w:r>
        <w:rPr>
          <w:rFonts w:ascii="Times New Roman" w:hAnsi="Times New Roman"/>
          <w:b/>
          <w:i w:val="0"/>
          <w:color w:val="000000"/>
          <w:sz w:val="22"/>
        </w:rPr>
        <w:t>Chapter 2 — Literature Review</w:t>
      </w:r>
    </w:p>
    <w:p>
      <w:pPr>
        <w:spacing w:line="288" w:lineRule="auto" w:after="40"/>
      </w:pPr>
      <w:r>
        <w:rPr>
          <w:rFonts w:ascii="Times New Roman" w:hAnsi="Times New Roman"/>
          <w:b w:val="0"/>
          <w:i w:val="0"/>
          <w:color w:val="000000"/>
          <w:sz w:val="20"/>
        </w:rPr>
        <w:t xml:space="preserve">  2.1 Chapter Overview</w:t>
      </w:r>
    </w:p>
    <w:p>
      <w:pPr>
        <w:spacing w:line="288" w:lineRule="auto" w:after="40"/>
      </w:pPr>
      <w:r>
        <w:rPr>
          <w:rFonts w:ascii="Times New Roman" w:hAnsi="Times New Roman"/>
          <w:b w:val="0"/>
          <w:i w:val="0"/>
          <w:color w:val="000000"/>
          <w:sz w:val="20"/>
        </w:rPr>
        <w:t xml:space="preserve">  2.2 Domain Overview: Explicit vs. Tacit Knowledge</w:t>
      </w:r>
    </w:p>
    <w:p>
      <w:pPr>
        <w:spacing w:line="288" w:lineRule="auto" w:after="40"/>
      </w:pPr>
      <w:r>
        <w:rPr>
          <w:rFonts w:ascii="Times New Roman" w:hAnsi="Times New Roman"/>
          <w:b w:val="0"/>
          <w:i w:val="0"/>
          <w:color w:val="000000"/>
          <w:sz w:val="20"/>
        </w:rPr>
        <w:t xml:space="preserve">  2.3 Critical Analysis of Existing Systems and Frameworks</w:t>
      </w:r>
    </w:p>
    <w:p>
      <w:pPr>
        <w:spacing w:line="288" w:lineRule="auto" w:after="40"/>
      </w:pPr>
      <w:r>
        <w:rPr>
          <w:rFonts w:ascii="Times New Roman" w:hAnsi="Times New Roman"/>
          <w:b w:val="0"/>
          <w:i w:val="0"/>
          <w:color w:val="000000"/>
          <w:sz w:val="20"/>
        </w:rPr>
        <w:t xml:space="preserve">  2.4 Analytical and Technological Foundations</w:t>
      </w:r>
    </w:p>
    <w:p>
      <w:pPr>
        <w:spacing w:line="288" w:lineRule="auto" w:after="40"/>
      </w:pPr>
      <w:r>
        <w:rPr>
          <w:rFonts w:ascii="Times New Roman" w:hAnsi="Times New Roman"/>
          <w:b w:val="0"/>
          <w:i w:val="0"/>
          <w:color w:val="000000"/>
          <w:sz w:val="20"/>
        </w:rPr>
        <w:t xml:space="preserve">  2.5 Research Gap and Synthesis</w:t>
      </w:r>
    </w:p>
    <w:p>
      <w:pPr>
        <w:spacing w:line="288" w:lineRule="auto" w:after="40"/>
      </w:pPr>
      <w:r>
        <w:rPr>
          <w:rFonts w:ascii="Times New Roman" w:hAnsi="Times New Roman"/>
          <w:b/>
          <w:i w:val="0"/>
          <w:color w:val="000000"/>
          <w:sz w:val="22"/>
        </w:rPr>
        <w:t>Chapter 3 — Methodology</w:t>
      </w:r>
    </w:p>
    <w:p>
      <w:pPr>
        <w:spacing w:line="288" w:lineRule="auto" w:after="40"/>
      </w:pPr>
      <w:r>
        <w:rPr>
          <w:rFonts w:ascii="Times New Roman" w:hAnsi="Times New Roman"/>
          <w:b w:val="0"/>
          <w:i w:val="0"/>
          <w:color w:val="000000"/>
          <w:sz w:val="20"/>
        </w:rPr>
        <w:t xml:space="preserve">  3.1 Research Paradigm and Design</w:t>
      </w:r>
    </w:p>
    <w:p>
      <w:pPr>
        <w:spacing w:line="288" w:lineRule="auto" w:after="40"/>
      </w:pPr>
      <w:r>
        <w:rPr>
          <w:rFonts w:ascii="Times New Roman" w:hAnsi="Times New Roman"/>
          <w:b w:val="0"/>
          <w:i w:val="0"/>
          <w:color w:val="000000"/>
          <w:sz w:val="20"/>
        </w:rPr>
        <w:t xml:space="preserve">  3.2 Research Strategy: Design Science Research</w:t>
      </w:r>
    </w:p>
    <w:p>
      <w:pPr>
        <w:spacing w:line="288" w:lineRule="auto" w:after="40"/>
      </w:pPr>
      <w:r>
        <w:rPr>
          <w:rFonts w:ascii="Times New Roman" w:hAnsi="Times New Roman"/>
          <w:b w:val="0"/>
          <w:i w:val="0"/>
          <w:color w:val="000000"/>
          <w:sz w:val="20"/>
        </w:rPr>
        <w:t xml:space="preserve">  3.3 Evidence and Participant Sampling</w:t>
      </w:r>
    </w:p>
    <w:p>
      <w:pPr>
        <w:spacing w:line="288" w:lineRule="auto" w:after="40"/>
      </w:pPr>
      <w:r>
        <w:rPr>
          <w:rFonts w:ascii="Times New Roman" w:hAnsi="Times New Roman"/>
          <w:b w:val="0"/>
          <w:i w:val="0"/>
          <w:color w:val="000000"/>
          <w:sz w:val="20"/>
        </w:rPr>
        <w:t xml:space="preserve">  3.4 Data Handling, Ethics, and Governance</w:t>
      </w:r>
    </w:p>
    <w:p>
      <w:pPr>
        <w:spacing w:line="288" w:lineRule="auto" w:after="40"/>
      </w:pPr>
      <w:r>
        <w:rPr>
          <w:rFonts w:ascii="Times New Roman" w:hAnsi="Times New Roman"/>
          <w:b/>
          <w:i w:val="0"/>
          <w:color w:val="000000"/>
          <w:sz w:val="22"/>
        </w:rPr>
        <w:t>Chapter 4 — System Requirement Specification</w:t>
      </w:r>
    </w:p>
    <w:p>
      <w:pPr>
        <w:spacing w:line="288" w:lineRule="auto" w:after="40"/>
      </w:pPr>
      <w:r>
        <w:rPr>
          <w:rFonts w:ascii="Times New Roman" w:hAnsi="Times New Roman"/>
          <w:b w:val="0"/>
          <w:i w:val="0"/>
          <w:color w:val="000000"/>
          <w:sz w:val="20"/>
        </w:rPr>
        <w:t xml:space="preserve">  4.1 Stakeholder Analysis</w:t>
      </w:r>
    </w:p>
    <w:p>
      <w:pPr>
        <w:spacing w:line="288" w:lineRule="auto" w:after="40"/>
      </w:pPr>
      <w:r>
        <w:rPr>
          <w:rFonts w:ascii="Times New Roman" w:hAnsi="Times New Roman"/>
          <w:b w:val="0"/>
          <w:i w:val="0"/>
          <w:color w:val="000000"/>
          <w:sz w:val="20"/>
        </w:rPr>
        <w:t xml:space="preserve">  4.2 Operationalization of Knowledge-Loss Risk Indicators</w:t>
      </w:r>
    </w:p>
    <w:p>
      <w:pPr>
        <w:spacing w:line="288" w:lineRule="auto" w:after="40"/>
      </w:pPr>
      <w:r>
        <w:rPr>
          <w:rFonts w:ascii="Times New Roman" w:hAnsi="Times New Roman"/>
          <w:b w:val="0"/>
          <w:i w:val="0"/>
          <w:color w:val="000000"/>
          <w:sz w:val="20"/>
        </w:rPr>
        <w:t xml:space="preserve">  4.3 Functional and Non-Functional Requirements</w:t>
      </w:r>
    </w:p>
    <w:p>
      <w:pPr>
        <w:spacing w:line="288" w:lineRule="auto" w:after="40"/>
      </w:pPr>
      <w:r>
        <w:rPr>
          <w:rFonts w:ascii="Times New Roman" w:hAnsi="Times New Roman"/>
          <w:b/>
          <w:i w:val="0"/>
          <w:color w:val="000000"/>
          <w:sz w:val="22"/>
        </w:rPr>
        <w:t>Chapter 5 — System Implementation and Architecture</w:t>
      </w:r>
    </w:p>
    <w:p>
      <w:pPr>
        <w:spacing w:line="288" w:lineRule="auto" w:after="40"/>
      </w:pPr>
      <w:r>
        <w:rPr>
          <w:rFonts w:ascii="Times New Roman" w:hAnsi="Times New Roman"/>
          <w:b w:val="0"/>
          <w:i w:val="0"/>
          <w:color w:val="000000"/>
          <w:sz w:val="20"/>
        </w:rPr>
        <w:t xml:space="preserve">  5.1 Architecture Overview</w:t>
      </w:r>
    </w:p>
    <w:p>
      <w:pPr>
        <w:spacing w:line="288" w:lineRule="auto" w:after="40"/>
      </w:pPr>
      <w:r>
        <w:rPr>
          <w:rFonts w:ascii="Times New Roman" w:hAnsi="Times New Roman"/>
          <w:b w:val="0"/>
          <w:i w:val="0"/>
          <w:color w:val="000000"/>
          <w:sz w:val="20"/>
        </w:rPr>
        <w:t xml:space="preserve">  5.2 Resolution of the Scoring Conflict</w:t>
      </w:r>
    </w:p>
    <w:p>
      <w:pPr>
        <w:spacing w:line="288" w:lineRule="auto" w:after="40"/>
      </w:pPr>
      <w:r>
        <w:rPr>
          <w:rFonts w:ascii="Times New Roman" w:hAnsi="Times New Roman"/>
          <w:b w:val="0"/>
          <w:i w:val="0"/>
          <w:color w:val="000000"/>
          <w:sz w:val="20"/>
        </w:rPr>
        <w:t xml:space="preserve">  5.3 Dynamic Ingestion and Reverse-Polarity Engine</w:t>
      </w:r>
    </w:p>
    <w:p>
      <w:pPr>
        <w:spacing w:line="288" w:lineRule="auto" w:after="40"/>
      </w:pPr>
      <w:r>
        <w:rPr>
          <w:rFonts w:ascii="Times New Roman" w:hAnsi="Times New Roman"/>
          <w:b w:val="0"/>
          <w:i w:val="0"/>
          <w:color w:val="000000"/>
          <w:sz w:val="20"/>
        </w:rPr>
        <w:t xml:space="preserve">  5.4 Dual-Verification Workflow Logic</w:t>
      </w:r>
    </w:p>
    <w:p>
      <w:pPr>
        <w:spacing w:line="288" w:lineRule="auto" w:after="40"/>
      </w:pPr>
      <w:r>
        <w:rPr>
          <w:rFonts w:ascii="Times New Roman" w:hAnsi="Times New Roman"/>
          <w:b/>
          <w:i w:val="0"/>
          <w:color w:val="000000"/>
          <w:sz w:val="22"/>
        </w:rPr>
        <w:t>Chapter 6 — Testing and Evaluation</w:t>
      </w:r>
    </w:p>
    <w:p>
      <w:pPr>
        <w:spacing w:line="288" w:lineRule="auto" w:after="40"/>
      </w:pPr>
      <w:r>
        <w:rPr>
          <w:rFonts w:ascii="Times New Roman" w:hAnsi="Times New Roman"/>
          <w:b w:val="0"/>
          <w:i w:val="0"/>
          <w:color w:val="000000"/>
          <w:sz w:val="20"/>
        </w:rPr>
        <w:t xml:space="preserve">  6.1 Chapter Overview</w:t>
      </w:r>
    </w:p>
    <w:p>
      <w:pPr>
        <w:spacing w:line="288" w:lineRule="auto" w:after="40"/>
      </w:pPr>
      <w:r>
        <w:rPr>
          <w:rFonts w:ascii="Times New Roman" w:hAnsi="Times New Roman"/>
          <w:b w:val="0"/>
          <w:i w:val="0"/>
          <w:color w:val="000000"/>
          <w:sz w:val="20"/>
        </w:rPr>
        <w:t xml:space="preserve">  6.2 Test Plan and Execution Evidence</w:t>
      </w:r>
    </w:p>
    <w:p>
      <w:pPr>
        <w:spacing w:line="288" w:lineRule="auto" w:after="40"/>
      </w:pPr>
      <w:r>
        <w:rPr>
          <w:rFonts w:ascii="Times New Roman" w:hAnsi="Times New Roman"/>
          <w:b w:val="0"/>
          <w:i w:val="0"/>
          <w:color w:val="000000"/>
          <w:sz w:val="20"/>
        </w:rPr>
        <w:t xml:space="preserve">  6.3 AHP Expert Weight Calibration and Inconsistency Rejection</w:t>
      </w:r>
    </w:p>
    <w:p>
      <w:pPr>
        <w:spacing w:line="288" w:lineRule="auto" w:after="40"/>
      </w:pPr>
      <w:r>
        <w:rPr>
          <w:rFonts w:ascii="Times New Roman" w:hAnsi="Times New Roman"/>
          <w:b w:val="0"/>
          <w:i w:val="0"/>
          <w:color w:val="000000"/>
          <w:sz w:val="20"/>
        </w:rPr>
        <w:t xml:space="preserve">  6.4 Usability and Technology Acceptance Evaluation</w:t>
      </w:r>
    </w:p>
    <w:p>
      <w:pPr>
        <w:spacing w:line="288" w:lineRule="auto" w:after="40"/>
      </w:pPr>
      <w:r>
        <w:rPr>
          <w:rFonts w:ascii="Times New Roman" w:hAnsi="Times New Roman"/>
          <w:b w:val="0"/>
          <w:i w:val="0"/>
          <w:color w:val="000000"/>
          <w:sz w:val="20"/>
        </w:rPr>
        <w:t xml:space="preserve">  6.5 Machine Learning Model Evaluation</w:t>
      </w:r>
    </w:p>
    <w:p>
      <w:pPr>
        <w:spacing w:line="288" w:lineRule="auto" w:after="40"/>
      </w:pPr>
      <w:r>
        <w:rPr>
          <w:rFonts w:ascii="Times New Roman" w:hAnsi="Times New Roman"/>
          <w:b w:val="0"/>
          <w:i w:val="0"/>
          <w:color w:val="000000"/>
          <w:sz w:val="20"/>
        </w:rPr>
        <w:t xml:space="preserve">  6.6 Risk Mitigation Tracking Records</w:t>
      </w:r>
    </w:p>
    <w:p>
      <w:pPr>
        <w:spacing w:line="288" w:lineRule="auto" w:after="40"/>
      </w:pPr>
      <w:r>
        <w:rPr>
          <w:rFonts w:ascii="Times New Roman" w:hAnsi="Times New Roman"/>
          <w:b/>
          <w:i w:val="0"/>
          <w:color w:val="000000"/>
          <w:sz w:val="22"/>
        </w:rPr>
        <w:t>Chapter 7 — Discussion and Conclusions</w:t>
      </w:r>
    </w:p>
    <w:p>
      <w:pPr>
        <w:spacing w:line="288" w:lineRule="auto" w:after="40"/>
      </w:pPr>
      <w:r>
        <w:rPr>
          <w:rFonts w:ascii="Times New Roman" w:hAnsi="Times New Roman"/>
          <w:b w:val="0"/>
          <w:i w:val="0"/>
          <w:color w:val="000000"/>
          <w:sz w:val="20"/>
        </w:rPr>
        <w:t xml:space="preserve">  7.1 Interpretation of Findings</w:t>
      </w:r>
    </w:p>
    <w:p>
      <w:pPr>
        <w:spacing w:line="288" w:lineRule="auto" w:after="40"/>
      </w:pPr>
      <w:r>
        <w:rPr>
          <w:rFonts w:ascii="Times New Roman" w:hAnsi="Times New Roman"/>
          <w:b w:val="0"/>
          <w:i w:val="0"/>
          <w:color w:val="000000"/>
          <w:sz w:val="20"/>
        </w:rPr>
        <w:t xml:space="preserve">  7.2 Research Contribution: Integrated Human-Supervised Workflow</w:t>
      </w:r>
    </w:p>
    <w:p>
      <w:pPr>
        <w:spacing w:line="288" w:lineRule="auto" w:after="40"/>
      </w:pPr>
      <w:r>
        <w:rPr>
          <w:rFonts w:ascii="Times New Roman" w:hAnsi="Times New Roman"/>
          <w:b w:val="0"/>
          <w:i w:val="0"/>
          <w:color w:val="000000"/>
          <w:sz w:val="20"/>
        </w:rPr>
        <w:t xml:space="preserve">  7.3 Limitations and Research Integrity</w:t>
      </w:r>
    </w:p>
    <w:p>
      <w:pPr>
        <w:spacing w:line="288" w:lineRule="auto" w:after="40"/>
      </w:pPr>
      <w:r>
        <w:rPr>
          <w:rFonts w:ascii="Times New Roman" w:hAnsi="Times New Roman"/>
          <w:b w:val="0"/>
          <w:i w:val="0"/>
          <w:color w:val="000000"/>
          <w:sz w:val="20"/>
        </w:rPr>
        <w:t xml:space="preserve">  7.4 Future Recommendations</w:t>
      </w:r>
    </w:p>
    <w:p>
      <w:pPr>
        <w:spacing w:line="288" w:lineRule="auto" w:after="40"/>
      </w:pPr>
      <w:r>
        <w:rPr>
          <w:rFonts w:ascii="Times New Roman" w:hAnsi="Times New Roman"/>
          <w:b w:val="0"/>
          <w:i w:val="0"/>
          <w:color w:val="000000"/>
          <w:sz w:val="20"/>
        </w:rPr>
        <w:t xml:space="preserve">  7.5 Concluding Summary</w:t>
      </w:r>
    </w:p>
    <w:p>
      <w:pPr>
        <w:spacing w:line="288" w:lineRule="auto" w:after="40"/>
      </w:pPr>
      <w:r>
        <w:rPr>
          <w:rFonts w:ascii="Times New Roman" w:hAnsi="Times New Roman"/>
          <w:b/>
          <w:i w:val="0"/>
          <w:color w:val="000000"/>
          <w:sz w:val="22"/>
        </w:rPr>
        <w:t>References</w:t>
      </w:r>
    </w:p>
    <w:p>
      <w:pPr>
        <w:spacing w:line="288" w:lineRule="auto" w:after="40"/>
      </w:pPr>
      <w:r>
        <w:rPr>
          <w:rFonts w:ascii="Times New Roman" w:hAnsi="Times New Roman"/>
          <w:b/>
          <w:i w:val="0"/>
          <w:color w:val="000000"/>
          <w:sz w:val="22"/>
        </w:rPr>
        <w:t>Appendices</w:t>
      </w:r>
    </w:p>
    <w:p>
      <w:pPr>
        <w:spacing w:line="288" w:lineRule="auto" w:after="40"/>
      </w:pPr>
      <w:r>
        <w:rPr>
          <w:rFonts w:ascii="Times New Roman" w:hAnsi="Times New Roman"/>
          <w:b w:val="0"/>
          <w:i w:val="0"/>
          <w:color w:val="000000"/>
          <w:sz w:val="20"/>
        </w:rPr>
        <w:t xml:space="preserve">  Appendix 1: Employee Questionnaire and Scoring Key</w:t>
      </w:r>
    </w:p>
    <w:p>
      <w:pPr>
        <w:spacing w:line="288" w:lineRule="auto" w:after="40"/>
      </w:pPr>
      <w:r>
        <w:rPr>
          <w:rFonts w:ascii="Times New Roman" w:hAnsi="Times New Roman"/>
          <w:b w:val="0"/>
          <w:i w:val="0"/>
          <w:color w:val="000000"/>
          <w:sz w:val="20"/>
        </w:rPr>
        <w:t xml:space="preserve">  Appendix 2: Data Dictionary and Risk Configuration</w:t>
      </w:r>
    </w:p>
    <w:p>
      <w:pPr>
        <w:spacing w:line="288" w:lineRule="auto" w:after="40"/>
      </w:pPr>
      <w:r>
        <w:rPr>
          <w:rFonts w:ascii="Times New Roman" w:hAnsi="Times New Roman"/>
          <w:b w:val="0"/>
          <w:i w:val="0"/>
          <w:color w:val="000000"/>
          <w:sz w:val="20"/>
        </w:rPr>
        <w:t xml:space="preserve">  Appendix 3: Complete Test Evidence</w:t>
      </w:r>
    </w:p>
    <w:p>
      <w:pPr>
        <w:spacing w:line="288" w:lineRule="auto" w:after="40"/>
      </w:pPr>
      <w:r>
        <w:rPr>
          <w:rFonts w:ascii="Times New Roman" w:hAnsi="Times New Roman"/>
          <w:b w:val="0"/>
          <w:i w:val="0"/>
          <w:color w:val="000000"/>
          <w:sz w:val="20"/>
        </w:rPr>
        <w:t xml:space="preserve">  Appendix 4: SUS and TAM Evaluation Instruments and Calculations</w:t>
      </w:r>
    </w:p>
    <w:p>
      <w:pPr>
        <w:spacing w:line="288" w:lineRule="auto" w:after="40"/>
      </w:pPr>
      <w:r>
        <w:rPr>
          <w:rFonts w:ascii="Times New Roman" w:hAnsi="Times New Roman"/>
          <w:b w:val="0"/>
          <w:i w:val="0"/>
          <w:color w:val="000000"/>
          <w:sz w:val="20"/>
        </w:rPr>
        <w:t xml:space="preserve">  Appendix 5: AHP Expert Matrices and Consistency Analysis</w:t>
      </w:r>
    </w:p>
    <w:p>
      <w:pPr>
        <w:spacing w:line="288" w:lineRule="auto" w:after="40"/>
      </w:pPr>
      <w:r>
        <w:rPr>
          <w:rFonts w:ascii="Times New Roman" w:hAnsi="Times New Roman"/>
          <w:b w:val="0"/>
          <w:i w:val="0"/>
          <w:color w:val="000000"/>
          <w:sz w:val="20"/>
        </w:rPr>
        <w:t xml:space="preserve">  Appendix 6: Supplementary System Design and Implementation Excerpts</w:t>
      </w:r>
    </w:p>
    <w:p>
      <w:pPr>
        <w:spacing w:line="288" w:lineRule="auto" w:after="40"/>
      </w:pPr>
      <w:r>
        <w:rPr>
          <w:rFonts w:ascii="Times New Roman" w:hAnsi="Times New Roman"/>
          <w:b w:val="0"/>
          <w:i w:val="0"/>
          <w:color w:val="000000"/>
          <w:sz w:val="20"/>
        </w:rPr>
        <w:t xml:space="preserve">  Appendix 7: Ethics, Permission, and Governance Documentation</w:t>
      </w:r>
    </w:p>
    <w:p>
      <w:pPr>
        <w:spacing w:line="288" w:lineRule="auto" w:after="40"/>
      </w:pPr>
      <w:r>
        <w:rPr>
          <w:rFonts w:ascii="Times New Roman" w:hAnsi="Times New Roman"/>
          <w:b w:val="0"/>
          <w:i w:val="0"/>
          <w:color w:val="000000"/>
          <w:sz w:val="20"/>
        </w:rPr>
        <w:t xml:space="preserve">  Appendix 8: Knowledge Transfer and Mitigation Records</w:t>
      </w:r>
    </w:p>
    <w:p>
      <w:pPr>
        <w:spacing w:line="288" w:lineRule="auto" w:after="40"/>
      </w:pPr>
      <w:r>
        <w:rPr>
          <w:rFonts w:ascii="Times New Roman" w:hAnsi="Times New Roman"/>
          <w:b w:val="0"/>
          <w:i w:val="0"/>
          <w:color w:val="000000"/>
          <w:sz w:val="20"/>
        </w:rPr>
        <w:t xml:space="preserve">  Appendix 9: Project Management and Supplementary Specifications</w:t>
      </w:r>
    </w:p>
    <w:p>
      <w:r>
        <w:br w:type="page"/>
      </w:r>
    </w:p>
    <w:p>
      <w:pPr>
        <w:pStyle w:val="Heading1"/>
      </w:pPr>
      <w:r>
        <w:t>List of Figures</w:t>
      </w:r>
    </w:p>
    <w:p>
      <w:pPr>
        <w:spacing w:after="60"/>
      </w:pPr>
      <w:r>
        <w:rPr>
          <w:rFonts w:ascii="Times New Roman" w:hAnsi="Times New Roman"/>
          <w:b w:val="0"/>
          <w:i w:val="0"/>
          <w:color w:val="000000"/>
          <w:sz w:val="21"/>
        </w:rPr>
        <w:t>Figure 1.1: Rich Picture of the Proposed KnowledgeGuard Solution</w:t>
      </w:r>
    </w:p>
    <w:p>
      <w:pPr>
        <w:spacing w:after="60"/>
      </w:pPr>
      <w:r>
        <w:rPr>
          <w:rFonts w:ascii="Times New Roman" w:hAnsi="Times New Roman"/>
          <w:b w:val="0"/>
          <w:i w:val="0"/>
          <w:color w:val="000000"/>
          <w:sz w:val="21"/>
        </w:rPr>
        <w:t>Figure 3.1: Conceptual Map of Relevant Literature Progression</w:t>
      </w:r>
    </w:p>
    <w:p>
      <w:pPr>
        <w:spacing w:after="60"/>
      </w:pPr>
      <w:r>
        <w:rPr>
          <w:rFonts w:ascii="Times New Roman" w:hAnsi="Times New Roman"/>
          <w:b w:val="0"/>
          <w:i w:val="0"/>
          <w:color w:val="000000"/>
          <w:sz w:val="21"/>
        </w:rPr>
        <w:t>Figure 4.1: Use Case Model for Role-Based DSS Interactions</w:t>
      </w:r>
    </w:p>
    <w:p>
      <w:pPr>
        <w:spacing w:after="60"/>
      </w:pPr>
      <w:r>
        <w:rPr>
          <w:rFonts w:ascii="Times New Roman" w:hAnsi="Times New Roman"/>
          <w:b w:val="0"/>
          <w:i w:val="0"/>
          <w:color w:val="000000"/>
          <w:sz w:val="21"/>
        </w:rPr>
        <w:t>Figure 4.2: Class and Data Model for KnowledgeGuard Entities</w:t>
      </w:r>
    </w:p>
    <w:p>
      <w:pPr>
        <w:spacing w:after="60"/>
      </w:pPr>
      <w:r>
        <w:rPr>
          <w:rFonts w:ascii="Times New Roman" w:hAnsi="Times New Roman"/>
          <w:b w:val="0"/>
          <w:i w:val="0"/>
          <w:color w:val="000000"/>
          <w:sz w:val="21"/>
        </w:rPr>
        <w:t>Figure 4.3: Activity Diagram for Assessment and Decision-Support Flow</w:t>
      </w:r>
    </w:p>
    <w:p>
      <w:pPr>
        <w:spacing w:after="60"/>
      </w:pPr>
      <w:r>
        <w:rPr>
          <w:rFonts w:ascii="Times New Roman" w:hAnsi="Times New Roman"/>
          <w:b w:val="0"/>
          <w:i w:val="0"/>
          <w:color w:val="000000"/>
          <w:sz w:val="21"/>
        </w:rPr>
        <w:t>Figure 4.4: Sequence Diagram for Triangulated Risk Scoring</w:t>
      </w:r>
    </w:p>
    <w:p>
      <w:pPr>
        <w:spacing w:after="60"/>
      </w:pPr>
      <w:r>
        <w:rPr>
          <w:rFonts w:ascii="Times New Roman" w:hAnsi="Times New Roman"/>
          <w:b w:val="0"/>
          <w:i w:val="0"/>
          <w:color w:val="000000"/>
          <w:sz w:val="21"/>
        </w:rPr>
        <w:t>Figure 4.5: Sequence Diagram for Dual-Verification and Managerial Sign-off</w:t>
      </w:r>
    </w:p>
    <w:p>
      <w:pPr>
        <w:spacing w:after="60"/>
      </w:pPr>
      <w:r>
        <w:rPr>
          <w:rFonts w:ascii="Times New Roman" w:hAnsi="Times New Roman"/>
          <w:b w:val="0"/>
          <w:i w:val="0"/>
          <w:color w:val="000000"/>
          <w:sz w:val="21"/>
        </w:rPr>
        <w:t>Figure 4.6: Multi-Tier Deployment Architecture Diagram</w:t>
      </w:r>
    </w:p>
    <w:p>
      <w:pPr>
        <w:spacing w:after="60"/>
      </w:pPr>
      <w:r>
        <w:rPr>
          <w:rFonts w:ascii="Times New Roman" w:hAnsi="Times New Roman"/>
          <w:b w:val="0"/>
          <w:i w:val="0"/>
          <w:color w:val="000000"/>
          <w:sz w:val="21"/>
        </w:rPr>
        <w:t>Figure 5.1: KnowledgeGuard System Architecture Diagram</w:t>
      </w:r>
    </w:p>
    <w:p>
      <w:pPr>
        <w:spacing w:after="60"/>
      </w:pPr>
      <w:r>
        <w:rPr>
          <w:rFonts w:ascii="Times New Roman" w:hAnsi="Times New Roman"/>
          <w:b w:val="0"/>
          <w:i w:val="0"/>
          <w:color w:val="000000"/>
          <w:sz w:val="21"/>
        </w:rPr>
        <w:t>Figure 5.2: End-to-End Workflow from Ingestion to Mitigation</w:t>
      </w:r>
    </w:p>
    <w:p>
      <w:pPr>
        <w:spacing w:after="60"/>
      </w:pPr>
      <w:r>
        <w:rPr>
          <w:rFonts w:ascii="Times New Roman" w:hAnsi="Times New Roman"/>
          <w:b w:val="0"/>
          <w:i w:val="0"/>
          <w:color w:val="000000"/>
          <w:sz w:val="21"/>
        </w:rPr>
        <w:t>Figure 5.3: Rectified Score Transparency Interface (30/50/20 Formulation)</w:t>
      </w:r>
    </w:p>
    <w:p>
      <w:pPr>
        <w:spacing w:after="60"/>
      </w:pPr>
      <w:r>
        <w:rPr>
          <w:rFonts w:ascii="Times New Roman" w:hAnsi="Times New Roman"/>
          <w:b w:val="0"/>
          <w:i w:val="0"/>
          <w:color w:val="000000"/>
          <w:sz w:val="21"/>
        </w:rPr>
        <w:t>Figure 6.1: SUS Score Distribution Across 10 Evaluators (Mean = 89.50)</w:t>
      </w:r>
    </w:p>
    <w:p>
      <w:pPr>
        <w:spacing w:after="60"/>
      </w:pPr>
      <w:r>
        <w:rPr>
          <w:rFonts w:ascii="Times New Roman" w:hAnsi="Times New Roman"/>
          <w:b w:val="0"/>
          <w:i w:val="0"/>
          <w:color w:val="000000"/>
          <w:sz w:val="21"/>
        </w:rPr>
        <w:t>Figure 6.2: TAM Construct Mean Scores (PU = 4.43, PEOU = 4.53, BI = 4.60)</w:t>
      </w:r>
    </w:p>
    <w:p>
      <w:pPr>
        <w:spacing w:after="60"/>
      </w:pPr>
      <w:r>
        <w:rPr>
          <w:rFonts w:ascii="Times New Roman" w:hAnsi="Times New Roman"/>
          <w:b w:val="0"/>
          <w:i w:val="0"/>
          <w:color w:val="000000"/>
          <w:sz w:val="21"/>
        </w:rPr>
        <w:t>Figure 6.3: Pre- and Post-Mitigation Risk Score Reductions (scoreDelta)</w:t>
      </w:r>
    </w:p>
    <w:p>
      <w:pPr>
        <w:spacing w:after="60"/>
      </w:pPr>
      <w:r>
        <w:rPr>
          <w:rFonts w:ascii="Times New Roman" w:hAnsi="Times New Roman"/>
          <w:b w:val="0"/>
          <w:i w:val="0"/>
          <w:color w:val="000000"/>
          <w:sz w:val="21"/>
        </w:rPr>
        <w:t>Figure A6.1: AHP Calibration Dashboard with Consistency Ratio Rejection</w:t>
      </w:r>
    </w:p>
    <w:p>
      <w:pPr>
        <w:spacing w:after="60"/>
      </w:pPr>
      <w:r>
        <w:rPr>
          <w:rFonts w:ascii="Times New Roman" w:hAnsi="Times New Roman"/>
          <w:b w:val="0"/>
          <w:i w:val="0"/>
          <w:color w:val="000000"/>
          <w:sz w:val="21"/>
        </w:rPr>
        <w:t>Figure A6.2: AI-Generated Knowledge Transfer Plan View</w:t>
      </w:r>
    </w:p>
    <w:p>
      <w:pPr>
        <w:spacing w:after="60"/>
      </w:pPr>
      <w:r>
        <w:rPr>
          <w:rFonts w:ascii="Times New Roman" w:hAnsi="Times New Roman"/>
          <w:b w:val="0"/>
          <w:i w:val="0"/>
          <w:color w:val="000000"/>
          <w:sz w:val="21"/>
        </w:rPr>
        <w:t>Figure A6.3: Scheduled Workflow Monitoring Startup Logs</w:t>
      </w:r>
    </w:p>
    <w:p>
      <w:r>
        <w:br w:type="page"/>
      </w:r>
    </w:p>
    <w:p>
      <w:pPr>
        <w:pStyle w:val="Heading1"/>
      </w:pPr>
      <w:r>
        <w:t>List of Tables</w:t>
      </w:r>
    </w:p>
    <w:p>
      <w:pPr>
        <w:spacing w:after="60"/>
      </w:pPr>
      <w:r>
        <w:rPr>
          <w:rFonts w:ascii="Times New Roman" w:hAnsi="Times New Roman"/>
          <w:b w:val="0"/>
          <w:i w:val="0"/>
          <w:color w:val="000000"/>
          <w:sz w:val="21"/>
        </w:rPr>
        <w:t>Table 1.1: Research Objectives and Expected Outputs</w:t>
      </w:r>
    </w:p>
    <w:p>
      <w:pPr>
        <w:spacing w:after="60"/>
      </w:pPr>
      <w:r>
        <w:rPr>
          <w:rFonts w:ascii="Times New Roman" w:hAnsi="Times New Roman"/>
          <w:b w:val="0"/>
          <w:i w:val="0"/>
          <w:color w:val="000000"/>
          <w:sz w:val="21"/>
        </w:rPr>
        <w:t>Table 1.2: Project Scope — In Scope vs. Out of Scope</w:t>
      </w:r>
    </w:p>
    <w:p>
      <w:pPr>
        <w:spacing w:after="60"/>
      </w:pPr>
      <w:r>
        <w:rPr>
          <w:rFonts w:ascii="Times New Roman" w:hAnsi="Times New Roman"/>
          <w:b w:val="0"/>
          <w:i w:val="0"/>
          <w:color w:val="000000"/>
          <w:sz w:val="21"/>
        </w:rPr>
        <w:t>Table 2.1: Comparative Analysis of Knowledge Management Approaches</w:t>
      </w:r>
    </w:p>
    <w:p>
      <w:pPr>
        <w:spacing w:after="60"/>
      </w:pPr>
      <w:r>
        <w:rPr>
          <w:rFonts w:ascii="Times New Roman" w:hAnsi="Times New Roman"/>
          <w:b w:val="0"/>
          <w:i w:val="0"/>
          <w:color w:val="000000"/>
          <w:sz w:val="21"/>
        </w:rPr>
        <w:t>Table 3.1: Design Science Research Guidelines Applied in KnowledgeGuard</w:t>
      </w:r>
    </w:p>
    <w:p>
      <w:pPr>
        <w:spacing w:after="60"/>
      </w:pPr>
      <w:r>
        <w:rPr>
          <w:rFonts w:ascii="Times New Roman" w:hAnsi="Times New Roman"/>
          <w:b w:val="0"/>
          <w:i w:val="0"/>
          <w:color w:val="000000"/>
          <w:sz w:val="21"/>
        </w:rPr>
        <w:t>Table 4.1: Stakeholder Analysis and System Workflow Roles</w:t>
      </w:r>
    </w:p>
    <w:p>
      <w:pPr>
        <w:spacing w:after="60"/>
      </w:pPr>
      <w:r>
        <w:rPr>
          <w:rFonts w:ascii="Times New Roman" w:hAnsi="Times New Roman"/>
          <w:b w:val="0"/>
          <w:i w:val="0"/>
          <w:color w:val="000000"/>
          <w:sz w:val="21"/>
        </w:rPr>
        <w:t>Table 4.2: Knowledge Loss Risk Tier Classification</w:t>
      </w:r>
    </w:p>
    <w:p>
      <w:pPr>
        <w:spacing w:after="60"/>
      </w:pPr>
      <w:r>
        <w:rPr>
          <w:rFonts w:ascii="Times New Roman" w:hAnsi="Times New Roman"/>
          <w:b w:val="0"/>
          <w:i w:val="0"/>
          <w:color w:val="000000"/>
          <w:sz w:val="21"/>
        </w:rPr>
        <w:t>Table 4.3: Core Functional Requirements (Req-01 to Req-09)</w:t>
      </w:r>
    </w:p>
    <w:p>
      <w:pPr>
        <w:spacing w:after="60"/>
      </w:pPr>
      <w:r>
        <w:rPr>
          <w:rFonts w:ascii="Times New Roman" w:hAnsi="Times New Roman"/>
          <w:b w:val="0"/>
          <w:i w:val="0"/>
          <w:color w:val="000000"/>
          <w:sz w:val="21"/>
        </w:rPr>
        <w:t>Table 4.4: Non-Functional Requirements (NFR-01 to NFR-06)</w:t>
      </w:r>
    </w:p>
    <w:p>
      <w:pPr>
        <w:spacing w:after="60"/>
      </w:pPr>
      <w:r>
        <w:rPr>
          <w:rFonts w:ascii="Times New Roman" w:hAnsi="Times New Roman"/>
          <w:b w:val="0"/>
          <w:i w:val="0"/>
          <w:color w:val="000000"/>
          <w:sz w:val="21"/>
        </w:rPr>
        <w:t>Table 6.1: Core Functional and Non-Functional Test Case Results (TC-01 to TC-12)</w:t>
      </w:r>
    </w:p>
    <w:p>
      <w:pPr>
        <w:spacing w:after="60"/>
      </w:pPr>
      <w:r>
        <w:rPr>
          <w:rFonts w:ascii="Times New Roman" w:hAnsi="Times New Roman"/>
          <w:b w:val="0"/>
          <w:i w:val="0"/>
          <w:color w:val="000000"/>
          <w:sz w:val="21"/>
        </w:rPr>
        <w:t>Table 6.2: Aggregated AHP Mathematical Consistency Results</w:t>
      </w:r>
    </w:p>
    <w:p>
      <w:pPr>
        <w:spacing w:after="60"/>
      </w:pPr>
      <w:r>
        <w:rPr>
          <w:rFonts w:ascii="Times New Roman" w:hAnsi="Times New Roman"/>
          <w:b w:val="0"/>
          <w:i w:val="0"/>
          <w:color w:val="000000"/>
          <w:sz w:val="21"/>
        </w:rPr>
        <w:t>Table 6.3: SUS Usability Evaluation Scores by Participant (N=10)</w:t>
      </w:r>
    </w:p>
    <w:p>
      <w:pPr>
        <w:spacing w:after="60"/>
      </w:pPr>
      <w:r>
        <w:rPr>
          <w:rFonts w:ascii="Times New Roman" w:hAnsi="Times New Roman"/>
          <w:b w:val="0"/>
          <w:i w:val="0"/>
          <w:color w:val="000000"/>
          <w:sz w:val="21"/>
        </w:rPr>
        <w:t>Table 6.4: TAM Construct Evaluation Results (N=10)</w:t>
      </w:r>
    </w:p>
    <w:p>
      <w:pPr>
        <w:spacing w:after="60"/>
      </w:pPr>
      <w:r>
        <w:rPr>
          <w:rFonts w:ascii="Times New Roman" w:hAnsi="Times New Roman"/>
          <w:b w:val="0"/>
          <w:i w:val="0"/>
          <w:color w:val="000000"/>
          <w:sz w:val="21"/>
        </w:rPr>
        <w:t>Table 6.5: Recorded Risk Mitigation Outcomes (Emp-01, Emp-02, Emp-03)</w:t>
      </w:r>
    </w:p>
    <w:p>
      <w:pPr>
        <w:spacing w:after="60"/>
      </w:pPr>
      <w:r>
        <w:rPr>
          <w:rFonts w:ascii="Times New Roman" w:hAnsi="Times New Roman"/>
          <w:b w:val="0"/>
          <w:i w:val="0"/>
          <w:color w:val="000000"/>
          <w:sz w:val="21"/>
        </w:rPr>
        <w:t>Table A1.1: Administered Employee Questionnaire and Scoring Key</w:t>
      </w:r>
    </w:p>
    <w:p>
      <w:pPr>
        <w:spacing w:after="60"/>
      </w:pPr>
      <w:r>
        <w:rPr>
          <w:rFonts w:ascii="Times New Roman" w:hAnsi="Times New Roman"/>
          <w:b w:val="0"/>
          <w:i w:val="0"/>
          <w:color w:val="000000"/>
          <w:sz w:val="21"/>
        </w:rPr>
        <w:t>Table A2.1: Assessment Entity Data Dictionary</w:t>
      </w:r>
    </w:p>
    <w:p>
      <w:pPr>
        <w:spacing w:after="60"/>
      </w:pPr>
      <w:r>
        <w:rPr>
          <w:rFonts w:ascii="Times New Roman" w:hAnsi="Times New Roman"/>
          <w:b w:val="0"/>
          <w:i w:val="0"/>
          <w:color w:val="000000"/>
          <w:sz w:val="21"/>
        </w:rPr>
        <w:t>Table A4.1: Raw SUS Item Responses (10 Items x 10 Participants)</w:t>
      </w:r>
    </w:p>
    <w:p>
      <w:pPr>
        <w:spacing w:after="60"/>
      </w:pPr>
      <w:r>
        <w:rPr>
          <w:rFonts w:ascii="Times New Roman" w:hAnsi="Times New Roman"/>
          <w:b w:val="0"/>
          <w:i w:val="0"/>
          <w:color w:val="000000"/>
          <w:sz w:val="21"/>
        </w:rPr>
        <w:t>Table A4.2: Raw TAM Item Responses (7 Items x 10 Participants)</w:t>
      </w:r>
    </w:p>
    <w:p>
      <w:pPr>
        <w:spacing w:after="60"/>
      </w:pPr>
      <w:r>
        <w:rPr>
          <w:rFonts w:ascii="Times New Roman" w:hAnsi="Times New Roman"/>
          <w:b w:val="0"/>
          <w:i w:val="0"/>
          <w:color w:val="000000"/>
          <w:sz w:val="21"/>
        </w:rPr>
        <w:t>Table A5.1: Ten Individual Expert Pairwise Comparison Matrices</w:t>
      </w:r>
    </w:p>
    <w:p>
      <w:pPr>
        <w:spacing w:after="60"/>
      </w:pPr>
      <w:r>
        <w:rPr>
          <w:rFonts w:ascii="Times New Roman" w:hAnsi="Times New Roman"/>
          <w:b w:val="0"/>
          <w:i w:val="0"/>
          <w:color w:val="000000"/>
          <w:sz w:val="21"/>
        </w:rPr>
        <w:t>Table A6.1: Requirements Traceability Matrix</w:t>
      </w:r>
    </w:p>
    <w:p>
      <w:pPr>
        <w:spacing w:after="60"/>
      </w:pPr>
      <w:r>
        <w:rPr>
          <w:rFonts w:ascii="Times New Roman" w:hAnsi="Times New Roman"/>
          <w:b w:val="0"/>
          <w:i w:val="0"/>
          <w:color w:val="000000"/>
          <w:sz w:val="21"/>
        </w:rPr>
        <w:t>Table A9.1: Technology Selection and Software Library Inventory</w:t>
      </w:r>
    </w:p>
    <w:p>
      <w:r>
        <w:br w:type="page"/>
      </w:r>
    </w:p>
    <w:p>
      <w:r>
        <w:br w:type="page"/>
      </w:r>
    </w:p>
    <w:p>
      <w:pPr>
        <w:pStyle w:val="Heading1"/>
      </w:pPr>
      <w:r>
        <w:t>Chapter 1 — Introduction</w:t>
      </w:r>
    </w:p>
    <w:p>
      <w:pPr>
        <w:pStyle w:val="Heading2"/>
      </w:pPr>
      <w:r>
        <w:t>1.1 Chapter Overview</w:t>
      </w:r>
    </w:p>
    <w:p>
      <w:pPr>
        <w:jc w:val="both"/>
      </w:pPr>
      <w:r>
        <w:rPr>
          <w:rFonts w:ascii="Times New Roman" w:hAnsi="Times New Roman"/>
          <w:b w:val="0"/>
          <w:i w:val="0"/>
          <w:color w:val="000000"/>
          <w:sz w:val="24"/>
        </w:rPr>
        <w:t>Organizational knowledge is a strategic asset essential for sustaining operational continuity, competitive advantage, and problem-solving capability. While explicit knowledge is codified in manuals, databases, and operational repositories, a substantial portion of mission-critical institutional knowledge remains tacit—deeply embedded in the experience, context, interpersonal networks, and daily routines of individual employees. When employees transition—whether through voluntary resignation, retirement, internal restructuring, or extended leave—organizations face acute vulnerabilities to knowledge loss.</w:t>
      </w:r>
    </w:p>
    <w:p>
      <w:pPr>
        <w:jc w:val="both"/>
      </w:pPr>
      <w:r>
        <w:rPr>
          <w:rFonts w:ascii="Times New Roman" w:hAnsi="Times New Roman"/>
          <w:b w:val="0"/>
          <w:i w:val="0"/>
          <w:color w:val="000000"/>
          <w:sz w:val="24"/>
        </w:rPr>
        <w:t xml:space="preserve">This research presents </w:t>
      </w:r>
      <w:r>
        <w:rPr>
          <w:rFonts w:ascii="Times New Roman" w:hAnsi="Times New Roman"/>
          <w:b/>
          <w:i w:val="0"/>
          <w:color w:val="000000"/>
          <w:sz w:val="24"/>
        </w:rPr>
        <w:t>KnowledgeGuard</w:t>
      </w:r>
      <w:r>
        <w:rPr>
          <w:rFonts w:ascii="Times New Roman" w:hAnsi="Times New Roman"/>
          <w:b w:val="0"/>
          <w:i w:val="0"/>
          <w:color w:val="000000"/>
          <w:sz w:val="24"/>
        </w:rPr>
        <w:t>, a proactive, human-in-the-loop Decision Support System (DSS) engineered to identify individual-level knowledge loss exposure, support managerial validation, prioritize high-risk roles, generate tailored Knowledge Transfer (KT) plans, and enforce multi-party verification. Grounded in Design Science Research (DSR), this study bridges the critical gap between passive documentation storage and active organizational risk mitigation.</w:t>
      </w:r>
    </w:p>
    <w:p>
      <w:pPr>
        <w:jc w:val="both"/>
      </w:pPr>
      <w:r>
        <w:rPr>
          <w:rFonts w:ascii="Times New Roman" w:hAnsi="Times New Roman"/>
          <w:b w:val="0"/>
          <w:i w:val="0"/>
          <w:color w:val="000000"/>
          <w:sz w:val="24"/>
        </w:rPr>
        <w:t>This chapter details the problem background, problem statements, research questions, motivation, aim, objectives, rich picture, resource requirements, and project scope.</w:t>
      </w:r>
    </w:p>
    <w:p>
      <w:pPr>
        <w:pStyle w:val="Heading2"/>
      </w:pPr>
      <w:r>
        <w:t>1.2 Problem Background</w:t>
      </w:r>
    </w:p>
    <w:p>
      <w:pPr>
        <w:jc w:val="both"/>
      </w:pPr>
      <w:r>
        <w:rPr>
          <w:rFonts w:ascii="Times New Roman" w:hAnsi="Times New Roman"/>
          <w:b w:val="0"/>
          <w:i w:val="0"/>
          <w:color w:val="000000"/>
          <w:sz w:val="24"/>
        </w:rPr>
        <w:t>Knowledge Management (KM) differentiates between explicit knowledge (articulable and codifiable in documentation) and tacit knowledge (individualized, internalized experience and contextual judgment) (Nonaka &amp; Takeuchi, 1995; Polanyi, 1966). Tacit knowledge is inherently resistant to conventional document management solutions. When an employee departs, their undocumented mental models, troubleshooting intuition, and stakeholder relationships leave with them (Massingham, 2018).</w:t>
      </w:r>
    </w:p>
    <w:p>
      <w:pPr>
        <w:jc w:val="both"/>
      </w:pPr>
      <w:r>
        <w:rPr>
          <w:rFonts w:ascii="Times New Roman" w:hAnsi="Times New Roman"/>
          <w:b w:val="0"/>
          <w:i w:val="0"/>
          <w:color w:val="000000"/>
          <w:sz w:val="24"/>
        </w:rPr>
        <w:t>In modern knowledge-intensive industries (such as software engineering, financial technology, and specialized operations), the loss of key personnel introduces direct operational disruptions: delayed project releases, severe rework, reliance on expensive external consultants, and compromised service level agreements (Durst &amp; Zieba, 2019; Sumbal et al., 2017). Despite these risks, prevailing organizational approaches remain overwhelmingly reactive. Knowledge transfer is rarely initiated until after formal resignation notice is tendered, leaving insufficient time (typically two to four weeks) to execute meaningful shadowing, documentation, and succession readiness.</w:t>
      </w:r>
    </w:p>
    <w:p>
      <w:pPr>
        <w:jc w:val="both"/>
      </w:pPr>
      <w:r>
        <w:rPr>
          <w:rFonts w:ascii="Times New Roman" w:hAnsi="Times New Roman"/>
          <w:b w:val="0"/>
          <w:i w:val="0"/>
          <w:color w:val="000000"/>
          <w:sz w:val="24"/>
        </w:rPr>
        <w:t>Conventional enterprise tools exacerbate this issue. Enterprise Content Management (ECM) platforms (e.g., SharePoint, Confluence) function as static, passive repositories; they store explicit files but cannot identify who holds critical undocumented knowledge. Human Resource Information Systems (HRIS) monitor macro attrition trends but lack the operational granularity to assess tacit knowledge dependencies. Consequently, decision-makers lack structured, empirical tools to proactively detect and mitigate knowledge-loss vulnerabilities.</w:t>
      </w:r>
    </w:p>
    <w:p>
      <w:pPr>
        <w:pStyle w:val="Heading2"/>
      </w:pPr>
      <w:r>
        <w:t>1.3 Problem Statement</w:t>
      </w:r>
    </w:p>
    <w:p>
      <w:pPr>
        <w:pStyle w:val="Heading3"/>
      </w:pPr>
      <w:r>
        <w:t>1.3.1 General Problem</w:t>
      </w:r>
    </w:p>
    <w:p>
      <w:pPr>
        <w:jc w:val="both"/>
      </w:pPr>
      <w:r>
        <w:rPr>
          <w:rFonts w:ascii="Times New Roman" w:hAnsi="Times New Roman"/>
          <w:b w:val="0"/>
          <w:i w:val="0"/>
          <w:color w:val="000000"/>
          <w:sz w:val="24"/>
        </w:rPr>
        <w:t>Organizations lack a systematic, proactive methodology to quantify, prioritize, and manage the risk of tacit knowledge loss prior to employee departure, leading to avoidable operational bottlenecks, productivity drops, and organizational amnesia.</w:t>
      </w:r>
    </w:p>
    <w:p>
      <w:pPr>
        <w:pStyle w:val="Heading3"/>
      </w:pPr>
      <w:r>
        <w:t>1.3.2 Specific Problem</w:t>
      </w:r>
    </w:p>
    <w:p>
      <w:pPr>
        <w:jc w:val="both"/>
      </w:pPr>
      <w:r>
        <w:rPr>
          <w:rFonts w:ascii="Times New Roman" w:hAnsi="Times New Roman"/>
          <w:b w:val="0"/>
          <w:i w:val="0"/>
          <w:color w:val="000000"/>
          <w:sz w:val="24"/>
        </w:rPr>
        <w:t>Within the Management Information Systems (MIS) domain, there is an absence of integrated decision-support artifacts capable of:</w:t>
      </w:r>
    </w:p>
    <w:p>
      <w:pPr>
        <w:pStyle w:val="ListNumber"/>
      </w:pPr>
      <w:r>
        <w:rPr>
          <w:rFonts w:ascii="Times New Roman" w:hAnsi="Times New Roman"/>
          <w:b w:val="0"/>
          <w:i w:val="0"/>
          <w:color w:val="000000"/>
          <w:sz w:val="24"/>
        </w:rPr>
        <w:t>Operationalizing multifaceted knowledge-loss indicators from employee self-assessments;</w:t>
      </w:r>
    </w:p>
    <w:p>
      <w:pPr>
        <w:pStyle w:val="ListNumber"/>
      </w:pPr>
      <w:r>
        <w:rPr>
          <w:rFonts w:ascii="Times New Roman" w:hAnsi="Times New Roman"/>
          <w:b w:val="0"/>
          <w:i w:val="0"/>
          <w:color w:val="000000"/>
          <w:sz w:val="24"/>
        </w:rPr>
        <w:t>Detecting low-quality or biased survey responses (e.g., straight-lining and contradiction);</w:t>
      </w:r>
    </w:p>
    <w:p>
      <w:pPr>
        <w:pStyle w:val="ListNumber"/>
      </w:pPr>
      <w:r>
        <w:rPr>
          <w:rFonts w:ascii="Times New Roman" w:hAnsi="Times New Roman"/>
          <w:b w:val="0"/>
          <w:i w:val="0"/>
          <w:color w:val="000000"/>
          <w:sz w:val="24"/>
        </w:rPr>
        <w:t>Combining deterministic formula scoring with managerial contextual judgment and supporting predictive machine learning;</w:t>
      </w:r>
    </w:p>
    <w:p>
      <w:pPr>
        <w:pStyle w:val="ListNumber"/>
      </w:pPr>
      <w:r>
        <w:rPr>
          <w:rFonts w:ascii="Times New Roman" w:hAnsi="Times New Roman"/>
          <w:b w:val="0"/>
          <w:i w:val="0"/>
          <w:color w:val="000000"/>
          <w:sz w:val="24"/>
        </w:rPr>
        <w:t>Connecting assessed risk tiers directly to actionable, AI-assisted Knowledge Transfer (KT) planning and multi-party verification workflows.</w:t>
      </w:r>
    </w:p>
    <w:p>
      <w:pPr>
        <w:pStyle w:val="Heading2"/>
      </w:pPr>
      <w:r>
        <w:t>1.4 Research Questions</w:t>
      </w:r>
    </w:p>
    <w:p>
      <w:pPr>
        <w:pStyle w:val="ListBullet"/>
      </w:pPr>
      <w:r>
        <w:rPr>
          <w:rFonts w:ascii="Times New Roman" w:hAnsi="Times New Roman"/>
          <w:b/>
          <w:i w:val="0"/>
          <w:color w:val="000000"/>
          <w:sz w:val="24"/>
        </w:rPr>
        <w:t>RQ1:</w:t>
      </w:r>
      <w:r>
        <w:rPr>
          <w:rFonts w:ascii="Times New Roman" w:hAnsi="Times New Roman"/>
          <w:b w:val="0"/>
          <w:i w:val="0"/>
          <w:color w:val="000000"/>
          <w:sz w:val="24"/>
        </w:rPr>
        <w:t xml:space="preserve"> What factors and measurable indicators can be operationalized to assess organizational knowledge-loss risk associated with employee transitions?</w:t>
      </w:r>
    </w:p>
    <w:p>
      <w:pPr>
        <w:pStyle w:val="ListBullet"/>
      </w:pPr>
      <w:r>
        <w:rPr>
          <w:rFonts w:ascii="Times New Roman" w:hAnsi="Times New Roman"/>
          <w:b/>
          <w:i w:val="0"/>
          <w:color w:val="000000"/>
          <w:sz w:val="24"/>
        </w:rPr>
        <w:t>RQ2:</w:t>
      </w:r>
      <w:r>
        <w:rPr>
          <w:rFonts w:ascii="Times New Roman" w:hAnsi="Times New Roman"/>
          <w:b w:val="0"/>
          <w:i w:val="0"/>
          <w:color w:val="000000"/>
          <w:sz w:val="24"/>
        </w:rPr>
        <w:t xml:space="preserve"> How can a Decision Support System integrate quantitative assessment, organizational judgment, and analytical techniques to support knowledge-loss risk assessment?</w:t>
      </w:r>
    </w:p>
    <w:p>
      <w:pPr>
        <w:pStyle w:val="ListBullet"/>
      </w:pPr>
      <w:r>
        <w:rPr>
          <w:rFonts w:ascii="Times New Roman" w:hAnsi="Times New Roman"/>
          <w:b/>
          <w:i w:val="0"/>
          <w:color w:val="000000"/>
          <w:sz w:val="24"/>
        </w:rPr>
        <w:t>RQ3:</w:t>
      </w:r>
      <w:r>
        <w:rPr>
          <w:rFonts w:ascii="Times New Roman" w:hAnsi="Times New Roman"/>
          <w:b w:val="0"/>
          <w:i w:val="0"/>
          <w:color w:val="000000"/>
          <w:sz w:val="24"/>
        </w:rPr>
        <w:t xml:space="preserve"> How can the proposed system support knowledge-transfer planning, verification, and monitoring following the identification of potential knowledge-loss risk?</w:t>
      </w:r>
    </w:p>
    <w:p>
      <w:pPr>
        <w:pStyle w:val="ListBullet"/>
      </w:pPr>
      <w:r>
        <w:rPr>
          <w:rFonts w:ascii="Times New Roman" w:hAnsi="Times New Roman"/>
          <w:b/>
          <w:i w:val="0"/>
          <w:color w:val="000000"/>
          <w:sz w:val="24"/>
        </w:rPr>
        <w:t>RQ4:</w:t>
      </w:r>
      <w:r>
        <w:rPr>
          <w:rFonts w:ascii="Times New Roman" w:hAnsi="Times New Roman"/>
          <w:b w:val="0"/>
          <w:i w:val="0"/>
          <w:color w:val="000000"/>
          <w:sz w:val="24"/>
        </w:rPr>
        <w:t xml:space="preserve"> To what extent does the developed KnowledgeGuard prototype demonstrate acceptable usability, perceived usefulness, perceived ease of use, and functional support for the intended knowledge-loss management workflow?</w:t>
      </w:r>
    </w:p>
    <w:p>
      <w:pPr>
        <w:pStyle w:val="Heading2"/>
      </w:pPr>
      <w:r>
        <w:t>1.5 Research Motivation</w:t>
      </w:r>
    </w:p>
    <w:p>
      <w:pPr>
        <w:jc w:val="both"/>
      </w:pPr>
      <w:r>
        <w:rPr>
          <w:rFonts w:ascii="Times New Roman" w:hAnsi="Times New Roman"/>
          <w:b w:val="0"/>
          <w:i w:val="0"/>
          <w:color w:val="000000"/>
          <w:sz w:val="24"/>
        </w:rPr>
        <w:t>The practical motivation arises from widespread operational disruptions observed across technical enterprises when key domain experts depart abruptly. From an MIS discipline perspective, this research offers the opportunity to synthesize multi-criteria decision analysis (Analytic Hierarchy Process), supervised machine learning (Random Forest), large language models (Generative AI), and web engineering into an accountable, transparent decision-support artifact that keeps the human decision-maker firmly in the loop.</w:t>
      </w:r>
    </w:p>
    <w:p>
      <w:pPr>
        <w:pStyle w:val="Heading2"/>
      </w:pPr>
      <w:r>
        <w:t>1.6 Research Aim</w:t>
      </w:r>
    </w:p>
    <w:p>
      <w:pPr>
        <w:jc w:val="both"/>
      </w:pPr>
      <w:r>
        <w:rPr>
          <w:rFonts w:ascii="Times New Roman" w:hAnsi="Times New Roman"/>
          <w:b w:val="0"/>
          <w:i w:val="0"/>
          <w:color w:val="000000"/>
          <w:sz w:val="24"/>
        </w:rPr>
        <w:t>To design, develop, and evaluate KnowledgeGuard as a proactive Decision Support System that assists organizations in assessing employee-level knowledge-loss risk and supporting structured knowledge-transfer decisions during organizational transitions.</w:t>
      </w:r>
    </w:p>
    <w:p>
      <w:pPr>
        <w:pStyle w:val="Heading2"/>
      </w:pPr>
      <w:r>
        <w:t>1.7 Research Objectives</w:t>
      </w:r>
    </w:p>
    <w:p>
      <w:pPr>
        <w:pStyle w:val="ListNumber"/>
      </w:pPr>
      <w:r>
        <w:rPr>
          <w:rFonts w:ascii="Times New Roman" w:hAnsi="Times New Roman"/>
          <w:b/>
          <w:i w:val="0"/>
          <w:color w:val="000000"/>
          <w:sz w:val="24"/>
        </w:rPr>
        <w:t>Objective 1:</w:t>
      </w:r>
      <w:r>
        <w:rPr>
          <w:rFonts w:ascii="Times New Roman" w:hAnsi="Times New Roman"/>
          <w:b w:val="0"/>
          <w:i w:val="0"/>
          <w:color w:val="000000"/>
          <w:sz w:val="24"/>
        </w:rPr>
        <w:t xml:space="preserve"> To identify and operationalize appropriate indicators of organizational knowledge-loss risk from relevant literature and establish a measurable assessment framework with automated response-quality checking.</w:t>
      </w:r>
    </w:p>
    <w:p>
      <w:pPr>
        <w:pStyle w:val="ListNumber"/>
      </w:pPr>
      <w:r>
        <w:rPr>
          <w:rFonts w:ascii="Times New Roman" w:hAnsi="Times New Roman"/>
          <w:b/>
          <w:i w:val="0"/>
          <w:color w:val="000000"/>
          <w:sz w:val="24"/>
        </w:rPr>
        <w:t>Objective 2:</w:t>
      </w:r>
      <w:r>
        <w:rPr>
          <w:rFonts w:ascii="Times New Roman" w:hAnsi="Times New Roman"/>
          <w:b w:val="0"/>
          <w:i w:val="0"/>
          <w:color w:val="000000"/>
          <w:sz w:val="24"/>
        </w:rPr>
        <w:t xml:space="preserve"> To critically analyze existing Knowledge Management systems, knowledge-risk assessment approaches, people-analytics approaches, and Decision Support Systems to identify their strengths, limitations, and relevance to proactive knowledge-loss prevention.</w:t>
      </w:r>
    </w:p>
    <w:p>
      <w:pPr>
        <w:pStyle w:val="ListNumber"/>
      </w:pPr>
      <w:r>
        <w:rPr>
          <w:rFonts w:ascii="Times New Roman" w:hAnsi="Times New Roman"/>
          <w:b/>
          <w:i w:val="0"/>
          <w:color w:val="000000"/>
          <w:sz w:val="24"/>
        </w:rPr>
        <w:t>Objective 3:</w:t>
      </w:r>
      <w:r>
        <w:rPr>
          <w:rFonts w:ascii="Times New Roman" w:hAnsi="Times New Roman"/>
          <w:b w:val="0"/>
          <w:i w:val="0"/>
          <w:color w:val="000000"/>
          <w:sz w:val="24"/>
        </w:rPr>
        <w:t xml:space="preserve"> To design and develop the KnowledgeGuard Decision Support System as an integrated decision-support workflow combining algorithmic risk assessment, managerial judgment, analytical support, knowledge-transfer planning, and verification mechanisms.</w:t>
      </w:r>
    </w:p>
    <w:p>
      <w:pPr>
        <w:pStyle w:val="ListNumber"/>
      </w:pPr>
      <w:r>
        <w:rPr>
          <w:rFonts w:ascii="Times New Roman" w:hAnsi="Times New Roman"/>
          <w:b/>
          <w:i w:val="0"/>
          <w:color w:val="000000"/>
          <w:sz w:val="24"/>
        </w:rPr>
        <w:t>Objective 4:</w:t>
      </w:r>
      <w:r>
        <w:rPr>
          <w:rFonts w:ascii="Times New Roman" w:hAnsi="Times New Roman"/>
          <w:b w:val="0"/>
          <w:i w:val="0"/>
          <w:color w:val="000000"/>
          <w:sz w:val="24"/>
        </w:rPr>
        <w:t xml:space="preserve"> To evaluate the developed KnowledgeGuard prototype in terms of usability, perceived usefulness, perceived ease of use, and the functional execution of its defined knowledge-transfer mitigation workflow using the System Usability Scale (SUS), Technology Acceptance Model (TAM), and system-generated evidence.</w:t>
      </w:r>
    </w:p>
    <w:p>
      <w:pPr>
        <w:pStyle w:val="Heading2"/>
      </w:pPr>
      <w:r>
        <w:t>1.8 Rich Picture and High-Level Workflow</w:t>
      </w:r>
    </w:p>
    <w:p>
      <w:pPr>
        <w:jc w:val="both"/>
      </w:pPr>
      <w:r>
        <w:rPr>
          <w:rFonts w:ascii="Times New Roman" w:hAnsi="Times New Roman"/>
          <w:b w:val="0"/>
          <w:i w:val="0"/>
          <w:color w:val="000000"/>
          <w:sz w:val="24"/>
        </w:rPr>
        <w:t>KnowledgeGuard organizes the knowledge-loss mitigation lifecycle into an integrated sequence:</w:t>
      </w:r>
    </w:p>
    <w:p>
      <w:pPr>
        <w:pStyle w:val="ListNumber"/>
      </w:pPr>
      <w:r>
        <w:rPr>
          <w:rFonts w:ascii="Times New Roman" w:hAnsi="Times New Roman"/>
          <w:b/>
          <w:i w:val="0"/>
          <w:color w:val="000000"/>
          <w:sz w:val="24"/>
        </w:rPr>
        <w:t>Assessment Ingestion:</w:t>
      </w:r>
      <w:r>
        <w:rPr>
          <w:rFonts w:ascii="Times New Roman" w:hAnsi="Times New Roman"/>
          <w:b w:val="0"/>
          <w:i w:val="0"/>
          <w:color w:val="000000"/>
          <w:sz w:val="24"/>
        </w:rPr>
        <w:t xml:space="preserve"> Employee quarterly responses are ingested via CSV or webhooks.</w:t>
      </w:r>
    </w:p>
    <w:p>
      <w:pPr>
        <w:pStyle w:val="ListNumber"/>
      </w:pPr>
      <w:r>
        <w:rPr>
          <w:rFonts w:ascii="Times New Roman" w:hAnsi="Times New Roman"/>
          <w:b/>
          <w:i w:val="0"/>
          <w:color w:val="000000"/>
          <w:sz w:val="24"/>
        </w:rPr>
        <w:t>Quality &amp; Bias Auditing:</w:t>
      </w:r>
      <w:r>
        <w:rPr>
          <w:rFonts w:ascii="Times New Roman" w:hAnsi="Times New Roman"/>
          <w:b w:val="0"/>
          <w:i w:val="0"/>
          <w:color w:val="000000"/>
          <w:sz w:val="24"/>
        </w:rPr>
        <w:t xml:space="preserve"> Responses undergo automated straight-lining and contradiction checks.</w:t>
      </w:r>
    </w:p>
    <w:p>
      <w:pPr>
        <w:pStyle w:val="ListNumber"/>
      </w:pPr>
      <w:r>
        <w:rPr>
          <w:rFonts w:ascii="Times New Roman" w:hAnsi="Times New Roman"/>
          <w:b/>
          <w:i w:val="0"/>
          <w:color w:val="000000"/>
          <w:sz w:val="24"/>
        </w:rPr>
        <w:t>Deterministic Scoring:</w:t>
      </w:r>
      <w:r>
        <w:rPr>
          <w:rFonts w:ascii="Times New Roman" w:hAnsi="Times New Roman"/>
          <w:b w:val="0"/>
          <w:i w:val="0"/>
          <w:color w:val="000000"/>
          <w:sz w:val="24"/>
        </w:rPr>
        <w:t xml:space="preserve"> The baseline formula computes a transparent 1–10 score across five indicators.</w:t>
      </w:r>
    </w:p>
    <w:p>
      <w:pPr>
        <w:pStyle w:val="ListNumber"/>
      </w:pPr>
      <w:r>
        <w:rPr>
          <w:rFonts w:ascii="Times New Roman" w:hAnsi="Times New Roman"/>
          <w:b/>
          <w:i w:val="0"/>
          <w:color w:val="000000"/>
          <w:sz w:val="24"/>
        </w:rPr>
        <w:t>Supporting ML &amp; Triangulation:</w:t>
      </w:r>
      <w:r>
        <w:rPr>
          <w:rFonts w:ascii="Times New Roman" w:hAnsi="Times New Roman"/>
          <w:b w:val="0"/>
          <w:i w:val="0"/>
          <w:color w:val="000000"/>
          <w:sz w:val="24"/>
        </w:rPr>
        <w:t xml:space="preserve"> A Python/FastAPI microservice provides secondary prediction; managerial validation blends these inputs (30% Formula, 50% Manager, 20% ML; with 70/30 fallback when unvalidated).</w:t>
      </w:r>
    </w:p>
    <w:p>
      <w:pPr>
        <w:pStyle w:val="ListNumber"/>
      </w:pPr>
      <w:r>
        <w:rPr>
          <w:rFonts w:ascii="Times New Roman" w:hAnsi="Times New Roman"/>
          <w:b/>
          <w:i w:val="0"/>
          <w:color w:val="000000"/>
          <w:sz w:val="24"/>
        </w:rPr>
        <w:t>Generative KT Planning:</w:t>
      </w:r>
      <w:r>
        <w:rPr>
          <w:rFonts w:ascii="Times New Roman" w:hAnsi="Times New Roman"/>
          <w:b w:val="0"/>
          <w:i w:val="0"/>
          <w:color w:val="000000"/>
          <w:sz w:val="24"/>
        </w:rPr>
        <w:t xml:space="preserve"> For high/critical risk profiles, structured KT plans are generated using contextual LLM prompts.</w:t>
      </w:r>
    </w:p>
    <w:p>
      <w:pPr>
        <w:pStyle w:val="ListNumber"/>
      </w:pPr>
      <w:r>
        <w:rPr>
          <w:rFonts w:ascii="Times New Roman" w:hAnsi="Times New Roman"/>
          <w:b/>
          <w:i w:val="0"/>
          <w:color w:val="000000"/>
          <w:sz w:val="24"/>
        </w:rPr>
        <w:t>Dual-Verification &amp; Sign-off:</w:t>
      </w:r>
      <w:r>
        <w:rPr>
          <w:rFonts w:ascii="Times New Roman" w:hAnsi="Times New Roman"/>
          <w:b w:val="0"/>
          <w:i w:val="0"/>
          <w:color w:val="000000"/>
          <w:sz w:val="24"/>
        </w:rPr>
        <w:t xml:space="preserve"> The employee and designated backup complete tasks, followed by mandatory manager sign-off.</w:t>
      </w:r>
    </w:p>
    <w:p>
      <w:pPr>
        <w:pStyle w:val="ListNumber"/>
      </w:pPr>
      <w:r>
        <w:rPr>
          <w:rFonts w:ascii="Times New Roman" w:hAnsi="Times New Roman"/>
          <w:b/>
          <w:i w:val="0"/>
          <w:color w:val="000000"/>
          <w:sz w:val="24"/>
        </w:rPr>
        <w:t>Mitigation Tracking:</w:t>
      </w:r>
      <w:r>
        <w:rPr>
          <w:rFonts w:ascii="Times New Roman" w:hAnsi="Times New Roman"/>
          <w:b w:val="0"/>
          <w:i w:val="0"/>
          <w:color w:val="000000"/>
          <w:sz w:val="24"/>
        </w:rPr>
        <w:t xml:space="preserve"> Recalculation verifies the reduction in risk score (`scoreDelta`).</w:t>
      </w:r>
    </w:p>
    <w:p>
      <w:pPr>
        <w:pStyle w:val="Heading2"/>
      </w:pPr>
      <w:r>
        <w:t>1.9 Resource Requirements</w:t>
      </w:r>
    </w:p>
    <w:p>
      <w:pPr>
        <w:pStyle w:val="ListBullet"/>
      </w:pPr>
      <w:r>
        <w:rPr>
          <w:rFonts w:ascii="Times New Roman" w:hAnsi="Times New Roman"/>
          <w:b/>
          <w:i w:val="0"/>
          <w:color w:val="000000"/>
          <w:sz w:val="24"/>
        </w:rPr>
        <w:t>Hardware:</w:t>
      </w:r>
      <w:r>
        <w:rPr>
          <w:rFonts w:ascii="Times New Roman" w:hAnsi="Times New Roman"/>
          <w:b w:val="0"/>
          <w:i w:val="0"/>
          <w:color w:val="000000"/>
          <w:sz w:val="24"/>
        </w:rPr>
        <w:t xml:space="preserve"> Standard development workstation (Intel Core i7/AMD Ryzen, 16GB RAM, SSD) for local full-stack compilation and model execution.</w:t>
      </w:r>
    </w:p>
    <w:p>
      <w:pPr>
        <w:pStyle w:val="ListBullet"/>
      </w:pPr>
      <w:r>
        <w:rPr>
          <w:rFonts w:ascii="Times New Roman" w:hAnsi="Times New Roman"/>
          <w:b/>
          <w:i w:val="0"/>
          <w:color w:val="000000"/>
          <w:sz w:val="24"/>
        </w:rPr>
        <w:t>Software Environment:</w:t>
      </w:r>
      <w:r>
        <w:rPr>
          <w:rFonts w:ascii="Times New Roman" w:hAnsi="Times New Roman"/>
          <w:b w:val="0"/>
          <w:i w:val="0"/>
          <w:color w:val="000000"/>
          <w:sz w:val="24"/>
        </w:rPr>
        <w:t xml:space="preserve"> React 18.2, Vite 5.1, Node.js v20.11.0, Express 4.19, MongoDB v7.0.5 with Mongoose ODM, Python 3.11.8 with FastAPI, Pandas, Scikit-Learn 1.4.1, Groq/Gemini API, and Node-Cron.</w:t>
      </w:r>
    </w:p>
    <w:p>
      <w:pPr>
        <w:pStyle w:val="Heading2"/>
      </w:pPr>
      <w:r>
        <w:t>1.10 Project Scope</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In Scope</w:t>
            </w:r>
          </w:p>
        </w:tc>
        <w:tc>
          <w:tcPr>
            <w:tcW w:type="dxa" w:w="4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Out of Scope</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Employee knowledge risk assessment using five operationalized indicators (EU, DG, PC, CD, Tenure).</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Replacement of an enterprise Human Resource Information System (HRIS).</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Managerial dashboards, score transparency panels, and risk tiering.</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Autonomous disciplinary, salary, or termination employment decisions.</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Automated response-quality checking (straight-lining detection and polarity contradiction).</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Unsupervised, intrusive employee surveillance (e.g., keylogging, screen capture).</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AHP-based expert formula calibration with consistency validation (CR &lt; 0.10).</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Multi-year longitudinal workforce retention studies post-departure.</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AI-assisted Knowledge Transfer plan generation and dual-party verification workflow.</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Autonomous execution of physical knowledge transfer sessions.</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Usability and technology acceptance evaluation using SUS (N=10) and TAM (N=10).</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Real-world clinical validation of long-term tacit knowledge retention.</w:t>
            </w:r>
          </w:p>
        </w:tc>
      </w:tr>
    </w:tbl>
    <w:p/>
    <w:p>
      <w:pPr>
        <w:pStyle w:val="Heading2"/>
      </w:pPr>
      <w:r>
        <w:t>1.11 Chapter Summary</w:t>
      </w:r>
    </w:p>
    <w:p>
      <w:pPr>
        <w:jc w:val="both"/>
      </w:pPr>
      <w:r>
        <w:rPr>
          <w:rFonts w:ascii="Times New Roman" w:hAnsi="Times New Roman"/>
          <w:b w:val="0"/>
          <w:i w:val="0"/>
          <w:color w:val="000000"/>
          <w:sz w:val="24"/>
        </w:rPr>
        <w:t>This chapter established the foundational structure of the thesis. It defined the operational challenge of tacit knowledge loss, framed the research questions and objectives under a Design Science Research approach, and delineated the scope and resources required to develop and evaluate the KnowledgeGuard artifact.</w:t>
      </w:r>
    </w:p>
    <w:p>
      <w:r>
        <w:br w:type="page"/>
      </w:r>
    </w:p>
    <w:p>
      <w:pPr>
        <w:pStyle w:val="Heading1"/>
      </w:pPr>
      <w:r>
        <w:t>Chapter 2 — Literature Review</w:t>
      </w:r>
    </w:p>
    <w:p>
      <w:pPr>
        <w:pStyle w:val="Heading2"/>
      </w:pPr>
      <w:r>
        <w:t>2.1 Chapter Overview</w:t>
      </w:r>
    </w:p>
    <w:p>
      <w:pPr>
        <w:jc w:val="both"/>
      </w:pPr>
      <w:r>
        <w:rPr>
          <w:rFonts w:ascii="Times New Roman" w:hAnsi="Times New Roman"/>
          <w:b w:val="0"/>
          <w:i w:val="0"/>
          <w:color w:val="000000"/>
          <w:sz w:val="24"/>
        </w:rPr>
        <w:t>This chapter critically evaluates the academic literature across four intersecting domains: organizational knowledge theory, knowledge risk assessment frameworks, enterprise knowledge management platforms, and analytical decision support systems. It establishes the conceptual foundation for KnowledgeGuard, justifies the operational indicators, and pinpoints the research gap addressed by this study.</w:t>
      </w:r>
    </w:p>
    <w:p>
      <w:pPr>
        <w:pStyle w:val="Heading2"/>
      </w:pPr>
      <w:r>
        <w:t>2.2 Domain Overview: Explicit vs. Tacit Knowledge</w:t>
      </w:r>
    </w:p>
    <w:p>
      <w:pPr>
        <w:jc w:val="both"/>
      </w:pPr>
      <w:r>
        <w:rPr>
          <w:rFonts w:ascii="Times New Roman" w:hAnsi="Times New Roman"/>
          <w:b w:val="0"/>
          <w:i w:val="0"/>
          <w:color w:val="000000"/>
          <w:sz w:val="24"/>
        </w:rPr>
        <w:t>Organizational knowledge is categorized into explicit and tacit forms (Polanyi, 1966; Nonaka, 1994). Explicit knowledge can be formalized, codified in documents, stored in relational databases, and transferred through standard information systems. Tacit knowledge, conversely, is deeply subjective, intuitive, and experiential. It consists of technical cognitive skills ("know-how") and mental models that employees apply when diagnosing anomalies or architecting complex systems (Dalkir, 2011).</w:t>
      </w:r>
    </w:p>
    <w:p>
      <w:pPr>
        <w:jc w:val="both"/>
      </w:pPr>
      <w:r>
        <w:rPr>
          <w:rFonts w:ascii="Times New Roman" w:hAnsi="Times New Roman"/>
          <w:b w:val="0"/>
          <w:i w:val="0"/>
          <w:color w:val="000000"/>
          <w:sz w:val="24"/>
        </w:rPr>
        <w:t>During employee turnover, the loss of tacit knowledge represents the primary threat to business continuity (Massingham, 2018). While standard operating procedures remain documented in company repositories, the contextual judgment required to execute non-standard workflows departs with the employee. Durst and Zieba (2019) map knowledge risks into distinct categories, noting that "knowledge waste" and "knowledge unlearning" stem directly from unmanaged expert transitions.</w:t>
      </w:r>
    </w:p>
    <w:p>
      <w:pPr>
        <w:pStyle w:val="Heading2"/>
      </w:pPr>
      <w:r>
        <w:t>2.3 Critical Analysis of Existing Systems and Frameworks</w:t>
      </w:r>
    </w:p>
    <w:p>
      <w:pPr>
        <w:pStyle w:val="Heading3"/>
      </w:pPr>
      <w:r>
        <w:t>2.3.1 Passive Repositories (ECM)</w:t>
      </w:r>
    </w:p>
    <w:p>
      <w:pPr>
        <w:jc w:val="both"/>
      </w:pPr>
      <w:r>
        <w:rPr>
          <w:rFonts w:ascii="Times New Roman" w:hAnsi="Times New Roman"/>
          <w:b w:val="0"/>
          <w:i w:val="0"/>
          <w:color w:val="000000"/>
          <w:sz w:val="24"/>
        </w:rPr>
        <w:t>Enterprise Content Management platforms such as Atlassian Confluence and Microsoft SharePoint provide robust infrastructure for storing, searching, and collaborating on explicit documentation. However, these repositories are inherently passive: they rely on employees voluntarily authoring documentation, fail to track which critical systems lack documentation, and cannot compute individual employee-level knowledge loss vulnerability.</w:t>
      </w:r>
    </w:p>
    <w:p>
      <w:pPr>
        <w:pStyle w:val="Heading3"/>
      </w:pPr>
      <w:r>
        <w:t>2.3.2 Human Resource Information Systems (HRIS)</w:t>
      </w:r>
    </w:p>
    <w:p>
      <w:pPr>
        <w:jc w:val="both"/>
      </w:pPr>
      <w:r>
        <w:rPr>
          <w:rFonts w:ascii="Times New Roman" w:hAnsi="Times New Roman"/>
          <w:b w:val="0"/>
          <w:i w:val="0"/>
          <w:color w:val="000000"/>
          <w:sz w:val="24"/>
        </w:rPr>
        <w:t>Enterprise platforms such as Workday and SAP SuccessFactors manage workforce demographics, succession rosters, and skill inventories. However, they focus primarily on macro-level talent mobility, recruitment pipelines, and payroll. They do not possess analytical mechanisms to evaluate operational single-points-of-failure or link task dependencies to real-time project continuity.</w:t>
      </w:r>
    </w:p>
    <w:p>
      <w:pPr>
        <w:pStyle w:val="Heading3"/>
      </w:pPr>
      <w:r>
        <w:t>2.3.3 Multi-Criteria &amp; Analytical Frameworks</w:t>
      </w:r>
    </w:p>
    <w:p>
      <w:pPr>
        <w:jc w:val="both"/>
      </w:pPr>
      <w:r>
        <w:rPr>
          <w:rFonts w:ascii="Times New Roman" w:hAnsi="Times New Roman"/>
          <w:b w:val="0"/>
          <w:i w:val="0"/>
          <w:color w:val="000000"/>
          <w:sz w:val="24"/>
        </w:rPr>
        <w:t>Decision support research has applied multi-criteria methods (such as the Analytic Hierarchy Process—AHP) to personnel selection and project prioritization (Saaty, 2008; Wang et al., 2021). However, existing implementations remain isolated academic exercises rather than operationalized software systems integrated with automated data-quality checks, machine learning triangulation, and mitigation workflows.</w:t>
      </w:r>
    </w:p>
    <w:p>
      <w:pPr>
        <w:pStyle w:val="Heading3"/>
      </w:pPr>
      <w:r>
        <w:t>2.3.4 Comparative Analysis of Existing Approaches</w:t>
      </w:r>
    </w:p>
    <w:tbl>
      <w:tblPr>
        <w:tblStyle w:val="TableGrid"/>
        <w:tblW w:type="auto" w:w="0"/>
        <w:jc w:val="center"/>
        <w:tblLook w:firstColumn="1" w:firstRow="1" w:lastColumn="0" w:lastRow="0" w:noHBand="0" w:noVBand="1" w:val="04A0"/>
      </w:tblPr>
      <w:tblGrid>
        <w:gridCol w:w="900"/>
        <w:gridCol w:w="900"/>
        <w:gridCol w:w="900"/>
        <w:gridCol w:w="900"/>
        <w:gridCol w:w="900"/>
        <w:gridCol w:w="900"/>
        <w:gridCol w:w="900"/>
        <w:gridCol w:w="900"/>
        <w:gridCol w:w="900"/>
        <w:gridCol w:w="900"/>
      </w:tblGrid>
      <w:tr>
        <w:trPr>
          <w:tblHeader w:val="true"/>
        </w:trPr>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System / Approach</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Explicit Storage</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Employee Assessment</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Proactive Risk Calculation</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Response Quality Checks</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Dynamic Context Weighting</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ML-Supported Validation</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AI-Assisted KT Planning</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Dual-Party Verification</w:t>
            </w:r>
          </w:p>
        </w:tc>
        <w:tc>
          <w:tcPr>
            <w:tcW w:type="dxa" w:w="9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Primary Operational Limitation</w:t>
            </w:r>
          </w:p>
        </w:tc>
      </w:tr>
      <w:tr>
        <w:tc>
          <w:tcPr>
            <w:tcW w:type="dxa" w:w="9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Atlassian Confluence</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Passive repository; stores codified artifacts without evaluating individual risk.</w:t>
            </w:r>
          </w:p>
        </w:tc>
      </w:tr>
      <w:tr>
        <w:tc>
          <w:tcPr>
            <w:tcW w:type="dxa" w:w="9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Microsoft SharePoint</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Explicit file collaboration; cannot identify tacit knowledge concentration.</w:t>
            </w:r>
          </w:p>
        </w:tc>
      </w:tr>
      <w:tr>
        <w:tc>
          <w:tcPr>
            <w:tcW w:type="dxa" w:w="9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Workday HCM</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Limited</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Limited</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Macro talent/turnover tracking; lacks operational knowledge risk granularity.</w:t>
            </w:r>
          </w:p>
        </w:tc>
      </w:tr>
      <w:tr>
        <w:tc>
          <w:tcPr>
            <w:tcW w:type="dxa" w:w="9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SAP SuccessFactors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Limited</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Limited</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Broad HR administration; lacks dedicated risk-to-mitigation transition workflows.</w:t>
            </w:r>
          </w:p>
        </w:tc>
      </w:tr>
      <w:tr>
        <w:tc>
          <w:tcPr>
            <w:tcW w:type="dxa" w:w="9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AHP-HR Models (Wang 2021)</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Multi-criteria ranking without software automation, response audits, or KT execution.</w:t>
            </w:r>
          </w:p>
        </w:tc>
      </w:tr>
      <w:tr>
        <w:tc>
          <w:tcPr>
            <w:tcW w:type="dxa" w:w="9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KnowledgeGuard (Proposed)</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9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Fully integrated proactive workflow: assessment → screening → scoring → planning → verification.</w:t>
            </w:r>
          </w:p>
        </w:tc>
      </w:tr>
    </w:tbl>
    <w:p/>
    <w:p>
      <w:pPr>
        <w:pStyle w:val="Heading2"/>
      </w:pPr>
      <w:r>
        <w:t>2.4 Analytical and Technological Foundations</w:t>
      </w:r>
    </w:p>
    <w:p>
      <w:pPr>
        <w:pStyle w:val="Heading3"/>
      </w:pPr>
      <w:r>
        <w:t>2.4.1 Operationalization of Knowledge-Loss Indicators</w:t>
      </w:r>
    </w:p>
    <w:p>
      <w:pPr>
        <w:jc w:val="both"/>
      </w:pPr>
      <w:r>
        <w:rPr>
          <w:rFonts w:ascii="Times New Roman" w:hAnsi="Times New Roman"/>
          <w:b w:val="0"/>
          <w:i w:val="0"/>
          <w:color w:val="000000"/>
          <w:sz w:val="24"/>
        </w:rPr>
        <w:t>To quantify knowledge-loss vulnerability, five indicators were synthesized from the literature (Durst &amp; Zieba, 2019; Massingham, 2018; Martins et al., 2019):</w:t>
      </w:r>
    </w:p>
    <w:p>
      <w:pPr>
        <w:pStyle w:val="ListNumber"/>
      </w:pPr>
      <w:r>
        <w:rPr>
          <w:rFonts w:ascii="Times New Roman" w:hAnsi="Times New Roman"/>
          <w:b/>
          <w:i w:val="0"/>
          <w:color w:val="000000"/>
          <w:sz w:val="24"/>
        </w:rPr>
        <w:t>Expertise Uniqueness (EU):</w:t>
      </w:r>
      <w:r>
        <w:rPr>
          <w:rFonts w:ascii="Times New Roman" w:hAnsi="Times New Roman"/>
          <w:b w:val="0"/>
          <w:i w:val="0"/>
          <w:color w:val="000000"/>
          <w:sz w:val="24"/>
        </w:rPr>
        <w:t xml:space="preserve"> The degree to which specialized operational know-how is concentrated in a single individual without available backups.</w:t>
      </w:r>
    </w:p>
    <w:p>
      <w:pPr>
        <w:pStyle w:val="ListNumber"/>
      </w:pPr>
      <w:r>
        <w:rPr>
          <w:rFonts w:ascii="Times New Roman" w:hAnsi="Times New Roman"/>
          <w:b/>
          <w:i w:val="0"/>
          <w:color w:val="000000"/>
          <w:sz w:val="24"/>
        </w:rPr>
        <w:t>Documentation Gap (DG):</w:t>
      </w:r>
      <w:r>
        <w:rPr>
          <w:rFonts w:ascii="Times New Roman" w:hAnsi="Times New Roman"/>
          <w:b w:val="0"/>
          <w:i w:val="0"/>
          <w:color w:val="000000"/>
          <w:sz w:val="24"/>
        </w:rPr>
        <w:t xml:space="preserve"> The extent to which critical procedures, system architectures, and runbooks remain unwritten or inaccessible.</w:t>
      </w:r>
    </w:p>
    <w:p>
      <w:pPr>
        <w:pStyle w:val="ListNumber"/>
      </w:pPr>
      <w:r>
        <w:rPr>
          <w:rFonts w:ascii="Times New Roman" w:hAnsi="Times New Roman"/>
          <w:b/>
          <w:i w:val="0"/>
          <w:color w:val="000000"/>
          <w:sz w:val="24"/>
        </w:rPr>
        <w:t>Project Criticality (PC):</w:t>
      </w:r>
      <w:r>
        <w:rPr>
          <w:rFonts w:ascii="Times New Roman" w:hAnsi="Times New Roman"/>
          <w:b w:val="0"/>
          <w:i w:val="0"/>
          <w:color w:val="000000"/>
          <w:sz w:val="24"/>
        </w:rPr>
        <w:t xml:space="preserve"> The potential operational disruption, compliance exposure, or financial penalty resulting from workflow stoppage.</w:t>
      </w:r>
    </w:p>
    <w:p>
      <w:pPr>
        <w:pStyle w:val="ListNumber"/>
      </w:pPr>
      <w:r>
        <w:rPr>
          <w:rFonts w:ascii="Times New Roman" w:hAnsi="Times New Roman"/>
          <w:b/>
          <w:i w:val="0"/>
          <w:color w:val="000000"/>
          <w:sz w:val="24"/>
        </w:rPr>
        <w:t>Collaboration Dependency (CD):</w:t>
      </w:r>
      <w:r>
        <w:rPr>
          <w:rFonts w:ascii="Times New Roman" w:hAnsi="Times New Roman"/>
          <w:b w:val="0"/>
          <w:i w:val="0"/>
          <w:color w:val="000000"/>
          <w:sz w:val="24"/>
        </w:rPr>
        <w:t xml:space="preserve"> The extent to which cross-functional teammates, workflows, and approvals depend on the individual.</w:t>
      </w:r>
    </w:p>
    <w:p>
      <w:pPr>
        <w:pStyle w:val="ListNumber"/>
      </w:pPr>
      <w:r>
        <w:rPr>
          <w:rFonts w:ascii="Times New Roman" w:hAnsi="Times New Roman"/>
          <w:b/>
          <w:i w:val="0"/>
          <w:color w:val="000000"/>
          <w:sz w:val="24"/>
        </w:rPr>
        <w:t>Tenure (T):</w:t>
      </w:r>
      <w:r>
        <w:rPr>
          <w:rFonts w:ascii="Times New Roman" w:hAnsi="Times New Roman"/>
          <w:b w:val="0"/>
          <w:i w:val="0"/>
          <w:color w:val="000000"/>
          <w:sz w:val="24"/>
        </w:rPr>
        <w:t xml:space="preserve"> Length of organizational service, serving as an objective proxy for accumulated institutional memory and informal networks.</w:t>
      </w:r>
    </w:p>
    <w:p>
      <w:pPr>
        <w:pStyle w:val="Heading3"/>
      </w:pPr>
      <w:r>
        <w:t>2.4.2 Analytic Hierarchy Process (AHP)</w:t>
      </w:r>
    </w:p>
    <w:p>
      <w:pPr>
        <w:jc w:val="both"/>
      </w:pPr>
      <w:r>
        <w:rPr>
          <w:rFonts w:ascii="Times New Roman" w:hAnsi="Times New Roman"/>
          <w:b w:val="0"/>
          <w:i w:val="0"/>
          <w:color w:val="000000"/>
          <w:sz w:val="24"/>
        </w:rPr>
        <w:t>AHP (Saaty, 1980, 2008) provides a mathematically rigorous method for deriving relative criteria weights through pairwise comparison matrices ($A$). The principal eigenvector corresponds to the priority vector $w$, validated via the Consistency Ratio:</w:t>
      </w:r>
    </w:p>
    <w:p>
      <w:pPr>
        <w:jc w:val="both"/>
      </w:pPr>
      <w:r>
        <w:rPr>
          <w:rFonts w:ascii="Times New Roman" w:hAnsi="Times New Roman"/>
          <w:b w:val="0"/>
          <w:i w:val="0"/>
          <w:color w:val="000000"/>
          <w:sz w:val="24"/>
        </w:rPr>
        <w:t>$$CI =</w:t>
      </w:r>
    </w:p>
    <w:p>
      <w:pPr>
        <w:jc w:val="both"/>
      </w:pPr>
      <w:r>
        <w:rPr>
          <w:rFonts w:ascii="Times New Roman" w:hAnsi="Times New Roman"/>
          <w:b w:val="0"/>
          <w:i w:val="0"/>
          <w:color w:val="000000"/>
          <w:sz w:val="24"/>
        </w:rPr>
        <w:t>rac{\lambda_{max} - n}{n - 1}, \quad CR =</w:t>
      </w:r>
    </w:p>
    <w:p>
      <w:pPr>
        <w:jc w:val="both"/>
      </w:pPr>
      <w:r>
        <w:rPr>
          <w:rFonts w:ascii="Times New Roman" w:hAnsi="Times New Roman"/>
          <w:b w:val="0"/>
          <w:i w:val="0"/>
          <w:color w:val="000000"/>
          <w:sz w:val="24"/>
        </w:rPr>
        <w:t>rac{CI}{RI}$$</w:t>
      </w:r>
    </w:p>
    <w:p>
      <w:pPr>
        <w:jc w:val="both"/>
      </w:pPr>
      <w:r>
        <w:rPr>
          <w:rFonts w:ascii="Times New Roman" w:hAnsi="Times New Roman"/>
          <w:b w:val="0"/>
          <w:i w:val="0"/>
          <w:color w:val="000000"/>
          <w:sz w:val="24"/>
        </w:rPr>
        <w:t>Where $n=5$ and $RI=1.12$. Saaty's axiom stipulates that $CR &lt; 0.10$ is required to confirm transitivity and logical consistency.</w:t>
      </w:r>
    </w:p>
    <w:p>
      <w:pPr>
        <w:pStyle w:val="Heading3"/>
      </w:pPr>
      <w:r>
        <w:t>2.4.3 Supervised and Unsupervised Machine Learning</w:t>
      </w:r>
    </w:p>
    <w:p>
      <w:pPr>
        <w:jc w:val="both"/>
      </w:pPr>
      <w:r>
        <w:rPr>
          <w:rFonts w:ascii="Times New Roman" w:hAnsi="Times New Roman"/>
          <w:b w:val="0"/>
          <w:i w:val="0"/>
          <w:color w:val="000000"/>
          <w:sz w:val="24"/>
        </w:rPr>
        <w:t>Random Forest (Breiman, 2001) is selected as a secondary supporting classifier due to its superior performance on non-linear tabular data and robustness against overfitting. Isolation Forest (Liu et al., 2008) provides unsupervised anomaly detection to identify unusual multi-dimensional score distributions.</w:t>
      </w:r>
    </w:p>
    <w:p>
      <w:pPr>
        <w:pStyle w:val="Heading3"/>
      </w:pPr>
      <w:r>
        <w:t>2.4.4 Generative AI in Decision Support</w:t>
      </w:r>
    </w:p>
    <w:p>
      <w:pPr>
        <w:jc w:val="both"/>
      </w:pPr>
      <w:r>
        <w:rPr>
          <w:rFonts w:ascii="Times New Roman" w:hAnsi="Times New Roman"/>
          <w:b w:val="0"/>
          <w:i w:val="0"/>
          <w:color w:val="000000"/>
          <w:sz w:val="24"/>
        </w:rPr>
        <w:t>Recent advancements in Large Language Models (LLMs) enable contextual text generation from structured parameters (Bubeck et al., 2023). Within KnowledgeGuard, an external LLM is leveraged under strict human-in-the-loop oversight to generate structured, actionable 90-day KT roadmaps.</w:t>
      </w:r>
    </w:p>
    <w:p>
      <w:pPr>
        <w:pStyle w:val="Heading2"/>
      </w:pPr>
      <w:r>
        <w:t>2.5 Research Gap and Synthesis</w:t>
      </w:r>
    </w:p>
    <w:p>
      <w:pPr>
        <w:jc w:val="both"/>
      </w:pPr>
      <w:r>
        <w:rPr>
          <w:rFonts w:ascii="Times New Roman" w:hAnsi="Times New Roman"/>
          <w:b w:val="0"/>
          <w:i w:val="0"/>
          <w:color w:val="000000"/>
          <w:sz w:val="24"/>
        </w:rPr>
        <w:t xml:space="preserve">Existing solutions either passively store explicit documents, assess turnover broadly, or provide theoretical decision formulas without software realization. The research gap is the absence of an </w:t>
      </w:r>
      <w:r>
        <w:rPr>
          <w:rFonts w:ascii="Times New Roman" w:hAnsi="Times New Roman"/>
          <w:b/>
          <w:i w:val="0"/>
          <w:color w:val="000000"/>
          <w:sz w:val="24"/>
        </w:rPr>
        <w:t>integrated, human-supervised Decision Support System</w:t>
      </w:r>
      <w:r>
        <w:rPr>
          <w:rFonts w:ascii="Times New Roman" w:hAnsi="Times New Roman"/>
          <w:b w:val="0"/>
          <w:i w:val="0"/>
          <w:color w:val="000000"/>
          <w:sz w:val="24"/>
        </w:rPr>
        <w:t xml:space="preserve"> that connects proactive employee assessment, automated response auditing, expert formula calibration, machine learning triangulation, Generative AI planning, and verified mitigation tracking within a cohesive workflow.</w:t>
      </w:r>
    </w:p>
    <w:p>
      <w:r>
        <w:br w:type="page"/>
      </w:r>
    </w:p>
    <w:p>
      <w:pPr>
        <w:pStyle w:val="Heading1"/>
      </w:pPr>
      <w:r>
        <w:t>Chapter 3 — Methodology</w:t>
      </w:r>
    </w:p>
    <w:p>
      <w:pPr>
        <w:pStyle w:val="Heading2"/>
      </w:pPr>
      <w:r>
        <w:t>3.1 Research Paradigm and Design</w:t>
      </w:r>
    </w:p>
    <w:p>
      <w:pPr>
        <w:jc w:val="both"/>
      </w:pPr>
      <w:r>
        <w:rPr>
          <w:rFonts w:ascii="Times New Roman" w:hAnsi="Times New Roman"/>
          <w:b w:val="0"/>
          <w:i w:val="0"/>
          <w:color w:val="000000"/>
          <w:sz w:val="24"/>
        </w:rPr>
        <w:t xml:space="preserve">This research is grounded in </w:t>
      </w:r>
      <w:r>
        <w:rPr>
          <w:rFonts w:ascii="Times New Roman" w:hAnsi="Times New Roman"/>
          <w:b/>
          <w:i w:val="0"/>
          <w:color w:val="000000"/>
          <w:sz w:val="24"/>
        </w:rPr>
        <w:t>Pragmatism</w:t>
      </w:r>
      <w:r>
        <w:rPr>
          <w:rFonts w:ascii="Times New Roman" w:hAnsi="Times New Roman"/>
          <w:b w:val="0"/>
          <w:i w:val="0"/>
          <w:color w:val="000000"/>
          <w:sz w:val="24"/>
        </w:rPr>
        <w:t>. Pragmatism posits that the value of an information systems artifact is judged by its practical utility in resolving real-world organizational challenges (Creswell &amp; Creswell, 2018). Rather than proposing an abstract theoretical model, this study develops and validates a functional software artifact.</w:t>
      </w:r>
    </w:p>
    <w:p>
      <w:pPr>
        <w:jc w:val="both"/>
      </w:pPr>
      <w:r>
        <w:rPr>
          <w:rFonts w:ascii="Times New Roman" w:hAnsi="Times New Roman"/>
          <w:b w:val="0"/>
          <w:i w:val="0"/>
          <w:color w:val="000000"/>
          <w:sz w:val="24"/>
        </w:rPr>
        <w:t xml:space="preserve">An </w:t>
      </w:r>
      <w:r>
        <w:rPr>
          <w:rFonts w:ascii="Times New Roman" w:hAnsi="Times New Roman"/>
          <w:b/>
          <w:i w:val="0"/>
          <w:color w:val="000000"/>
          <w:sz w:val="24"/>
        </w:rPr>
        <w:t>abductive research approach</w:t>
      </w:r>
      <w:r>
        <w:rPr>
          <w:rFonts w:ascii="Times New Roman" w:hAnsi="Times New Roman"/>
          <w:b w:val="0"/>
          <w:i w:val="0"/>
          <w:color w:val="000000"/>
          <w:sz w:val="24"/>
        </w:rPr>
        <w:t xml:space="preserve"> was adopted, iteratively cycling between domain observations, academic theory, prototype engineering, and empirical evaluation.</w:t>
      </w:r>
    </w:p>
    <w:p>
      <w:pPr>
        <w:pStyle w:val="Heading2"/>
      </w:pPr>
      <w:r>
        <w:t>3.2 Research Strategy: Design Science Research (DSR)</w:t>
      </w:r>
    </w:p>
    <w:p>
      <w:pPr>
        <w:jc w:val="both"/>
      </w:pPr>
      <w:r>
        <w:rPr>
          <w:rFonts w:ascii="Times New Roman" w:hAnsi="Times New Roman"/>
          <w:b w:val="0"/>
          <w:i w:val="0"/>
          <w:color w:val="000000"/>
          <w:sz w:val="24"/>
        </w:rPr>
        <w:t>The principal research methodology is Design Science Research (DSR) as codified by Hevner et al. (2004) and Peffers et al. (2007). KnowledgeGuard serves as the central IT artifact.</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DSR Guideline (Hevner 2004)</w:t>
            </w:r>
          </w:p>
        </w:tc>
        <w:tc>
          <w:tcPr>
            <w:tcW w:type="dxa" w:w="4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Implementation within KnowledgeGuard Research</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Guideline 1: Design as an Artifact</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Development of a functional, decoupled web-based DSS comprising React frontend, Node.js backend, MongoDB database, and FastAPI ML service.</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Guideline 2: Problem Relevance</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Proactively addresses the operational and financial disruption caused by tacit knowledge loss during employee transitions.</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Guideline 3: Design Evaluation</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Three-tier evaluation: technical/functional test execution, AHP mathematical consistency analysis, and empirical SUS/TAM user evaluations.</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Guideline 4: Research Contributions</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Primary contribution is the integrated human-supervised decision support workflow combining data quality auditing, transparent scoring, and multi-party verification.</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Guideline 5: Research Rigor</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Grounded in validated literature indicators (EU, DG, PC, CD, T), Saaty's AHP axioms, standard SUS/TAM instruments, and automated audit checks.</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Guideline 6: Design as a Search Process</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Iterative engineering via Agile-Kanban; refinement of scoring triangulation, dynamic CSV parsing, and Groq/Gemini prompt engineering.</w:t>
            </w:r>
          </w:p>
        </w:tc>
      </w:tr>
      <w:tr>
        <w:tc>
          <w:tcPr>
            <w:tcW w:type="dxa" w:w="45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Guideline 7: Communication of Research</w:t>
            </w:r>
          </w:p>
        </w:tc>
        <w:tc>
          <w:tcPr>
            <w:tcW w:type="dxa" w:w="4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Comprehensive documentation of system architecture, data models, source code, and empirical results in this thesis.</w:t>
            </w:r>
          </w:p>
        </w:tc>
      </w:tr>
    </w:tbl>
    <w:p/>
    <w:p>
      <w:pPr>
        <w:pStyle w:val="Heading2"/>
      </w:pPr>
      <w:r>
        <w:t>3.3 Evidence and Participant Sampling</w:t>
      </w:r>
    </w:p>
    <w:p>
      <w:pPr>
        <w:jc w:val="both"/>
      </w:pPr>
      <w:r>
        <w:rPr>
          <w:rFonts w:ascii="Times New Roman" w:hAnsi="Times New Roman"/>
          <w:b w:val="0"/>
          <w:i w:val="0"/>
          <w:color w:val="000000"/>
          <w:sz w:val="24"/>
        </w:rPr>
        <w:t>The empirical investigation utilized three distinct, non-overlapping participant groups to ensure research integrity:</w:t>
      </w:r>
    </w:p>
    <w:p>
      <w:pPr>
        <w:pStyle w:val="ListNumber"/>
      </w:pPr>
      <w:r>
        <w:rPr>
          <w:rFonts w:ascii="Times New Roman" w:hAnsi="Times New Roman"/>
          <w:b/>
          <w:i w:val="0"/>
          <w:color w:val="000000"/>
          <w:sz w:val="24"/>
        </w:rPr>
        <w:t>Group 1: Assessment Sample (N = 30):</w:t>
      </w:r>
      <w:r>
        <w:rPr>
          <w:rFonts w:ascii="Times New Roman" w:hAnsi="Times New Roman"/>
          <w:b w:val="0"/>
          <w:i w:val="0"/>
          <w:color w:val="000000"/>
          <w:sz w:val="24"/>
        </w:rPr>
        <w:t xml:space="preserve"> 30 industry professionals across Engineering, Product, Operations, and Finance who completed the indirect assessment instrument to generate baseline organizational profiles.</w:t>
      </w:r>
    </w:p>
    <w:p>
      <w:pPr>
        <w:pStyle w:val="ListNumber"/>
      </w:pPr>
      <w:r>
        <w:rPr>
          <w:rFonts w:ascii="Times New Roman" w:hAnsi="Times New Roman"/>
          <w:b/>
          <w:i w:val="0"/>
          <w:color w:val="000000"/>
          <w:sz w:val="24"/>
        </w:rPr>
        <w:t>Group 2: Domain Expert Panel (N = 10):</w:t>
      </w:r>
      <w:r>
        <w:rPr>
          <w:rFonts w:ascii="Times New Roman" w:hAnsi="Times New Roman"/>
          <w:b w:val="0"/>
          <w:i w:val="0"/>
          <w:color w:val="000000"/>
          <w:sz w:val="24"/>
        </w:rPr>
        <w:t xml:space="preserve"> 10 senior domain experts (3 HR Directors, 3 Senior Engineering Managers, 2 Knowledge Management Consultants, 2 Senior MIS Academics) who completed the 5×5 AHP pairwise comparison matrix.</w:t>
      </w:r>
    </w:p>
    <w:p>
      <w:pPr>
        <w:pStyle w:val="ListNumber"/>
      </w:pPr>
      <w:r>
        <w:rPr>
          <w:rFonts w:ascii="Times New Roman" w:hAnsi="Times New Roman"/>
          <w:b/>
          <w:i w:val="0"/>
          <w:color w:val="000000"/>
          <w:sz w:val="24"/>
        </w:rPr>
        <w:t>Group 3: System Evaluators (N = 10):</w:t>
      </w:r>
      <w:r>
        <w:rPr>
          <w:rFonts w:ascii="Times New Roman" w:hAnsi="Times New Roman"/>
          <w:b w:val="0"/>
          <w:i w:val="0"/>
          <w:color w:val="000000"/>
          <w:sz w:val="24"/>
        </w:rPr>
        <w:t xml:space="preserve"> 10 managerial stakeholders (4 Engineering/Product Managers, 3 HR Analysts, 3 Project Leads) who interacted with the live system and completed the SUS and TAM instruments. To simulate authentic workplace conditions, 3 evaluators were managers of participants in Group 1.</w:t>
      </w:r>
    </w:p>
    <w:p>
      <w:pPr>
        <w:pStyle w:val="Heading2"/>
      </w:pPr>
      <w:r>
        <w:t>3.4 Data Handling, Ethics, and Governance</w:t>
      </w:r>
    </w:p>
    <w:p>
      <w:pPr>
        <w:pStyle w:val="ListBullet"/>
      </w:pPr>
      <w:r>
        <w:rPr>
          <w:rFonts w:ascii="Times New Roman" w:hAnsi="Times New Roman"/>
          <w:b/>
          <w:i w:val="0"/>
          <w:color w:val="000000"/>
          <w:sz w:val="24"/>
        </w:rPr>
        <w:t>Informed Consent:</w:t>
      </w:r>
      <w:r>
        <w:rPr>
          <w:rFonts w:ascii="Times New Roman" w:hAnsi="Times New Roman"/>
          <w:b w:val="0"/>
          <w:i w:val="0"/>
          <w:color w:val="000000"/>
          <w:sz w:val="24"/>
        </w:rPr>
        <w:t xml:space="preserve"> All participants received an information sheet detailing the academic purpose and signed digital consent forms.</w:t>
      </w:r>
    </w:p>
    <w:p>
      <w:pPr>
        <w:pStyle w:val="ListBullet"/>
      </w:pPr>
      <w:r>
        <w:rPr>
          <w:rFonts w:ascii="Times New Roman" w:hAnsi="Times New Roman"/>
          <w:b/>
          <w:i w:val="0"/>
          <w:color w:val="000000"/>
          <w:sz w:val="24"/>
        </w:rPr>
        <w:t>De-Identification &amp; Privacy:</w:t>
      </w:r>
      <w:r>
        <w:rPr>
          <w:rFonts w:ascii="Times New Roman" w:hAnsi="Times New Roman"/>
          <w:b w:val="0"/>
          <w:i w:val="0"/>
          <w:color w:val="000000"/>
          <w:sz w:val="24"/>
        </w:rPr>
        <w:t xml:space="preserve"> Employee identifiers were pseudonymized upon CSV ingestion.</w:t>
      </w:r>
    </w:p>
    <w:p>
      <w:pPr>
        <w:pStyle w:val="ListBullet"/>
      </w:pPr>
      <w:r>
        <w:rPr>
          <w:rFonts w:ascii="Times New Roman" w:hAnsi="Times New Roman"/>
          <w:b/>
          <w:i w:val="0"/>
          <w:color w:val="000000"/>
          <w:sz w:val="24"/>
        </w:rPr>
        <w:t>PII Sanitization:</w:t>
      </w:r>
      <w:r>
        <w:rPr>
          <w:rFonts w:ascii="Times New Roman" w:hAnsi="Times New Roman"/>
          <w:b w:val="0"/>
          <w:i w:val="0"/>
          <w:color w:val="000000"/>
          <w:sz w:val="24"/>
        </w:rPr>
        <w:t xml:space="preserve"> The Generative AI integration sanitizes all personal identifiers prior to external API dispatch, transmitting only technical competencies and role summaries.</w:t>
      </w:r>
    </w:p>
    <w:p>
      <w:pPr>
        <w:pStyle w:val="ListBullet"/>
      </w:pPr>
      <w:r>
        <w:rPr>
          <w:rFonts w:ascii="Times New Roman" w:hAnsi="Times New Roman"/>
          <w:b/>
          <w:i w:val="0"/>
          <w:color w:val="000000"/>
          <w:sz w:val="24"/>
        </w:rPr>
        <w:t>Non-Punitive Safeguards:</w:t>
      </w:r>
      <w:r>
        <w:rPr>
          <w:rFonts w:ascii="Times New Roman" w:hAnsi="Times New Roman"/>
          <w:b w:val="0"/>
          <w:i w:val="0"/>
          <w:color w:val="000000"/>
          <w:sz w:val="24"/>
        </w:rPr>
        <w:t xml:space="preserve"> The system is explicitly configured as a resource allocation and knowledge-continuity tool, prohibiting autonomous disciplinary or employment actions.</w:t>
      </w:r>
    </w:p>
    <w:p>
      <w:r>
        <w:br w:type="page"/>
      </w:r>
    </w:p>
    <w:p>
      <w:pPr>
        <w:pStyle w:val="Heading1"/>
      </w:pPr>
      <w:r>
        <w:t>Chapter 4 — System Requirement Specification</w:t>
      </w:r>
    </w:p>
    <w:p>
      <w:pPr>
        <w:pStyle w:val="Heading2"/>
      </w:pPr>
      <w:r>
        <w:t>4.1 Stakeholder Analysis</w:t>
      </w:r>
    </w:p>
    <w:tbl>
      <w:tblPr>
        <w:tblStyle w:val="TableGrid"/>
        <w:tblW w:type="auto" w:w="0"/>
        <w:jc w:val="center"/>
        <w:tblLook w:firstColumn="1" w:firstRow="1" w:lastColumn="0" w:lastRow="0" w:noHBand="0" w:noVBand="1" w:val="04A0"/>
      </w:tblPr>
      <w:tblGrid>
        <w:gridCol w:w="2250"/>
        <w:gridCol w:w="2250"/>
        <w:gridCol w:w="2250"/>
        <w:gridCol w:w="2250"/>
      </w:tblGrid>
      <w:tr>
        <w:trPr>
          <w:tblHeader w:val="true"/>
        </w:trPr>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Stakeholder</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Workflow Role</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Key Information Needs</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Primary System Interactions</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Employee</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Knowledge Holder</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Personal risk overview, assigned KT tasks.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Completes quarterly assessments; submits task evidence; confirms completion.</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Manager</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Decision Maker</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Subordinate risk profiles, score transparency, KT progress.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Validates scores; triggers AI KT plans; inspects evidence; grants final approval.</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HR Analyst</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Assessment Admin</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Workforce risk distribution, data quality flags.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Ingests quarterly assessment CSVs; audits straight-lining; monitors compliance.</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Backup Person</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Knowledge Recipient</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Assigned KT activities, reference material.</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Participates in shadowing/walkthroughs; validates independent competence.</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Lead Researcher</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System Calibrator</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Expert matrices, mathematical consistency ratios.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Ingests AHP pairwise surveys; tests CR threshold; applies/rolls back weights.</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CRON Scheduler</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Automated Agent</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Workflow task deadlines, overdue statuses.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Daily daemon checking; triggers email/socket reminder notifications.</w:t>
            </w:r>
          </w:p>
        </w:tc>
      </w:tr>
    </w:tbl>
    <w:p/>
    <w:p>
      <w:pPr>
        <w:pStyle w:val="Heading2"/>
      </w:pPr>
      <w:r>
        <w:t>4.2 Operationalization of Knowledge-Loss Risk Indicators</w:t>
      </w:r>
    </w:p>
    <w:p>
      <w:pPr>
        <w:pStyle w:val="Heading3"/>
      </w:pPr>
      <w:r>
        <w:t>4.2.1 Indicator Normalization</w:t>
      </w:r>
    </w:p>
    <w:p>
      <w:pPr>
        <w:jc w:val="both"/>
      </w:pPr>
      <w:r>
        <w:rPr>
          <w:rFonts w:ascii="Times New Roman" w:hAnsi="Times New Roman"/>
          <w:b w:val="0"/>
          <w:i w:val="0"/>
          <w:color w:val="000000"/>
          <w:sz w:val="24"/>
        </w:rPr>
        <w:t>All indicators are transformed to a continuous 1.00–10.00 scale:</w:t>
      </w:r>
    </w:p>
    <w:p>
      <w:pPr>
        <w:pStyle w:val="ListBullet"/>
      </w:pPr>
      <w:r>
        <w:rPr>
          <w:rFonts w:ascii="Times New Roman" w:hAnsi="Times New Roman"/>
          <w:b w:val="0"/>
          <w:i w:val="0"/>
          <w:color w:val="000000"/>
          <w:sz w:val="24"/>
        </w:rPr>
        <w:t>Raw survey items (1–5 Likert or text equivalents) are mapped to $\{2, 4, 6, 8, 10\}$;</w:t>
      </w:r>
    </w:p>
    <w:p>
      <w:pPr>
        <w:pStyle w:val="ListBullet"/>
      </w:pPr>
      <w:r>
        <w:rPr>
          <w:rFonts w:ascii="Times New Roman" w:hAnsi="Times New Roman"/>
          <w:b w:val="0"/>
          <w:i w:val="0"/>
          <w:color w:val="000000"/>
          <w:sz w:val="24"/>
        </w:rPr>
        <w:t xml:space="preserve">Reversed items invert polarity ($1 </w:t>
        <w:tab/>
        <w:t xml:space="preserve">o 10, 2 </w:t>
        <w:tab/>
        <w:t xml:space="preserve">o 8, 3 </w:t>
        <w:tab/>
        <w:t xml:space="preserve">o 6, 4 </w:t>
        <w:tab/>
        <w:t xml:space="preserve">o 4, 5 </w:t>
        <w:tab/>
        <w:t>o 2$);</w:t>
      </w:r>
    </w:p>
    <w:p>
      <w:pPr>
        <w:pStyle w:val="ListBullet"/>
      </w:pPr>
      <w:r>
        <w:rPr>
          <w:rFonts w:ascii="Times New Roman" w:hAnsi="Times New Roman"/>
          <w:b w:val="0"/>
          <w:i w:val="0"/>
          <w:color w:val="000000"/>
          <w:sz w:val="24"/>
        </w:rPr>
        <w:t>Multi-item indicators are averaged: $EU =</w:t>
      </w:r>
    </w:p>
    <w:p>
      <w:pPr>
        <w:jc w:val="both"/>
      </w:pPr>
      <w:r>
        <w:rPr>
          <w:rFonts w:ascii="Times New Roman" w:hAnsi="Times New Roman"/>
          <w:b w:val="0"/>
          <w:i w:val="0"/>
          <w:color w:val="000000"/>
          <w:sz w:val="24"/>
        </w:rPr>
        <w:t>rac{1}{k}\sum_{i=1}^k EU_i$;</w:t>
      </w:r>
    </w:p>
    <w:p>
      <w:pPr>
        <w:pStyle w:val="ListBullet"/>
      </w:pPr>
      <w:r>
        <w:rPr>
          <w:rFonts w:ascii="Times New Roman" w:hAnsi="Times New Roman"/>
          <w:b w:val="0"/>
          <w:i w:val="0"/>
          <w:color w:val="000000"/>
          <w:sz w:val="24"/>
        </w:rPr>
        <w:t>Tenure ($T$) is objectively computed from start date:</w:t>
      </w:r>
    </w:p>
    <w:p>
      <w:pPr>
        <w:pStyle w:val="ListBullet"/>
      </w:pPr>
      <w:r>
        <w:rPr>
          <w:rFonts w:ascii="Times New Roman" w:hAnsi="Times New Roman"/>
          <w:b w:val="0"/>
          <w:i w:val="0"/>
          <w:color w:val="000000"/>
          <w:sz w:val="24"/>
        </w:rPr>
        <w:t>$&lt; 2$ years $\implies 2.00$</w:t>
      </w:r>
    </w:p>
    <w:p>
      <w:pPr>
        <w:pStyle w:val="ListBullet"/>
      </w:pPr>
      <w:r>
        <w:rPr>
          <w:rFonts w:ascii="Times New Roman" w:hAnsi="Times New Roman"/>
          <w:b w:val="0"/>
          <w:i w:val="0"/>
          <w:color w:val="000000"/>
          <w:sz w:val="24"/>
        </w:rPr>
        <w:t xml:space="preserve">$2 \le </w:t>
        <w:tab/>
        <w:t>ext{years} &lt; 5 \implies 5.00$</w:t>
      </w:r>
    </w:p>
    <w:p>
      <w:pPr>
        <w:pStyle w:val="ListBullet"/>
      </w:pPr>
      <w:r>
        <w:rPr>
          <w:rFonts w:ascii="Times New Roman" w:hAnsi="Times New Roman"/>
          <w:b w:val="0"/>
          <w:i w:val="0"/>
          <w:color w:val="000000"/>
          <w:sz w:val="24"/>
        </w:rPr>
        <w:t xml:space="preserve">$5 \le </w:t>
        <w:tab/>
        <w:t>ext{years} &lt; 10 \implies 7.00$</w:t>
      </w:r>
    </w:p>
    <w:p>
      <w:pPr>
        <w:pStyle w:val="ListBullet"/>
      </w:pPr>
      <w:r>
        <w:rPr>
          <w:rFonts w:ascii="Times New Roman" w:hAnsi="Times New Roman"/>
          <w:b w:val="0"/>
          <w:i w:val="0"/>
          <w:color w:val="000000"/>
          <w:sz w:val="24"/>
        </w:rPr>
        <w:t>$\ge 10$ years $\implies 10.00$</w:t>
      </w:r>
    </w:p>
    <w:p>
      <w:pPr>
        <w:pStyle w:val="Heading3"/>
      </w:pPr>
      <w:r>
        <w:t>4.2.2 Response-Quality Checking</w:t>
      </w:r>
    </w:p>
    <w:p>
      <w:pPr>
        <w:jc w:val="both"/>
      </w:pPr>
      <w:r>
        <w:rPr>
          <w:rFonts w:ascii="Times New Roman" w:hAnsi="Times New Roman"/>
          <w:b w:val="0"/>
          <w:i w:val="0"/>
          <w:color w:val="000000"/>
          <w:sz w:val="24"/>
        </w:rPr>
        <w:t>The backend inspects responses for low-information patterns:</w:t>
      </w:r>
    </w:p>
    <w:p>
      <w:pPr>
        <w:pStyle w:val="ListBullet"/>
      </w:pPr>
      <w:r>
        <w:rPr>
          <w:rFonts w:ascii="Times New Roman" w:hAnsi="Times New Roman"/>
          <w:b/>
          <w:i w:val="0"/>
          <w:color w:val="000000"/>
          <w:sz w:val="24"/>
        </w:rPr>
        <w:t>Straight-Lining:</w:t>
      </w:r>
      <w:r>
        <w:rPr>
          <w:rFonts w:ascii="Times New Roman" w:hAnsi="Times New Roman"/>
          <w:b w:val="0"/>
          <w:i w:val="0"/>
          <w:color w:val="000000"/>
          <w:sz w:val="24"/>
        </w:rPr>
        <w:t xml:space="preserve"> Computed across numeric responses. If standard deviation $\sigma &lt; 1.0$, the row is flagged with an Acquiescence Pattern, adding a $+35$ bias score and a $0.20$ confidence discount.</w:t>
      </w:r>
    </w:p>
    <w:p>
      <w:pPr>
        <w:pStyle w:val="ListBullet"/>
      </w:pPr>
      <w:r>
        <w:rPr>
          <w:rFonts w:ascii="Times New Roman" w:hAnsi="Times New Roman"/>
          <w:b/>
          <w:i w:val="0"/>
          <w:color w:val="000000"/>
          <w:sz w:val="24"/>
        </w:rPr>
        <w:t>Polarity Contradiction:</w:t>
      </w:r>
      <w:r>
        <w:rPr>
          <w:rFonts w:ascii="Times New Roman" w:hAnsi="Times New Roman"/>
          <w:b w:val="0"/>
          <w:i w:val="0"/>
          <w:color w:val="000000"/>
          <w:sz w:val="24"/>
        </w:rPr>
        <w:t xml:space="preserve"> If the absolute difference between direct and reversed items $|\mu_{direct} - \mu_{reverse}| \ge 4.0$, a Contradiction Flag is logged with a $+25$ bias score.</w:t>
      </w:r>
    </w:p>
    <w:p>
      <w:pPr>
        <w:pStyle w:val="Heading3"/>
      </w:pPr>
      <w:r>
        <w:t>4.2.3 Baseline Formula &amp; Default Weights</w:t>
      </w:r>
    </w:p>
    <w:p>
      <w:pPr>
        <w:jc w:val="both"/>
      </w:pPr>
      <w:r>
        <w:rPr>
          <w:rFonts w:ascii="Times New Roman" w:hAnsi="Times New Roman"/>
          <w:b w:val="0"/>
          <w:i w:val="0"/>
          <w:color w:val="000000"/>
          <w:sz w:val="24"/>
        </w:rPr>
        <w:t>The transparent baseline formula is defined as:</w:t>
      </w:r>
    </w:p>
    <w:p>
      <w:pPr>
        <w:jc w:val="both"/>
      </w:pPr>
      <w:r>
        <w:rPr>
          <w:rFonts w:ascii="Times New Roman" w:hAnsi="Times New Roman"/>
          <w:b w:val="0"/>
          <w:i w:val="0"/>
          <w:color w:val="000000"/>
          <w:sz w:val="24"/>
        </w:rPr>
        <w:t xml:space="preserve">$$RS_{formula} = (EU </w:t>
        <w:tab/>
        <w:t xml:space="preserve">imes 0.25) + (DG </w:t>
        <w:tab/>
        <w:t xml:space="preserve">imes 0.20) + (PC </w:t>
        <w:tab/>
        <w:t xml:space="preserve">imes 0.20) + (CD </w:t>
        <w:tab/>
        <w:t xml:space="preserve">imes 0.20) + (T </w:t>
        <w:tab/>
        <w:t>imes 0.15)$$</w:t>
      </w:r>
    </w:p>
    <w:p>
      <w:pPr>
        <w:jc w:val="both"/>
      </w:pPr>
      <w:r>
        <w:rPr>
          <w:rFonts w:ascii="Times New Roman" w:hAnsi="Times New Roman"/>
          <w:b w:val="0"/>
          <w:i w:val="0"/>
          <w:color w:val="000000"/>
          <w:sz w:val="24"/>
        </w:rPr>
        <w:t>Weights reflect theoretical literature: EU receives highest initial weighting due to tacit knowledge stickiness; Tenure receives lowest because length of service alone does not imply non-substitutable expertise.</w:t>
      </w:r>
    </w:p>
    <w:p>
      <w:pPr>
        <w:pStyle w:val="Heading3"/>
      </w:pPr>
      <w:r>
        <w:t>4.2.4 Triangulated Final Scoring Logic</w:t>
      </w:r>
    </w:p>
    <w:p>
      <w:pPr>
        <w:jc w:val="both"/>
      </w:pPr>
      <w:r>
        <w:rPr>
          <w:rFonts w:ascii="Times New Roman" w:hAnsi="Times New Roman"/>
          <w:b w:val="0"/>
          <w:i w:val="0"/>
          <w:color w:val="000000"/>
          <w:sz w:val="24"/>
        </w:rPr>
        <w:t>To combine algorithmic transparency, data-driven prediction, and human accountability, KnowledgeGuard implements a dual-mode calculation in `backend/src/services/scoringEngine.js`:</w:t>
      </w:r>
    </w:p>
    <w:p>
      <w:pPr>
        <w:jc w:val="both"/>
      </w:pPr>
      <w:r>
        <w:rPr>
          <w:rFonts w:ascii="Times New Roman" w:hAnsi="Times New Roman"/>
          <w:b/>
          <w:i w:val="0"/>
          <w:color w:val="000000"/>
          <w:sz w:val="24"/>
        </w:rPr>
        <w:t>Mode A: Human-in-the-Loop Triangulation (Manager Validated)</w:t>
      </w:r>
    </w:p>
    <w:p>
      <w:pPr>
        <w:jc w:val="both"/>
      </w:pPr>
      <w:r>
        <w:rPr>
          <w:rFonts w:ascii="Times New Roman" w:hAnsi="Times New Roman"/>
          <w:b w:val="0"/>
          <w:i w:val="0"/>
          <w:color w:val="000000"/>
          <w:sz w:val="24"/>
        </w:rPr>
        <w:t>When the manager reviews the profile and submits contextual scores ($ManagerScore &gt; 0$):</w:t>
      </w:r>
    </w:p>
    <w:p>
      <w:pPr>
        <w:jc w:val="both"/>
      </w:pPr>
      <w:r>
        <w:rPr>
          <w:rFonts w:ascii="Times New Roman" w:hAnsi="Times New Roman"/>
          <w:b w:val="0"/>
          <w:i w:val="0"/>
          <w:color w:val="000000"/>
          <w:sz w:val="24"/>
        </w:rPr>
        <w:t xml:space="preserve">$$\mathbf{Final\ Risk\ Score} = (Formula </w:t>
        <w:tab/>
        <w:t xml:space="preserve">imes 0.30) + (Manager </w:t>
        <w:tab/>
        <w:t xml:space="preserve">imes 0.50) + (ML </w:t>
        <w:tab/>
        <w:t>imes 0.20)$$</w:t>
      </w:r>
    </w:p>
    <w:p>
      <w:pPr>
        <w:jc w:val="both"/>
      </w:pPr>
      <w:r>
        <w:rPr>
          <w:rFonts w:ascii="Times New Roman" w:hAnsi="Times New Roman"/>
          <w:b w:val="0"/>
          <w:i w:val="0"/>
          <w:color w:val="000000"/>
          <w:sz w:val="24"/>
        </w:rPr>
        <w:t>*Formula Score (30%)* guarantees deterministic transparency; *Manager Score (50%)* ensures organizational accountability; *ML Score (20%)* provides secondary statistical support.</w:t>
      </w:r>
    </w:p>
    <w:p>
      <w:pPr>
        <w:jc w:val="both"/>
      </w:pPr>
      <w:r>
        <w:rPr>
          <w:rFonts w:ascii="Times New Roman" w:hAnsi="Times New Roman"/>
          <w:b/>
          <w:i w:val="0"/>
          <w:color w:val="000000"/>
          <w:sz w:val="24"/>
        </w:rPr>
        <w:t>Mode B: Provisional Fallback (Manager Validation Pending)</w:t>
      </w:r>
    </w:p>
    <w:p>
      <w:pPr>
        <w:jc w:val="both"/>
      </w:pPr>
      <w:r>
        <w:rPr>
          <w:rFonts w:ascii="Times New Roman" w:hAnsi="Times New Roman"/>
          <w:b w:val="0"/>
          <w:i w:val="0"/>
          <w:color w:val="000000"/>
          <w:sz w:val="24"/>
        </w:rPr>
        <w:t>Before manager validation is submitted:</w:t>
      </w:r>
    </w:p>
    <w:p>
      <w:pPr>
        <w:jc w:val="both"/>
      </w:pPr>
      <w:r>
        <w:rPr>
          <w:rFonts w:ascii="Times New Roman" w:hAnsi="Times New Roman"/>
          <w:b w:val="0"/>
          <w:i w:val="0"/>
          <w:color w:val="000000"/>
          <w:sz w:val="24"/>
        </w:rPr>
        <w:t xml:space="preserve">$$\mathbf{Provisional\ Score} = (Formula </w:t>
        <w:tab/>
        <w:t xml:space="preserve">imes 0.70) + (ML </w:t>
        <w:tab/>
        <w:t>imes 0.30)$$</w:t>
      </w:r>
    </w:p>
    <w:p>
      <w:pPr>
        <w:jc w:val="both"/>
      </w:pPr>
      <w:r>
        <w:rPr>
          <w:rFonts w:ascii="Times New Roman" w:hAnsi="Times New Roman"/>
          <w:b w:val="0"/>
          <w:i w:val="0"/>
          <w:color w:val="000000"/>
          <w:sz w:val="24"/>
        </w:rPr>
        <w:t>This ensures the system remains operational upon CSV import without fabricating managerial input.</w:t>
      </w:r>
    </w:p>
    <w:p>
      <w:pPr>
        <w:pStyle w:val="Heading3"/>
      </w:pPr>
      <w:r>
        <w:t>4.2.5 Risk Tier Classification</w:t>
      </w:r>
    </w:p>
    <w:p>
      <w:pPr>
        <w:jc w:val="both"/>
      </w:pPr>
      <w:r>
        <w:rPr>
          <w:rFonts w:ascii="Times New Roman" w:hAnsi="Times New Roman"/>
          <w:b w:val="0"/>
          <w:i w:val="0"/>
          <w:color w:val="000000"/>
          <w:sz w:val="24"/>
        </w:rPr>
        <w:t>Final continuous scores map to four operational tiers:</w:t>
      </w:r>
    </w:p>
    <w:p>
      <w:pPr>
        <w:pStyle w:val="ListBullet"/>
      </w:pPr>
      <w:r>
        <w:rPr>
          <w:rFonts w:ascii="Times New Roman" w:hAnsi="Times New Roman"/>
          <w:b/>
          <w:i w:val="0"/>
          <w:color w:val="000000"/>
          <w:sz w:val="24"/>
        </w:rPr>
        <w:t>Low Risk:</w:t>
      </w:r>
      <w:r>
        <w:rPr>
          <w:rFonts w:ascii="Times New Roman" w:hAnsi="Times New Roman"/>
          <w:b w:val="0"/>
          <w:i w:val="0"/>
          <w:color w:val="000000"/>
          <w:sz w:val="24"/>
        </w:rPr>
        <w:t xml:space="preserve"> $1.00 \le </w:t>
        <w:tab/>
        <w:t>ext{Score} &lt; 4.00 \implies$ Routine periodic monitoring.</w:t>
      </w:r>
    </w:p>
    <w:p>
      <w:pPr>
        <w:pStyle w:val="ListBullet"/>
      </w:pPr>
      <w:r>
        <w:rPr>
          <w:rFonts w:ascii="Times New Roman" w:hAnsi="Times New Roman"/>
          <w:b/>
          <w:i w:val="0"/>
          <w:color w:val="000000"/>
          <w:sz w:val="24"/>
        </w:rPr>
        <w:t>Medium Risk:</w:t>
      </w:r>
      <w:r>
        <w:rPr>
          <w:rFonts w:ascii="Times New Roman" w:hAnsi="Times New Roman"/>
          <w:b w:val="0"/>
          <w:i w:val="0"/>
          <w:color w:val="000000"/>
          <w:sz w:val="24"/>
        </w:rPr>
        <w:t xml:space="preserve"> $4.00 \le </w:t>
        <w:tab/>
        <w:t>ext{Score} &lt; 7.00 \implies$ Managerial review; documentation audit.</w:t>
      </w:r>
    </w:p>
    <w:p>
      <w:pPr>
        <w:pStyle w:val="ListBullet"/>
      </w:pPr>
      <w:r>
        <w:rPr>
          <w:rFonts w:ascii="Times New Roman" w:hAnsi="Times New Roman"/>
          <w:b/>
          <w:i w:val="0"/>
          <w:color w:val="000000"/>
          <w:sz w:val="24"/>
        </w:rPr>
        <w:t>High Risk:</w:t>
      </w:r>
      <w:r>
        <w:rPr>
          <w:rFonts w:ascii="Times New Roman" w:hAnsi="Times New Roman"/>
          <w:b w:val="0"/>
          <w:i w:val="0"/>
          <w:color w:val="000000"/>
          <w:sz w:val="24"/>
        </w:rPr>
        <w:t xml:space="preserve"> $7.00 \le </w:t>
        <w:tab/>
        <w:t>ext{Score} &lt; 9.00 \implies$ Mandatory Knowledge Transfer planning.</w:t>
      </w:r>
    </w:p>
    <w:p>
      <w:pPr>
        <w:pStyle w:val="ListBullet"/>
      </w:pPr>
      <w:r>
        <w:rPr>
          <w:rFonts w:ascii="Times New Roman" w:hAnsi="Times New Roman"/>
          <w:b/>
          <w:i w:val="0"/>
          <w:color w:val="000000"/>
          <w:sz w:val="24"/>
        </w:rPr>
        <w:t>Critical Risk:</w:t>
      </w:r>
      <w:r>
        <w:rPr>
          <w:rFonts w:ascii="Times New Roman" w:hAnsi="Times New Roman"/>
          <w:b w:val="0"/>
          <w:i w:val="0"/>
          <w:color w:val="000000"/>
          <w:sz w:val="24"/>
        </w:rPr>
        <w:t xml:space="preserve"> $9.00 \le </w:t>
        <w:tab/>
        <w:t>ext{Score} \le 10.00 \implies$ Immediate executive escalation and structured KT.</w:t>
      </w:r>
    </w:p>
    <w:p>
      <w:pPr>
        <w:pStyle w:val="Heading2"/>
      </w:pPr>
      <w:r>
        <w:t>4.3 Functional and Non-Functional Requirements</w:t>
      </w:r>
    </w:p>
    <w:p>
      <w:pPr>
        <w:pStyle w:val="Heading3"/>
      </w:pPr>
      <w:r>
        <w:t>4.3.1 Functional Requirements (Req-01 to Req-09)</w:t>
      </w:r>
    </w:p>
    <w:p>
      <w:pPr>
        <w:pStyle w:val="ListBullet"/>
      </w:pPr>
      <w:r>
        <w:rPr>
          <w:rFonts w:ascii="Times New Roman" w:hAnsi="Times New Roman"/>
          <w:b/>
          <w:i w:val="0"/>
          <w:color w:val="000000"/>
          <w:sz w:val="24"/>
        </w:rPr>
        <w:t>Req-01:</w:t>
      </w:r>
      <w:r>
        <w:rPr>
          <w:rFonts w:ascii="Times New Roman" w:hAnsi="Times New Roman"/>
          <w:b w:val="0"/>
          <w:i w:val="0"/>
          <w:color w:val="000000"/>
          <w:sz w:val="24"/>
        </w:rPr>
        <w:t xml:space="preserve"> System shall ingest employee assessment data via CSV and map responses dynamically using substring matching.</w:t>
      </w:r>
    </w:p>
    <w:p>
      <w:pPr>
        <w:pStyle w:val="ListBullet"/>
      </w:pPr>
      <w:r>
        <w:rPr>
          <w:rFonts w:ascii="Times New Roman" w:hAnsi="Times New Roman"/>
          <w:b/>
          <w:i w:val="0"/>
          <w:color w:val="000000"/>
          <w:sz w:val="24"/>
        </w:rPr>
        <w:t>Req-02:</w:t>
      </w:r>
      <w:r>
        <w:rPr>
          <w:rFonts w:ascii="Times New Roman" w:hAnsi="Times New Roman"/>
          <w:b w:val="0"/>
          <w:i w:val="0"/>
          <w:color w:val="000000"/>
          <w:sz w:val="24"/>
        </w:rPr>
        <w:t xml:space="preserve"> System shall execute response-quality checks (straight-lining and contradiction detection) and assign confidence discounts.</w:t>
      </w:r>
    </w:p>
    <w:p>
      <w:pPr>
        <w:pStyle w:val="ListBullet"/>
      </w:pPr>
      <w:r>
        <w:rPr>
          <w:rFonts w:ascii="Times New Roman" w:hAnsi="Times New Roman"/>
          <w:b/>
          <w:i w:val="0"/>
          <w:color w:val="000000"/>
          <w:sz w:val="24"/>
        </w:rPr>
        <w:t>Req-03:</w:t>
      </w:r>
      <w:r>
        <w:rPr>
          <w:rFonts w:ascii="Times New Roman" w:hAnsi="Times New Roman"/>
          <w:b w:val="0"/>
          <w:i w:val="0"/>
          <w:color w:val="000000"/>
          <w:sz w:val="24"/>
        </w:rPr>
        <w:t xml:space="preserve"> System shall calculate provisional risk scores using the 70% Formula / 30% ML fallback before manager validation.</w:t>
      </w:r>
    </w:p>
    <w:p>
      <w:pPr>
        <w:pStyle w:val="ListBullet"/>
      </w:pPr>
      <w:r>
        <w:rPr>
          <w:rFonts w:ascii="Times New Roman" w:hAnsi="Times New Roman"/>
          <w:b/>
          <w:i w:val="0"/>
          <w:color w:val="000000"/>
          <w:sz w:val="24"/>
        </w:rPr>
        <w:t>Req-04:</w:t>
      </w:r>
      <w:r>
        <w:rPr>
          <w:rFonts w:ascii="Times New Roman" w:hAnsi="Times New Roman"/>
          <w:b w:val="0"/>
          <w:i w:val="0"/>
          <w:color w:val="000000"/>
          <w:sz w:val="24"/>
        </w:rPr>
        <w:t xml:space="preserve"> System shall calculate the final score using the 30% Formula / 50% Manager / 20% ML triangulation model upon managerial validation.</w:t>
      </w:r>
    </w:p>
    <w:p>
      <w:pPr>
        <w:pStyle w:val="ListBullet"/>
      </w:pPr>
      <w:r>
        <w:rPr>
          <w:rFonts w:ascii="Times New Roman" w:hAnsi="Times New Roman"/>
          <w:b/>
          <w:i w:val="0"/>
          <w:color w:val="000000"/>
          <w:sz w:val="24"/>
        </w:rPr>
        <w:t>Req-05:</w:t>
      </w:r>
      <w:r>
        <w:rPr>
          <w:rFonts w:ascii="Times New Roman" w:hAnsi="Times New Roman"/>
          <w:b w:val="0"/>
          <w:i w:val="0"/>
          <w:color w:val="000000"/>
          <w:sz w:val="24"/>
        </w:rPr>
        <w:t xml:space="preserve"> System shall provide an AHP calibration module to calculate priority weights, $\lambda_{max}$, CI, and CR, rejecting matrices where $CR \ge 0.10$.</w:t>
      </w:r>
    </w:p>
    <w:p>
      <w:pPr>
        <w:pStyle w:val="ListBullet"/>
      </w:pPr>
      <w:r>
        <w:rPr>
          <w:rFonts w:ascii="Times New Roman" w:hAnsi="Times New Roman"/>
          <w:b/>
          <w:i w:val="0"/>
          <w:color w:val="000000"/>
          <w:sz w:val="24"/>
        </w:rPr>
        <w:t>Req-06:</w:t>
      </w:r>
      <w:r>
        <w:rPr>
          <w:rFonts w:ascii="Times New Roman" w:hAnsi="Times New Roman"/>
          <w:b w:val="0"/>
          <w:i w:val="0"/>
          <w:color w:val="000000"/>
          <w:sz w:val="24"/>
        </w:rPr>
        <w:t xml:space="preserve"> System shall integrate an external LLM to generate structured 4-part KT plans with sanitized context.</w:t>
      </w:r>
    </w:p>
    <w:p>
      <w:pPr>
        <w:pStyle w:val="ListBullet"/>
      </w:pPr>
      <w:r>
        <w:rPr>
          <w:rFonts w:ascii="Times New Roman" w:hAnsi="Times New Roman"/>
          <w:b/>
          <w:i w:val="0"/>
          <w:color w:val="000000"/>
          <w:sz w:val="24"/>
        </w:rPr>
        <w:t>Req-07:</w:t>
      </w:r>
      <w:r>
        <w:rPr>
          <w:rFonts w:ascii="Times New Roman" w:hAnsi="Times New Roman"/>
          <w:b w:val="0"/>
          <w:i w:val="0"/>
          <w:color w:val="000000"/>
          <w:sz w:val="24"/>
        </w:rPr>
        <w:t xml:space="preserve"> System shall enforce dual verification, locking manager approval until both employee and backup confirm completion.</w:t>
      </w:r>
    </w:p>
    <w:p>
      <w:pPr>
        <w:pStyle w:val="ListBullet"/>
      </w:pPr>
      <w:r>
        <w:rPr>
          <w:rFonts w:ascii="Times New Roman" w:hAnsi="Times New Roman"/>
          <w:b/>
          <w:i w:val="0"/>
          <w:color w:val="000000"/>
          <w:sz w:val="24"/>
        </w:rPr>
        <w:t>Req-08:</w:t>
      </w:r>
      <w:r>
        <w:rPr>
          <w:rFonts w:ascii="Times New Roman" w:hAnsi="Times New Roman"/>
          <w:b w:val="0"/>
          <w:i w:val="0"/>
          <w:color w:val="000000"/>
          <w:sz w:val="24"/>
        </w:rPr>
        <w:t xml:space="preserve"> System shall recalculate risk scores upon KT plan closure and record the resulting `scoreDelta`.</w:t>
      </w:r>
    </w:p>
    <w:p>
      <w:pPr>
        <w:pStyle w:val="ListBullet"/>
      </w:pPr>
      <w:r>
        <w:rPr>
          <w:rFonts w:ascii="Times New Roman" w:hAnsi="Times New Roman"/>
          <w:b/>
          <w:i w:val="0"/>
          <w:color w:val="000000"/>
          <w:sz w:val="24"/>
        </w:rPr>
        <w:t>Req-09:</w:t>
      </w:r>
      <w:r>
        <w:rPr>
          <w:rFonts w:ascii="Times New Roman" w:hAnsi="Times New Roman"/>
          <w:b w:val="0"/>
          <w:i w:val="0"/>
          <w:color w:val="000000"/>
          <w:sz w:val="24"/>
        </w:rPr>
        <w:t xml:space="preserve"> System shall execute scheduled daily CRON checks for overdue activities and dispatch automated notifications.</w:t>
      </w:r>
    </w:p>
    <w:p>
      <w:pPr>
        <w:pStyle w:val="Heading3"/>
      </w:pPr>
      <w:r>
        <w:t>4.3.2 Non-Functional Requirements (NFR-01 to NFR-06)</w:t>
      </w:r>
    </w:p>
    <w:p>
      <w:pPr>
        <w:pStyle w:val="ListBullet"/>
      </w:pPr>
      <w:r>
        <w:rPr>
          <w:rFonts w:ascii="Times New Roman" w:hAnsi="Times New Roman"/>
          <w:b/>
          <w:i w:val="0"/>
          <w:color w:val="000000"/>
          <w:sz w:val="24"/>
        </w:rPr>
        <w:t>NFR-01 (Usability):</w:t>
      </w:r>
      <w:r>
        <w:rPr>
          <w:rFonts w:ascii="Times New Roman" w:hAnsi="Times New Roman"/>
          <w:b w:val="0"/>
          <w:i w:val="0"/>
          <w:color w:val="000000"/>
          <w:sz w:val="24"/>
        </w:rPr>
        <w:t xml:space="preserve"> System interface shall achieve a mean System Usability Scale (SUS) score above 80.</w:t>
      </w:r>
    </w:p>
    <w:p>
      <w:pPr>
        <w:pStyle w:val="ListBullet"/>
      </w:pPr>
      <w:r>
        <w:rPr>
          <w:rFonts w:ascii="Times New Roman" w:hAnsi="Times New Roman"/>
          <w:b/>
          <w:i w:val="0"/>
          <w:color w:val="000000"/>
          <w:sz w:val="24"/>
        </w:rPr>
        <w:t>NFR-02 (Performance):</w:t>
      </w:r>
      <w:r>
        <w:rPr>
          <w:rFonts w:ascii="Times New Roman" w:hAnsi="Times New Roman"/>
          <w:b w:val="0"/>
          <w:i w:val="0"/>
          <w:color w:val="000000"/>
          <w:sz w:val="24"/>
        </w:rPr>
        <w:t xml:space="preserve"> Transactional API endpoints shall respond within 500ms; asynchronous ML predictions within 2000ms.</w:t>
      </w:r>
    </w:p>
    <w:p>
      <w:pPr>
        <w:pStyle w:val="ListBullet"/>
      </w:pPr>
      <w:r>
        <w:rPr>
          <w:rFonts w:ascii="Times New Roman" w:hAnsi="Times New Roman"/>
          <w:b/>
          <w:i w:val="0"/>
          <w:color w:val="000000"/>
          <w:sz w:val="24"/>
        </w:rPr>
        <w:t>NFR-03 (Security):</w:t>
      </w:r>
      <w:r>
        <w:rPr>
          <w:rFonts w:ascii="Times New Roman" w:hAnsi="Times New Roman"/>
          <w:b w:val="0"/>
          <w:i w:val="0"/>
          <w:color w:val="000000"/>
          <w:sz w:val="24"/>
        </w:rPr>
        <w:t xml:space="preserve"> System shall enforce JSON Web Token (JWT) authentication and strict Role-Based Access Control (RBAC).</w:t>
      </w:r>
    </w:p>
    <w:p>
      <w:pPr>
        <w:pStyle w:val="ListBullet"/>
      </w:pPr>
      <w:r>
        <w:rPr>
          <w:rFonts w:ascii="Times New Roman" w:hAnsi="Times New Roman"/>
          <w:b/>
          <w:i w:val="0"/>
          <w:color w:val="000000"/>
          <w:sz w:val="24"/>
        </w:rPr>
        <w:t>NFR-04 (Privacy):</w:t>
      </w:r>
      <w:r>
        <w:rPr>
          <w:rFonts w:ascii="Times New Roman" w:hAnsi="Times New Roman"/>
          <w:b w:val="0"/>
          <w:i w:val="0"/>
          <w:color w:val="000000"/>
          <w:sz w:val="24"/>
        </w:rPr>
        <w:t xml:space="preserve"> Generative AI prompts shall sanitize Personally Identifiable Information (PII).</w:t>
      </w:r>
    </w:p>
    <w:p>
      <w:pPr>
        <w:pStyle w:val="ListBullet"/>
      </w:pPr>
      <w:r>
        <w:rPr>
          <w:rFonts w:ascii="Times New Roman" w:hAnsi="Times New Roman"/>
          <w:b/>
          <w:i w:val="0"/>
          <w:color w:val="000000"/>
          <w:sz w:val="24"/>
        </w:rPr>
        <w:t>NFR-05 (Maintainability):</w:t>
      </w:r>
      <w:r>
        <w:rPr>
          <w:rFonts w:ascii="Times New Roman" w:hAnsi="Times New Roman"/>
          <w:b w:val="0"/>
          <w:i w:val="0"/>
          <w:color w:val="000000"/>
          <w:sz w:val="24"/>
        </w:rPr>
        <w:t xml:space="preserve"> The Python ML service shall operate as an isolated microservice, ensuring backend resilience if the ML service is offline.</w:t>
      </w:r>
    </w:p>
    <w:p>
      <w:pPr>
        <w:pStyle w:val="ListBullet"/>
      </w:pPr>
      <w:r>
        <w:rPr>
          <w:rFonts w:ascii="Times New Roman" w:hAnsi="Times New Roman"/>
          <w:b/>
          <w:i w:val="0"/>
          <w:color w:val="000000"/>
          <w:sz w:val="24"/>
        </w:rPr>
        <w:t>NFR-06 (Reliability):</w:t>
      </w:r>
      <w:r>
        <w:rPr>
          <w:rFonts w:ascii="Times New Roman" w:hAnsi="Times New Roman"/>
          <w:b w:val="0"/>
          <w:i w:val="0"/>
          <w:color w:val="000000"/>
          <w:sz w:val="24"/>
        </w:rPr>
        <w:t xml:space="preserve"> Dual-verification state transitions shall be atomic and resistant to race conditions.</w:t>
      </w:r>
    </w:p>
    <w:p>
      <w:r>
        <w:br w:type="page"/>
      </w:r>
    </w:p>
    <w:p>
      <w:pPr>
        <w:pStyle w:val="Heading1"/>
      </w:pPr>
      <w:r>
        <w:t>Chapter 5 — System Implementation and Architecture</w:t>
      </w:r>
    </w:p>
    <w:p>
      <w:pPr>
        <w:pStyle w:val="Heading2"/>
      </w:pPr>
      <w:r>
        <w:t>5.1 Architecture Overview</w:t>
      </w:r>
    </w:p>
    <w:p>
      <w:pPr>
        <w:jc w:val="both"/>
      </w:pPr>
      <w:r>
        <w:rPr>
          <w:rFonts w:ascii="Times New Roman" w:hAnsi="Times New Roman"/>
          <w:b w:val="0"/>
          <w:i w:val="0"/>
          <w:color w:val="000000"/>
          <w:sz w:val="24"/>
        </w:rPr>
        <w:t>KnowledgeGuard is implemented as a decoupled, multi-tier system:</w:t>
      </w:r>
    </w:p>
    <w:p>
      <w:pPr>
        <w:pStyle w:val="ListNumber"/>
      </w:pPr>
      <w:r>
        <w:rPr>
          <w:rFonts w:ascii="Times New Roman" w:hAnsi="Times New Roman"/>
          <w:b/>
          <w:i w:val="0"/>
          <w:color w:val="000000"/>
          <w:sz w:val="24"/>
        </w:rPr>
        <w:t>Client Tier:</w:t>
      </w:r>
      <w:r>
        <w:rPr>
          <w:rFonts w:ascii="Times New Roman" w:hAnsi="Times New Roman"/>
          <w:b w:val="0"/>
          <w:i w:val="0"/>
          <w:color w:val="000000"/>
          <w:sz w:val="24"/>
        </w:rPr>
        <w:t xml:space="preserve"> React 18.2 single-page application built with Vite 5.1, Lucide icons, and Tailwind/Vanilla CSS.</w:t>
      </w:r>
    </w:p>
    <w:p>
      <w:pPr>
        <w:pStyle w:val="ListNumber"/>
      </w:pPr>
      <w:r>
        <w:rPr>
          <w:rFonts w:ascii="Times New Roman" w:hAnsi="Times New Roman"/>
          <w:b/>
          <w:i w:val="0"/>
          <w:color w:val="000000"/>
          <w:sz w:val="24"/>
        </w:rPr>
        <w:t>Application Tier:</w:t>
      </w:r>
      <w:r>
        <w:rPr>
          <w:rFonts w:ascii="Times New Roman" w:hAnsi="Times New Roman"/>
          <w:b w:val="0"/>
          <w:i w:val="0"/>
          <w:color w:val="000000"/>
          <w:sz w:val="24"/>
        </w:rPr>
        <w:t xml:space="preserve"> Node.js v20.11.0 and Express 4.19 REST API managing authentication, scoring algorithms, and workflow state machines.</w:t>
      </w:r>
    </w:p>
    <w:p>
      <w:pPr>
        <w:pStyle w:val="ListNumber"/>
      </w:pPr>
      <w:r>
        <w:rPr>
          <w:rFonts w:ascii="Times New Roman" w:hAnsi="Times New Roman"/>
          <w:b/>
          <w:i w:val="0"/>
          <w:color w:val="000000"/>
          <w:sz w:val="24"/>
        </w:rPr>
        <w:t>Data Tier:</w:t>
      </w:r>
      <w:r>
        <w:rPr>
          <w:rFonts w:ascii="Times New Roman" w:hAnsi="Times New Roman"/>
          <w:b w:val="0"/>
          <w:i w:val="0"/>
          <w:color w:val="000000"/>
          <w:sz w:val="24"/>
        </w:rPr>
        <w:t xml:space="preserve"> MongoDB v7.0.5 with Mongoose schemas enforcing document validation and audit logging.</w:t>
      </w:r>
    </w:p>
    <w:p>
      <w:pPr>
        <w:pStyle w:val="ListNumber"/>
      </w:pPr>
      <w:r>
        <w:rPr>
          <w:rFonts w:ascii="Times New Roman" w:hAnsi="Times New Roman"/>
          <w:b/>
          <w:i w:val="0"/>
          <w:color w:val="000000"/>
          <w:sz w:val="24"/>
        </w:rPr>
        <w:t>Intelligence Tier:</w:t>
      </w:r>
      <w:r>
        <w:rPr>
          <w:rFonts w:ascii="Times New Roman" w:hAnsi="Times New Roman"/>
          <w:b w:val="0"/>
          <w:i w:val="0"/>
          <w:color w:val="000000"/>
          <w:sz w:val="24"/>
        </w:rPr>
        <w:t xml:space="preserve"> Python 3.11.8 microservice utilizing FastAPI, Scikit-Learn, and Pandas for Random Forest inference and Isolation Forest anomaly screening.</w:t>
      </w:r>
    </w:p>
    <w:p>
      <w:pPr>
        <w:pStyle w:val="ListNumber"/>
      </w:pPr>
      <w:r>
        <w:rPr>
          <w:rFonts w:ascii="Times New Roman" w:hAnsi="Times New Roman"/>
          <w:b/>
          <w:i w:val="0"/>
          <w:color w:val="000000"/>
          <w:sz w:val="24"/>
        </w:rPr>
        <w:t>Generative AI Layer:</w:t>
      </w:r>
      <w:r>
        <w:rPr>
          <w:rFonts w:ascii="Times New Roman" w:hAnsi="Times New Roman"/>
          <w:b w:val="0"/>
          <w:i w:val="0"/>
          <w:color w:val="000000"/>
          <w:sz w:val="24"/>
        </w:rPr>
        <w:t xml:space="preserve"> Cloud-hosted Groq/Gemini API integration for structured JSON KT task generation.</w:t>
      </w:r>
    </w:p>
    <w:p>
      <w:pPr>
        <w:pStyle w:val="Heading2"/>
      </w:pPr>
      <w:r>
        <w:t>5.2 Resolution of the Scoring Conflict</w:t>
      </w:r>
    </w:p>
    <w:p>
      <w:pPr>
        <w:jc w:val="both"/>
      </w:pPr>
      <w:r>
        <w:rPr>
          <w:rFonts w:ascii="Times New Roman" w:hAnsi="Times New Roman"/>
          <w:b w:val="0"/>
          <w:i w:val="0"/>
          <w:color w:val="000000"/>
          <w:sz w:val="24"/>
        </w:rPr>
        <w:t>During development, an interface discrepancy arose where an early draft screenshot of `ScoreTransparency.jsx` displayed `25% Formula / 40% Manager / 35% ML`.</w:t>
      </w:r>
    </w:p>
    <w:p>
      <w:pPr>
        <w:jc w:val="both"/>
      </w:pPr>
      <w:r>
        <w:rPr>
          <w:rFonts w:ascii="Times New Roman" w:hAnsi="Times New Roman"/>
          <w:b/>
          <w:i w:val="0"/>
          <w:color w:val="000000"/>
          <w:sz w:val="24"/>
        </w:rPr>
        <w:t>Source-Code Verification:</w:t>
      </w:r>
    </w:p>
    <w:p>
      <w:pPr>
        <w:jc w:val="both"/>
      </w:pPr>
      <w:r>
        <w:rPr>
          <w:rFonts w:ascii="Times New Roman" w:hAnsi="Times New Roman"/>
          <w:b w:val="0"/>
          <w:i w:val="0"/>
          <w:color w:val="000000"/>
          <w:sz w:val="24"/>
        </w:rPr>
        <w:t>Inspection of `backend/src/services/scoringEngine.js` confirms that the backend has consistently implemented the 30/50/20 triangulated blend:</w:t>
      </w:r>
    </w:p>
    <w:p>
      <w:pPr>
        <w:spacing w:line="264" w:lineRule="auto" w:after="120"/>
        <w:ind w:left="432"/>
      </w:pPr>
      <w:r>
        <w:rPr>
          <w:rFonts w:ascii="Times New Roman" w:hAnsi="Times New Roman"/>
          <w:b w:val="0"/>
          <w:i w:val="0"/>
          <w:color w:val="595959"/>
          <w:sz w:val="19"/>
        </w:rPr>
        <w:t>function calculateFinalScore(formulaScore, managerScore, mlScore, managerValidated, confidenceDiscount = 0) {</w:t>
        <w:br/>
        <w:t xml:space="preserve">  let final;</w:t>
        <w:br/>
        <w:t xml:space="preserve">  if (managerValidated &amp;&amp; managerScore &gt; 0) {</w:t>
        <w:br/>
        <w:t xml:space="preserve">    // Triangulated Blend: Formula (30%), Manager (50%), ML (20%)</w:t>
        <w:br/>
        <w:t xml:space="preserve">    final = formulaScore * 0.30 + managerScore * 0.50 + mlScore * 0.20;</w:t>
        <w:br/>
        <w:t xml:space="preserve">  } else {</w:t>
        <w:br/>
        <w:t xml:space="preserve">    // Fallback before manager validation: Formula (70%), ML (30%)</w:t>
        <w:br/>
        <w:t xml:space="preserve">    final = formulaScore * 0.70 + mlScore * 0.30;</w:t>
        <w:br/>
        <w:t xml:space="preserve">  }</w:t>
        <w:br/>
        <w:t xml:space="preserve">  return Math.round(final * 100) / 100;</w:t>
        <w:br/>
        <w:t>}</w:t>
      </w:r>
    </w:p>
    <w:p>
      <w:pPr>
        <w:jc w:val="both"/>
      </w:pPr>
      <w:r>
        <w:rPr>
          <w:rFonts w:ascii="Times New Roman" w:hAnsi="Times New Roman"/>
          <w:b w:val="0"/>
          <w:i w:val="0"/>
          <w:color w:val="000000"/>
          <w:sz w:val="24"/>
        </w:rPr>
        <w:t>The frontend presentation component (`frontend/src/components/ui/ScoreTransparency.jsx`) was updated to render the true mathematical breakdown:</w:t>
      </w:r>
    </w:p>
    <w:p>
      <w:pPr>
        <w:jc w:val="both"/>
      </w:pPr>
      <w:r>
        <w:rPr>
          <w:rFonts w:ascii="Times New Roman" w:hAnsi="Times New Roman"/>
          <w:b w:val="0"/>
          <w:i w:val="0"/>
          <w:color w:val="000000"/>
          <w:sz w:val="24"/>
        </w:rPr>
        <w:t>`Formula {formulaScore} × 30% + Manager {managerScore} × 50% + ML {mlScore} × 20% = {finalScore}/10`.</w:t>
      </w:r>
    </w:p>
    <w:p>
      <w:pPr>
        <w:jc w:val="both"/>
      </w:pPr>
      <w:r>
        <w:rPr>
          <w:rFonts w:ascii="Times New Roman" w:hAnsi="Times New Roman"/>
          <w:b/>
          <w:i w:val="0"/>
          <w:color w:val="000000"/>
          <w:sz w:val="24"/>
        </w:rPr>
        <w:t>Traceable Calculation Example:</w:t>
      </w:r>
    </w:p>
    <w:p>
      <w:pPr>
        <w:jc w:val="both"/>
      </w:pPr>
      <w:r>
        <w:rPr>
          <w:rFonts w:ascii="Times New Roman" w:hAnsi="Times New Roman"/>
          <w:b w:val="0"/>
          <w:i w:val="0"/>
          <w:color w:val="000000"/>
          <w:sz w:val="24"/>
        </w:rPr>
        <w:t>Given an employee profile with:</w:t>
      </w:r>
    </w:p>
    <w:p>
      <w:pPr>
        <w:pStyle w:val="ListBullet"/>
      </w:pPr>
      <w:r>
        <w:rPr>
          <w:rFonts w:ascii="Times New Roman" w:hAnsi="Times New Roman"/>
          <w:b w:val="0"/>
          <w:i w:val="0"/>
          <w:color w:val="000000"/>
          <w:sz w:val="24"/>
        </w:rPr>
        <w:t>Formula Score = 6.00</w:t>
      </w:r>
    </w:p>
    <w:p>
      <w:pPr>
        <w:pStyle w:val="ListBullet"/>
      </w:pPr>
      <w:r>
        <w:rPr>
          <w:rFonts w:ascii="Times New Roman" w:hAnsi="Times New Roman"/>
          <w:b w:val="0"/>
          <w:i w:val="0"/>
          <w:color w:val="000000"/>
          <w:sz w:val="24"/>
        </w:rPr>
        <w:t>Manager Validated Score = 8.00</w:t>
      </w:r>
    </w:p>
    <w:p>
      <w:pPr>
        <w:pStyle w:val="ListBullet"/>
      </w:pPr>
      <w:r>
        <w:rPr>
          <w:rFonts w:ascii="Times New Roman" w:hAnsi="Times New Roman"/>
          <w:b w:val="0"/>
          <w:i w:val="0"/>
          <w:color w:val="000000"/>
          <w:sz w:val="24"/>
        </w:rPr>
        <w:t>ML Predicted Score = 5.00</w:t>
      </w:r>
    </w:p>
    <w:p>
      <w:pPr>
        <w:jc w:val="both"/>
      </w:pPr>
      <w:r>
        <w:rPr>
          <w:rFonts w:ascii="Times New Roman" w:hAnsi="Times New Roman"/>
          <w:b w:val="0"/>
          <w:i w:val="0"/>
          <w:color w:val="000000"/>
          <w:sz w:val="24"/>
        </w:rPr>
        <w:t>$$</w:t>
        <w:tab/>
        <w:t xml:space="preserve">ext{Final Score} = (6.00 </w:t>
        <w:tab/>
        <w:t xml:space="preserve">imes 0.30) + (8.00 </w:t>
        <w:tab/>
        <w:t xml:space="preserve">imes 0.50) + (5.00 </w:t>
        <w:tab/>
        <w:t>imes 0.20) = 1.80 + 4.00 + 1.00 = \mathbf{6.80} \implies \mathbf{Medium\ Risk}$$</w:t>
      </w:r>
    </w:p>
    <w:p>
      <w:pPr>
        <w:jc w:val="both"/>
      </w:pPr>
      <w:r>
        <w:rPr>
          <w:rFonts w:ascii="Times New Roman" w:hAnsi="Times New Roman"/>
          <w:b w:val="0"/>
          <w:i w:val="0"/>
          <w:color w:val="000000"/>
          <w:sz w:val="24"/>
        </w:rPr>
        <w:t>If manager validation is pending:</w:t>
      </w:r>
    </w:p>
    <w:p>
      <w:pPr>
        <w:jc w:val="both"/>
      </w:pPr>
      <w:r>
        <w:rPr>
          <w:rFonts w:ascii="Times New Roman" w:hAnsi="Times New Roman"/>
          <w:b w:val="0"/>
          <w:i w:val="0"/>
          <w:color w:val="000000"/>
          <w:sz w:val="24"/>
        </w:rPr>
        <w:t>$$</w:t>
        <w:tab/>
        <w:t xml:space="preserve">ext{Provisional Score} = (6.00 </w:t>
        <w:tab/>
        <w:t xml:space="preserve">imes 0.70) + (5.00 </w:t>
        <w:tab/>
        <w:t>imes 0.30) = 4.20 + 1.50 = \mathbf{5.70} \implies \mathbf{Medium\ Risk}$$</w:t>
      </w:r>
    </w:p>
    <w:p>
      <w:pPr>
        <w:pStyle w:val="Heading2"/>
      </w:pPr>
      <w:r>
        <w:t>5.3 Dynamic Ingestion and Reverse-Polarity Engine</w:t>
      </w:r>
    </w:p>
    <w:p>
      <w:pPr>
        <w:jc w:val="both"/>
      </w:pPr>
      <w:r>
        <w:rPr>
          <w:rFonts w:ascii="Times New Roman" w:hAnsi="Times New Roman"/>
          <w:b w:val="0"/>
          <w:i w:val="0"/>
          <w:color w:val="000000"/>
          <w:sz w:val="24"/>
        </w:rPr>
        <w:t>The CSV ingestion pipeline (`backend/src/utils/googleFormsParser.js`) matches header snippets across varying quarterly surveys, maps response strings to numeric scores, and inverts reverse-polarity items. Straight-lining is detected by calculating the sample standard deviation $\sigma$ across all responses in a submission; where $\sigma &lt; 1.0$, an Acquiescence flag and confidence penalty are logged.</w:t>
      </w:r>
    </w:p>
    <w:p>
      <w:pPr>
        <w:pStyle w:val="Heading2"/>
      </w:pPr>
      <w:r>
        <w:t>5.4 Dual-Verification Workflow Logic</w:t>
      </w:r>
    </w:p>
    <w:p>
      <w:pPr>
        <w:jc w:val="both"/>
      </w:pPr>
      <w:r>
        <w:rPr>
          <w:rFonts w:ascii="Times New Roman" w:hAnsi="Times New Roman"/>
          <w:b w:val="0"/>
          <w:i w:val="0"/>
          <w:color w:val="000000"/>
          <w:sz w:val="24"/>
        </w:rPr>
        <w:t>The mitigation engine enforces a strict multi-party state machine:</w:t>
      </w:r>
    </w:p>
    <w:p>
      <w:pPr>
        <w:jc w:val="both"/>
      </w:pPr>
      <w:r>
        <w:rPr>
          <w:rFonts w:ascii="Times New Roman" w:hAnsi="Times New Roman"/>
          <w:b w:val="0"/>
          <w:i w:val="0"/>
          <w:color w:val="000000"/>
          <w:sz w:val="24"/>
        </w:rPr>
        <w:t>$$</w:t>
        <w:tab/>
        <w:t xml:space="preserve">ext{Draft} \longrightarrow </w:t>
        <w:tab/>
        <w:t xml:space="preserve">ext{Assigned} \longrightarrow </w:t>
        <w:tab/>
        <w:t xml:space="preserve">ext{Employee Confirmed} \longrightarrow </w:t>
        <w:tab/>
        <w:t xml:space="preserve">ext{Backup Confirmed} \longrightarrow </w:t>
        <w:tab/>
        <w:t>ext{Manager Approved}$$</w:t>
      </w:r>
    </w:p>
    <w:p>
      <w:pPr>
        <w:jc w:val="both"/>
      </w:pPr>
      <w:r>
        <w:rPr>
          <w:rFonts w:ascii="Times New Roman" w:hAnsi="Times New Roman"/>
          <w:b w:val="0"/>
          <w:i w:val="0"/>
          <w:color w:val="000000"/>
          <w:sz w:val="24"/>
        </w:rPr>
        <w:t>Manager approval triggers `updateScoreAfterKT()` in `backend/src/services/ktScoreUpdate.js`, which mathematically reduces Documentation Gap by up to 3.0 points and Expertise Uniqueness by up to 3.0 points based on backup competence ratings. This reduction is applied uniformly across the employee's self-scores and the manager's validated scores, subsequently triggering a new ML prediction.</w:t>
      </w:r>
    </w:p>
    <w:p>
      <w:pPr>
        <w:pStyle w:val="Heading3"/>
      </w:pPr>
      <w:r>
        <w:t>5.4.1 Resolving the Two-Step Mitigation Curve (Algorithmic vs. Organic)</w:t>
      </w:r>
    </w:p>
    <w:p>
      <w:pPr>
        <w:jc w:val="both"/>
      </w:pPr>
      <w:r>
        <w:rPr>
          <w:rFonts w:ascii="Times New Roman" w:hAnsi="Times New Roman"/>
          <w:b w:val="0"/>
          <w:i w:val="0"/>
          <w:color w:val="000000"/>
          <w:sz w:val="24"/>
        </w:rPr>
        <w:t>A critical feature of the system's mathematics is that a Knowledge Transfer (KT) plan does not instantaneously eliminate massive amounts of risk in a single algorithmic sweep. Because the `updateScoreAfterKT()` logic is strictly capped, the system mitigates risk over a two-step curve:</w:t>
      </w:r>
    </w:p>
    <w:p>
      <w:pPr>
        <w:pStyle w:val="ListNumber"/>
      </w:pPr>
      <w:r>
        <w:rPr>
          <w:rFonts w:ascii="Times New Roman" w:hAnsi="Times New Roman"/>
          <w:b/>
          <w:i w:val="0"/>
          <w:color w:val="000000"/>
          <w:sz w:val="24"/>
        </w:rPr>
        <w:t>The Immediate Algorithmic Patch (At Sign-off):</w:t>
      </w:r>
      <w:r>
        <w:rPr>
          <w:rFonts w:ascii="Times New Roman" w:hAnsi="Times New Roman"/>
          <w:b w:val="0"/>
          <w:i w:val="0"/>
          <w:color w:val="000000"/>
          <w:sz w:val="24"/>
        </w:rPr>
        <w:t xml:space="preserve"> When a KT plan is signed off, the script applies its specific reductions equally to the Formula inputs and Manager's Validated inputs (which constitute 80% of the final weight). The ML feature inputs are also lowered, requesting a new prediction. While the Random Forest output (20% weight) fluctuates non-linearly, the algorithmic reductions on the deterministic components are mathematically capped at exactly 1.75 points. This hard logic mathematically bounds the immediate final triangulated score drop. For example, a High score of 8.52 algorithmically drops to a Medium score of 6.78 upon sign-off.</w:t>
      </w:r>
    </w:p>
    <w:p>
      <w:pPr>
        <w:pStyle w:val="ListNumber"/>
      </w:pPr>
      <w:r>
        <w:rPr>
          <w:rFonts w:ascii="Times New Roman" w:hAnsi="Times New Roman"/>
          <w:b/>
          <w:i w:val="0"/>
          <w:color w:val="000000"/>
          <w:sz w:val="24"/>
        </w:rPr>
        <w:t>The Organic Drop (Next Quarterly Assessment):</w:t>
      </w:r>
      <w:r>
        <w:rPr>
          <w:rFonts w:ascii="Times New Roman" w:hAnsi="Times New Roman"/>
          <w:b w:val="0"/>
          <w:i w:val="0"/>
          <w:color w:val="000000"/>
          <w:sz w:val="24"/>
        </w:rPr>
        <w:t xml:space="preserve"> While the algorithmic patch prevents the dashboard from being instantly wiped of risk, massive final tier shifts (e.g., dropping from an 8.52 down to a 5.20) are realized during the subsequent quarterly assessment. In the next cycle, the expert and the manager both submit organic survey responses that naturally reflect the democratized knowledge (e.g., scoring EU as a 4 instead of a 9), generating a structurally lower baseline score.</w:t>
      </w:r>
    </w:p>
    <w:p>
      <w:pPr>
        <w:jc w:val="both"/>
      </w:pPr>
      <w:r>
        <w:rPr>
          <w:rFonts w:ascii="Times New Roman" w:hAnsi="Times New Roman"/>
          <w:b w:val="0"/>
          <w:i w:val="0"/>
          <w:color w:val="000000"/>
          <w:sz w:val="24"/>
        </w:rPr>
        <w:t>This design ensures that a system script cannot artificially erase organizational risk; true risk elimination must be validated organically by human users in the next reporting cycle.</w:t>
      </w:r>
    </w:p>
    <w:p>
      <w:pPr>
        <w:pStyle w:val="Heading2"/>
      </w:pPr>
      <w:r>
        <w:t>5.5 The Purpose of the Quarterly Assessment Cycle</w:t>
      </w:r>
    </w:p>
    <w:p>
      <w:pPr>
        <w:jc w:val="both"/>
      </w:pPr>
      <w:r>
        <w:rPr>
          <w:rFonts w:ascii="Times New Roman" w:hAnsi="Times New Roman"/>
          <w:b w:val="0"/>
          <w:i w:val="0"/>
          <w:color w:val="000000"/>
          <w:sz w:val="24"/>
        </w:rPr>
        <w:t>The architecture of KnowledgeGuard fundamentally relies on a quarterly assessment ingestion pipeline (Q1–Q4) rather than a static, annual evaluation. This design choice serves four critical system objectives:</w:t>
      </w:r>
    </w:p>
    <w:p>
      <w:pPr>
        <w:pStyle w:val="ListNumber"/>
      </w:pPr>
      <w:r>
        <w:rPr>
          <w:rFonts w:ascii="Times New Roman" w:hAnsi="Times New Roman"/>
          <w:b/>
          <w:i w:val="0"/>
          <w:color w:val="000000"/>
          <w:sz w:val="24"/>
        </w:rPr>
        <w:t>Continuous Risk Monitoring:</w:t>
      </w:r>
      <w:r>
        <w:rPr>
          <w:rFonts w:ascii="Times New Roman" w:hAnsi="Times New Roman"/>
          <w:b w:val="0"/>
          <w:i w:val="0"/>
          <w:color w:val="000000"/>
          <w:sz w:val="24"/>
        </w:rPr>
        <w:t xml:space="preserve"> Tacit knowledge dependencies change rapidly. By enforcing a quarterly cycle, the system acts as a real-time sensor, capable of catching "silent" risk build-ups (e.g., an employee suddenly becoming the sole owner of a new critical microservice mid-year).</w:t>
      </w:r>
    </w:p>
    <w:p>
      <w:pPr>
        <w:pStyle w:val="ListNumber"/>
      </w:pPr>
      <w:r>
        <w:rPr>
          <w:rFonts w:ascii="Times New Roman" w:hAnsi="Times New Roman"/>
          <w:b/>
          <w:i w:val="0"/>
          <w:color w:val="000000"/>
          <w:sz w:val="24"/>
        </w:rPr>
        <w:t>Empirical Measurement of Knowledge Transfer:</w:t>
      </w:r>
      <w:r>
        <w:rPr>
          <w:rFonts w:ascii="Times New Roman" w:hAnsi="Times New Roman"/>
          <w:b w:val="0"/>
          <w:i w:val="0"/>
          <w:color w:val="000000"/>
          <w:sz w:val="24"/>
        </w:rPr>
        <w:t xml:space="preserve"> The quarterly cycle provides the mathematical proof required to validate mitigation efforts. For example, if a manager initiates a 90-day KT plan in Q2 for a "Critical" employee, the system does not artificially lower the risk score immediately. Instead, it waits for the Q3 or Q4 assessment data to structurally confirm—via the employee's and manager's new scores—that the knowledge has been successfully democratized, dynamically dropping the employee's risk tier to "Medium" or "Low".</w:t>
      </w:r>
    </w:p>
    <w:p>
      <w:pPr>
        <w:pStyle w:val="ListNumber"/>
      </w:pPr>
      <w:r>
        <w:rPr>
          <w:rFonts w:ascii="Times New Roman" w:hAnsi="Times New Roman"/>
          <w:b/>
          <w:i w:val="0"/>
          <w:color w:val="000000"/>
          <w:sz w:val="24"/>
        </w:rPr>
        <w:t>Mitigating Survey Fatigue:</w:t>
      </w:r>
      <w:r>
        <w:rPr>
          <w:rFonts w:ascii="Times New Roman" w:hAnsi="Times New Roman"/>
          <w:b w:val="0"/>
          <w:i w:val="0"/>
          <w:color w:val="000000"/>
          <w:sz w:val="24"/>
        </w:rPr>
        <w:t xml:space="preserve"> The system maps exactly 40 unique assessment questions. Instead of overwhelming employees with a single monolithic survey, the parser (`backend/src/utils/googleFormsParser.js`) utilizes a `multiQuarterDictionary` to seamlessly ingest 10 domain-specific questions per quarter (e.g., Routine Workflows in Q1, Crisis Continuity in Q2, Architecture Change in Q3, and Knowledge Transfer in Q4), maintaining high response quality.</w:t>
      </w:r>
    </w:p>
    <w:p>
      <w:pPr>
        <w:pStyle w:val="ListNumber"/>
      </w:pPr>
      <w:r>
        <w:rPr>
          <w:rFonts w:ascii="Times New Roman" w:hAnsi="Times New Roman"/>
          <w:b/>
          <w:i w:val="0"/>
          <w:color w:val="000000"/>
          <w:sz w:val="24"/>
        </w:rPr>
        <w:t>Organic Risk Recalculation:</w:t>
      </w:r>
      <w:r>
        <w:rPr>
          <w:rFonts w:ascii="Times New Roman" w:hAnsi="Times New Roman"/>
          <w:b w:val="0"/>
          <w:i w:val="0"/>
          <w:color w:val="000000"/>
          <w:sz w:val="24"/>
        </w:rPr>
        <w:t xml:space="preserve"> The system automatically captures risk reductions that occur outside of formal KT plans (such as organic cross-training or new hires onboarding), ensuring the HR dashboard remains a strictly empirical reflection of operational reality.</w:t>
      </w:r>
    </w:p>
    <w:p>
      <w:r>
        <w:br w:type="page"/>
      </w:r>
    </w:p>
    <w:p>
      <w:pPr>
        <w:pStyle w:val="Heading1"/>
      </w:pPr>
      <w:r>
        <w:t>Chapter 6 — Testing and Evaluation</w:t>
      </w:r>
    </w:p>
    <w:p>
      <w:pPr>
        <w:pStyle w:val="Heading2"/>
      </w:pPr>
      <w:r>
        <w:t>6.1 Chapter Overview</w:t>
      </w:r>
    </w:p>
    <w:p>
      <w:pPr>
        <w:jc w:val="both"/>
      </w:pPr>
      <w:r>
        <w:rPr>
          <w:rFonts w:ascii="Times New Roman" w:hAnsi="Times New Roman"/>
          <w:b w:val="0"/>
          <w:i w:val="0"/>
          <w:color w:val="000000"/>
          <w:sz w:val="24"/>
        </w:rPr>
        <w:t>In accordance with DSR guidelines, KnowledgeGuard was evaluated across three dimensions:</w:t>
      </w:r>
    </w:p>
    <w:p>
      <w:pPr>
        <w:pStyle w:val="ListNumber"/>
      </w:pPr>
      <w:r>
        <w:rPr>
          <w:rFonts w:ascii="Times New Roman" w:hAnsi="Times New Roman"/>
          <w:b/>
          <w:i w:val="0"/>
          <w:color w:val="000000"/>
          <w:sz w:val="24"/>
        </w:rPr>
        <w:t>Technical Testing:</w:t>
      </w:r>
      <w:r>
        <w:rPr>
          <w:rFonts w:ascii="Times New Roman" w:hAnsi="Times New Roman"/>
          <w:b w:val="0"/>
          <w:i w:val="0"/>
          <w:color w:val="000000"/>
          <w:sz w:val="24"/>
        </w:rPr>
        <w:t xml:space="preserve"> 12 comprehensive functional and non-functional test cases verifying core algorithms, boundary cutoffs, security boundaries, and service resilience.</w:t>
      </w:r>
    </w:p>
    <w:p>
      <w:pPr>
        <w:pStyle w:val="ListNumber"/>
      </w:pPr>
      <w:r>
        <w:rPr>
          <w:rFonts w:ascii="Times New Roman" w:hAnsi="Times New Roman"/>
          <w:b/>
          <w:i w:val="0"/>
          <w:color w:val="000000"/>
          <w:sz w:val="24"/>
        </w:rPr>
        <w:t>Mathematical Validation:</w:t>
      </w:r>
      <w:r>
        <w:rPr>
          <w:rFonts w:ascii="Times New Roman" w:hAnsi="Times New Roman"/>
          <w:b w:val="0"/>
          <w:i w:val="0"/>
          <w:color w:val="000000"/>
          <w:sz w:val="24"/>
        </w:rPr>
        <w:t xml:space="preserve"> Analytic Hierarchy Process (AHP) consistency evaluation using a panel of 10 domain experts.</w:t>
      </w:r>
    </w:p>
    <w:p>
      <w:pPr>
        <w:pStyle w:val="ListNumber"/>
      </w:pPr>
      <w:r>
        <w:rPr>
          <w:rFonts w:ascii="Times New Roman" w:hAnsi="Times New Roman"/>
          <w:b/>
          <w:i w:val="0"/>
          <w:color w:val="000000"/>
          <w:sz w:val="24"/>
        </w:rPr>
        <w:t>Human-Centered Evaluation:</w:t>
      </w:r>
      <w:r>
        <w:rPr>
          <w:rFonts w:ascii="Times New Roman" w:hAnsi="Times New Roman"/>
          <w:b w:val="0"/>
          <w:i w:val="0"/>
          <w:color w:val="000000"/>
          <w:sz w:val="24"/>
        </w:rPr>
        <w:t xml:space="preserve"> Usability and acceptance assessment with 10 managerial professionals using the System Usability Scale (SUS) and Technology Acceptance Model (TAM).</w:t>
      </w:r>
    </w:p>
    <w:p>
      <w:pPr>
        <w:pStyle w:val="Heading2"/>
      </w:pPr>
      <w:r>
        <w:t>6.2 Test Plan and Execution Evidence</w:t>
      </w:r>
    </w:p>
    <w:p>
      <w:pPr>
        <w:pStyle w:val="Heading3"/>
      </w:pPr>
      <w:r>
        <w:t>6.2.1 Test Execution Summary</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rPr>
          <w:tblHeader w:val="true"/>
        </w:trPr>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Test ID</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Test Category</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Preconditions &amp; Inputs</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Execution Steps</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Expected Result</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Actual Result</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Status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TC-01</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CRON Monitoring</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KT task overdue by 2 days; deadline `2026-09-10`.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Trigger scheduled daemon cycle.</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System identifies overdue task, logs alert, emits notification.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Task flagged overdue; email and alert inbox notification emitted.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TC-02</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Authentication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 JWT token in header.</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HTTP GET `/api/assessments`.</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HTTP 401 Unauthorized.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HTTP 401 returned in 4ms with structured error message.</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TC-03</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Service Isolation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Python ML microservice process terminated.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Trigger risk calculation via POST `/api/assessments/score`.</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Node.js logs `ECONNREFUSED` and falls back to formula score.</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Node.js server remained healthy; formula fallback executed seamlessly.</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TC-04</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Ingestion &amp; Quality</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CSV with 30 rows; row 13 contains identical responses.</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Ingest `02_assessments_comprehensive_q3.csv`.</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30 profiles created; row 13 flagged for straight-lining ($\sigma &lt; 1.0$).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30 profiles parsed; `straightLining: true` logged with confidence penalty.</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Triangulated Scoring</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Formula = 6.00, Manager = 8.00, ML = 5.00.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Submit managerial validation.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 xml:space="preserve">Blend: $(6.0 </w:t>
              <w:tab/>
              <w:t xml:space="preserve">imes 0.3) + (8.0 </w:t>
              <w:tab/>
              <w:t xml:space="preserve">imes 0.5) + (5.0 </w:t>
              <w:tab/>
              <w:t>imes 0.2) = 6.80$.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Final score recorded as 6.80; Tier assigned as Medium.</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AHP Validation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Aggregated matrix with CR = 0.200.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Submit matrix via Lead Researcher portal.</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Rejection due to $CR \ge 0.10$; baseline weights retained.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UI displayed "Inconsistent (&gt;0.10)"; weights rejected; baseline active.</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TC-07</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AI KT Planning</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High-risk employee profile; PII present in DB.</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 clicks "Generate AI Plan".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Backend sanitizes PII; Groq API returns 5 structured KT tasks.</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Context sanitized; valid 5-task roadmap saved in MongoDB.</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TC-08</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Dual Verification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Employee confirmed; backup pending.</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 clicks "Approve".</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System rejects with HTTP 400 "Missing verification".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HTTP 400 returned; approval locked until backup confirmation.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TC-09</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Mitigation Tracking</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KT tasks approved; backup rated "Fully Competent".</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 completes final sign-off.</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Risk score recalculated; algorithmic `scoreDelta` computed and logged.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Risk score reduced from 8.52 to 6.78; `scoreDelta = 1.74` recorded.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TC-10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Boundary Testing</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Scores: 3.99, 4.00, 6.99, 7.00, 8.99, 9.00.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Run score classification across exact cutoffs.</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3.99 $</w:t>
              <w:tab/>
              <w:t>o$ Low; 4.00 $</w:t>
              <w:tab/>
              <w:t>o$ Med; 6.99 $</w:t>
              <w:tab/>
              <w:t>o$ Med; 7.00 $</w:t>
              <w:tab/>
              <w:t>o$ High; 8.99 $</w:t>
              <w:tab/>
              <w:t>o$ High; 9.00 $</w:t>
              <w:tab/>
              <w:t>o$ Crit.</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Exact boundary classifications confirmed with zero classification drift.</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TC-11</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Invalid CSV</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CSV missing `email` column header.</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Upload malformed file to `/import/assessments`.</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HTTP 400 Bad Request with descriptive parsing errors.</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HTTP 400 returned; database state remained uncorrupted.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TC-12</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Authorization Boundary</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 role token attempting Admin endpoint.</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POST `/api/research/settings/apply-ahp`.</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HTTP 403 Forbidden.</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HTTP 403 Forbidden returned; unauthorized operation blocked.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PASS</w:t>
            </w:r>
          </w:p>
        </w:tc>
      </w:tr>
    </w:tbl>
    <w:p/>
    <w:p>
      <w:pPr>
        <w:pStyle w:val="Heading2"/>
      </w:pPr>
      <w:r>
        <w:t>6.3 AHP Expert Weight Calibration and Inconsistency Rejection</w:t>
      </w:r>
    </w:p>
    <w:p>
      <w:pPr>
        <w:jc w:val="both"/>
      </w:pPr>
      <w:r>
        <w:rPr>
          <w:rFonts w:ascii="Times New Roman" w:hAnsi="Times New Roman"/>
          <w:b w:val="0"/>
          <w:i w:val="0"/>
          <w:color w:val="000000"/>
          <w:sz w:val="24"/>
        </w:rPr>
        <w:t>Ten domain experts completed the pairwise comparison of the five risk indicators. Responses were aggregated using the geometric mean method:</w:t>
      </w:r>
    </w:p>
    <w:p>
      <w:pPr>
        <w:jc w:val="both"/>
      </w:pPr>
      <w:r>
        <w:rPr>
          <w:rFonts w:ascii="Times New Roman" w:hAnsi="Times New Roman"/>
          <w:b w:val="0"/>
          <w:i w:val="0"/>
          <w:color w:val="000000"/>
          <w:sz w:val="24"/>
        </w:rPr>
        <w:t>$$A_{agg} = egin{bmatrix}</w:t>
      </w:r>
    </w:p>
    <w:p>
      <w:pPr>
        <w:jc w:val="both"/>
      </w:pPr>
      <w:r>
        <w:rPr>
          <w:rFonts w:ascii="Times New Roman" w:hAnsi="Times New Roman"/>
          <w:b w:val="0"/>
          <w:i w:val="0"/>
          <w:color w:val="000000"/>
          <w:sz w:val="24"/>
        </w:rPr>
        <w:t>1.00 &amp; 2.14 &amp; 2.48 &amp; 2.48 &amp; 2.45 \</w:t>
      </w:r>
    </w:p>
    <w:p>
      <w:pPr>
        <w:jc w:val="both"/>
      </w:pPr>
      <w:r>
        <w:rPr>
          <w:rFonts w:ascii="Times New Roman" w:hAnsi="Times New Roman"/>
          <w:b w:val="0"/>
          <w:i w:val="0"/>
          <w:color w:val="000000"/>
          <w:sz w:val="24"/>
        </w:rPr>
        <w:t>0.47 &amp; 1.00 &amp; 1.97 &amp; 5.04 &amp; 3.58 \</w:t>
      </w:r>
    </w:p>
    <w:p>
      <w:pPr>
        <w:jc w:val="both"/>
      </w:pPr>
      <w:r>
        <w:rPr>
          <w:rFonts w:ascii="Times New Roman" w:hAnsi="Times New Roman"/>
          <w:b w:val="0"/>
          <w:i w:val="0"/>
          <w:color w:val="000000"/>
          <w:sz w:val="24"/>
        </w:rPr>
        <w:t>0.40 &amp; 0.51 &amp; 1.00 &amp; 4.03 &amp; 3.05 \</w:t>
      </w:r>
    </w:p>
    <w:p>
      <w:pPr>
        <w:jc w:val="both"/>
      </w:pPr>
      <w:r>
        <w:rPr>
          <w:rFonts w:ascii="Times New Roman" w:hAnsi="Times New Roman"/>
          <w:b w:val="0"/>
          <w:i w:val="0"/>
          <w:color w:val="000000"/>
          <w:sz w:val="24"/>
        </w:rPr>
        <w:t>0.40 &amp; 0.20 &amp; 0.25 &amp; 1.00 &amp; 2.41 \</w:t>
      </w:r>
    </w:p>
    <w:p>
      <w:pPr>
        <w:jc w:val="both"/>
      </w:pPr>
      <w:r>
        <w:rPr>
          <w:rFonts w:ascii="Times New Roman" w:hAnsi="Times New Roman"/>
          <w:b w:val="0"/>
          <w:i w:val="0"/>
          <w:color w:val="000000"/>
          <w:sz w:val="24"/>
        </w:rPr>
        <w:t>0.41 &amp; 0.28 &amp; 0.33 &amp; 0.41 &amp; 1.00</w:t>
      </w:r>
    </w:p>
    <w:p>
      <w:pPr>
        <w:jc w:val="both"/>
      </w:pPr>
      <w:r>
        <w:rPr>
          <w:rFonts w:ascii="Times New Roman" w:hAnsi="Times New Roman"/>
          <w:b w:val="0"/>
          <w:i w:val="0"/>
          <w:color w:val="000000"/>
          <w:sz w:val="24"/>
        </w:rPr>
        <w:t>\end{bmatrix}$$</w:t>
      </w:r>
    </w:p>
    <w:p>
      <w:pPr>
        <w:jc w:val="both"/>
      </w:pPr>
      <w:r>
        <w:rPr>
          <w:rFonts w:ascii="Times New Roman" w:hAnsi="Times New Roman"/>
          <w:b/>
          <w:i w:val="0"/>
          <w:color w:val="000000"/>
          <w:sz w:val="24"/>
        </w:rPr>
        <w:t>Mathematical Consistency Verification:</w:t>
      </w:r>
    </w:p>
    <w:p>
      <w:pPr>
        <w:pStyle w:val="ListNumber"/>
      </w:pPr>
      <w:r>
        <w:rPr>
          <w:rFonts w:ascii="Times New Roman" w:hAnsi="Times New Roman"/>
          <w:b w:val="0"/>
          <w:i w:val="0"/>
          <w:color w:val="000000"/>
          <w:sz w:val="24"/>
        </w:rPr>
        <w:t>Column Sums: $[2.68, 4.13, 6.03, 12.96, 12.49]$</w:t>
      </w:r>
    </w:p>
    <w:p>
      <w:pPr>
        <w:pStyle w:val="ListNumber"/>
      </w:pPr>
      <w:r>
        <w:rPr>
          <w:rFonts w:ascii="Times New Roman" w:hAnsi="Times New Roman"/>
          <w:b w:val="0"/>
          <w:i w:val="0"/>
          <w:color w:val="000000"/>
          <w:sz w:val="24"/>
        </w:rPr>
        <w:t>Derived Priority Weights:</w:t>
      </w:r>
    </w:p>
    <w:p>
      <w:pPr>
        <w:pStyle w:val="ListBullet"/>
      </w:pPr>
      <w:r>
        <w:rPr>
          <w:rFonts w:ascii="Times New Roman" w:hAnsi="Times New Roman"/>
          <w:b w:val="0"/>
          <w:i w:val="0"/>
          <w:color w:val="000000"/>
          <w:sz w:val="24"/>
        </w:rPr>
        <w:t xml:space="preserve">Documentation Gap (DG): </w:t>
      </w:r>
      <w:r>
        <w:rPr>
          <w:rFonts w:ascii="Times New Roman" w:hAnsi="Times New Roman"/>
          <w:b/>
          <w:i w:val="0"/>
          <w:color w:val="000000"/>
          <w:sz w:val="24"/>
        </w:rPr>
        <w:t>32.3%</w:t>
      </w:r>
    </w:p>
    <w:p>
      <w:pPr>
        <w:pStyle w:val="ListBullet"/>
      </w:pPr>
      <w:r>
        <w:rPr>
          <w:rFonts w:ascii="Times New Roman" w:hAnsi="Times New Roman"/>
          <w:b w:val="0"/>
          <w:i w:val="0"/>
          <w:color w:val="000000"/>
          <w:sz w:val="24"/>
        </w:rPr>
        <w:t xml:space="preserve">Expertise Uniqueness (EU): </w:t>
      </w:r>
      <w:r>
        <w:rPr>
          <w:rFonts w:ascii="Times New Roman" w:hAnsi="Times New Roman"/>
          <w:b/>
          <w:i w:val="0"/>
          <w:color w:val="000000"/>
          <w:sz w:val="24"/>
        </w:rPr>
        <w:t>31.8%</w:t>
      </w:r>
    </w:p>
    <w:p>
      <w:pPr>
        <w:pStyle w:val="ListBullet"/>
      </w:pPr>
      <w:r>
        <w:rPr>
          <w:rFonts w:ascii="Times New Roman" w:hAnsi="Times New Roman"/>
          <w:b w:val="0"/>
          <w:i w:val="0"/>
          <w:color w:val="000000"/>
          <w:sz w:val="24"/>
        </w:rPr>
        <w:t xml:space="preserve">Project Criticality (PC): </w:t>
      </w:r>
      <w:r>
        <w:rPr>
          <w:rFonts w:ascii="Times New Roman" w:hAnsi="Times New Roman"/>
          <w:b/>
          <w:i w:val="0"/>
          <w:color w:val="000000"/>
          <w:sz w:val="24"/>
        </w:rPr>
        <w:t>18.1%</w:t>
      </w:r>
    </w:p>
    <w:p>
      <w:pPr>
        <w:pStyle w:val="ListBullet"/>
      </w:pPr>
      <w:r>
        <w:rPr>
          <w:rFonts w:ascii="Times New Roman" w:hAnsi="Times New Roman"/>
          <w:b w:val="0"/>
          <w:i w:val="0"/>
          <w:color w:val="000000"/>
          <w:sz w:val="24"/>
        </w:rPr>
        <w:t xml:space="preserve">Collaboration Dependency (CD): </w:t>
      </w:r>
      <w:r>
        <w:rPr>
          <w:rFonts w:ascii="Times New Roman" w:hAnsi="Times New Roman"/>
          <w:b/>
          <w:i w:val="0"/>
          <w:color w:val="000000"/>
          <w:sz w:val="24"/>
        </w:rPr>
        <w:t>10.4%</w:t>
      </w:r>
    </w:p>
    <w:p>
      <w:pPr>
        <w:pStyle w:val="ListBullet"/>
      </w:pPr>
      <w:r>
        <w:rPr>
          <w:rFonts w:ascii="Times New Roman" w:hAnsi="Times New Roman"/>
          <w:b w:val="0"/>
          <w:i w:val="0"/>
          <w:color w:val="000000"/>
          <w:sz w:val="24"/>
        </w:rPr>
        <w:t xml:space="preserve">Tenure (T): </w:t>
      </w:r>
      <w:r>
        <w:rPr>
          <w:rFonts w:ascii="Times New Roman" w:hAnsi="Times New Roman"/>
          <w:b/>
          <w:i w:val="0"/>
          <w:color w:val="000000"/>
          <w:sz w:val="24"/>
        </w:rPr>
        <w:t>7.3%</w:t>
      </w:r>
    </w:p>
    <w:p>
      <w:pPr>
        <w:pStyle w:val="ListBullet"/>
      </w:pPr>
      <w:r>
        <w:rPr>
          <w:rFonts w:ascii="Times New Roman" w:hAnsi="Times New Roman"/>
          <w:b w:val="0"/>
          <w:i w:val="0"/>
          <w:color w:val="000000"/>
          <w:sz w:val="24"/>
        </w:rPr>
        <w:t>*(Sum = 99.9% due to 3-decimal rounding)*</w:t>
      </w:r>
    </w:p>
    <w:p>
      <w:pPr>
        <w:pStyle w:val="ListNumber"/>
      </w:pPr>
      <w:r>
        <w:rPr>
          <w:rFonts w:ascii="Times New Roman" w:hAnsi="Times New Roman"/>
          <w:b w:val="0"/>
          <w:i w:val="0"/>
          <w:color w:val="000000"/>
          <w:sz w:val="24"/>
        </w:rPr>
        <w:t>Weighted Sum Vector: $Aw = [1.874, 1.905, 1.069, 0.613, 0.430]^T$</w:t>
      </w:r>
    </w:p>
    <w:p>
      <w:pPr>
        <w:pStyle w:val="ListNumber"/>
      </w:pPr>
      <w:r>
        <w:rPr>
          <w:rFonts w:ascii="Times New Roman" w:hAnsi="Times New Roman"/>
          <w:b w:val="0"/>
          <w:i w:val="0"/>
          <w:color w:val="000000"/>
          <w:sz w:val="24"/>
        </w:rPr>
        <w:t>Principal Eigenvalue: $\lambda_{max} =</w:t>
      </w:r>
    </w:p>
    <w:p>
      <w:pPr>
        <w:jc w:val="both"/>
      </w:pPr>
      <w:r>
        <w:rPr>
          <w:rFonts w:ascii="Times New Roman" w:hAnsi="Times New Roman"/>
          <w:b w:val="0"/>
          <w:i w:val="0"/>
          <w:color w:val="000000"/>
          <w:sz w:val="24"/>
        </w:rPr>
        <w:t>rac{1}{5}\sum</w:t>
      </w:r>
    </w:p>
    <w:p>
      <w:pPr>
        <w:jc w:val="both"/>
      </w:pPr>
      <w:r>
        <w:rPr>
          <w:rFonts w:ascii="Times New Roman" w:hAnsi="Times New Roman"/>
          <w:b w:val="0"/>
          <w:i w:val="0"/>
          <w:color w:val="000000"/>
          <w:sz w:val="24"/>
        </w:rPr>
        <w:t>rac{(Aw)_i}{w_i} = \mathbf{5.896}$</w:t>
      </w:r>
    </w:p>
    <w:p>
      <w:pPr>
        <w:pStyle w:val="ListNumber"/>
      </w:pPr>
      <w:r>
        <w:rPr>
          <w:rFonts w:ascii="Times New Roman" w:hAnsi="Times New Roman"/>
          <w:b w:val="0"/>
          <w:i w:val="0"/>
          <w:color w:val="000000"/>
          <w:sz w:val="24"/>
        </w:rPr>
        <w:t>Consistency Index: $CI =</w:t>
      </w:r>
    </w:p>
    <w:p>
      <w:pPr>
        <w:jc w:val="both"/>
      </w:pPr>
      <w:r>
        <w:rPr>
          <w:rFonts w:ascii="Times New Roman" w:hAnsi="Times New Roman"/>
          <w:b w:val="0"/>
          <w:i w:val="0"/>
          <w:color w:val="000000"/>
          <w:sz w:val="24"/>
        </w:rPr>
        <w:t>rac{5.896 - 5}{5 - 1} =</w:t>
      </w:r>
    </w:p>
    <w:p>
      <w:pPr>
        <w:jc w:val="both"/>
      </w:pPr>
      <w:r>
        <w:rPr>
          <w:rFonts w:ascii="Times New Roman" w:hAnsi="Times New Roman"/>
          <w:b w:val="0"/>
          <w:i w:val="0"/>
          <w:color w:val="000000"/>
          <w:sz w:val="24"/>
        </w:rPr>
        <w:t>rac{0.896}{4} = \mathbf{0.224}$</w:t>
      </w:r>
    </w:p>
    <w:p>
      <w:pPr>
        <w:pStyle w:val="ListNumber"/>
      </w:pPr>
      <w:r>
        <w:rPr>
          <w:rFonts w:ascii="Times New Roman" w:hAnsi="Times New Roman"/>
          <w:b w:val="0"/>
          <w:i w:val="0"/>
          <w:color w:val="000000"/>
          <w:sz w:val="24"/>
        </w:rPr>
        <w:t>Consistency Ratio: $CR =</w:t>
      </w:r>
    </w:p>
    <w:p>
      <w:pPr>
        <w:jc w:val="both"/>
      </w:pPr>
      <w:r>
        <w:rPr>
          <w:rFonts w:ascii="Times New Roman" w:hAnsi="Times New Roman"/>
          <w:b w:val="0"/>
          <w:i w:val="0"/>
          <w:color w:val="000000"/>
          <w:sz w:val="24"/>
        </w:rPr>
        <w:t>rac{CI}{RI} =</w:t>
      </w:r>
    </w:p>
    <w:p>
      <w:pPr>
        <w:jc w:val="both"/>
      </w:pPr>
      <w:r>
        <w:rPr>
          <w:rFonts w:ascii="Times New Roman" w:hAnsi="Times New Roman"/>
          <w:b w:val="0"/>
          <w:i w:val="0"/>
          <w:color w:val="000000"/>
          <w:sz w:val="24"/>
        </w:rPr>
        <w:t>rac{0.224}{1.12} = \mathbf{0.200}$</w:t>
      </w:r>
    </w:p>
    <w:p>
      <w:pPr>
        <w:jc w:val="both"/>
      </w:pPr>
      <w:r>
        <w:rPr>
          <w:rFonts w:ascii="Times New Roman" w:hAnsi="Times New Roman"/>
          <w:b/>
          <w:i w:val="0"/>
          <w:color w:val="000000"/>
          <w:sz w:val="24"/>
        </w:rPr>
        <w:t>Evaluation Finding:</w:t>
      </w:r>
      <w:r>
        <w:rPr>
          <w:rFonts w:ascii="Times New Roman" w:hAnsi="Times New Roman"/>
          <w:b w:val="0"/>
          <w:i w:val="0"/>
          <w:color w:val="000000"/>
          <w:sz w:val="24"/>
        </w:rPr>
        <w:t xml:space="preserve"> Because $CR = 0.200$ strictly exceeds Saaty's maximum permissible threshold of $0.10$, the aggregated expert judgments are mathematically inconsistent. The KnowledgeGuard validation gate correctly rejected the provisional weights and maintained the baseline formula configuration ($EU=0.25, DG=0.20, PC=0.20, CD=0.20, T=0.15$). This proves the system's ability to safeguard organizational models against inconsistent expert input.</w:t>
      </w:r>
    </w:p>
    <w:p>
      <w:pPr>
        <w:pStyle w:val="Heading2"/>
      </w:pPr>
      <w:r>
        <w:t>6.4 Usability and Technology Acceptance Evaluation</w:t>
      </w:r>
    </w:p>
    <w:p>
      <w:pPr>
        <w:pStyle w:val="Heading3"/>
      </w:pPr>
      <w:r>
        <w:t>6.4.1 System Usability Scale (SUS) Results</w:t>
      </w:r>
    </w:p>
    <w:p>
      <w:pPr>
        <w:jc w:val="both"/>
      </w:pPr>
      <w:r>
        <w:rPr>
          <w:rFonts w:ascii="Times New Roman" w:hAnsi="Times New Roman"/>
          <w:b w:val="0"/>
          <w:i w:val="0"/>
          <w:color w:val="000000"/>
          <w:sz w:val="24"/>
        </w:rPr>
        <w:t>Ten participants evaluated the interactive prototype. Using Brooke's (1996) standard scoring methodology, individual SUS scores were computed:</w:t>
      </w:r>
    </w:p>
    <w:p>
      <w:pPr>
        <w:jc w:val="both"/>
      </w:pPr>
      <w:r>
        <w:rPr>
          <w:rFonts w:ascii="Times New Roman" w:hAnsi="Times New Roman"/>
          <w:b w:val="0"/>
          <w:i w:val="0"/>
          <w:color w:val="000000"/>
          <w:sz w:val="24"/>
        </w:rPr>
        <w:t>$$</w:t>
        <w:tab/>
        <w:t xml:space="preserve">ext{SUS Score} = 2.5 </w:t>
        <w:tab/>
        <w:t>imes \left[ \sum_{i \in \{1,3,5,7,9\}} (R_i - 1) + \sum_{j \in \{2,4,6,8,10\}} (5 - R_j)</w:t>
      </w:r>
    </w:p>
    <w:p>
      <w:pPr>
        <w:jc w:val="both"/>
      </w:pPr>
      <w:r>
        <w:rPr>
          <w:rFonts w:ascii="Times New Roman" w:hAnsi="Times New Roman"/>
          <w:b w:val="0"/>
          <w:i w:val="0"/>
          <w:color w:val="000000"/>
          <w:sz w:val="24"/>
        </w:rPr>
        <w:t>ight]$$</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rPr>
          <w:tblHeader w:val="true"/>
        </w:trPr>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Participant ID</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Professional Role</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Odd Item Sum</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Even Item Sum</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Raw Total</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Final SUS Score</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Usability Grade</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P01</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Engineering Manager</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18</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19</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37</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92.5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Best Imaginable / 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P02</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HR Business Partner</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90.0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P03</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Product Operations Lead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87.5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P04</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Technical Team Lead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19</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34</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85.0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Senior Project Manager</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87.5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HR Operations Analyst</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19</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87.5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P07</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DevOps Team Lead</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87.5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P08</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Director of Engineering</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18</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38</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95.0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Best Imaginable / 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P09</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Talent &amp; KM Specialist</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18</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19</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37</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92.5</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P10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Quality Assurance Manager</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36</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90.0</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bl>
    <w:p/>
    <w:p>
      <w:pPr>
        <w:pStyle w:val="ListBullet"/>
      </w:pPr>
      <w:r>
        <w:rPr>
          <w:rFonts w:ascii="Times New Roman" w:hAnsi="Times New Roman"/>
          <w:b/>
          <w:i w:val="0"/>
          <w:color w:val="000000"/>
          <w:sz w:val="24"/>
        </w:rPr>
        <w:t>Mean SUS Score:</w:t>
      </w:r>
      <w:r>
        <w:rPr>
          <w:rFonts w:ascii="Times New Roman" w:hAnsi="Times New Roman"/>
          <w:b w:val="0"/>
          <w:i w:val="0"/>
          <w:color w:val="000000"/>
          <w:sz w:val="24"/>
        </w:rPr>
        <w:t xml:space="preserve"> </w:t>
      </w:r>
      <w:r>
        <w:rPr>
          <w:rFonts w:ascii="Times New Roman" w:hAnsi="Times New Roman"/>
          <w:b/>
          <w:i w:val="0"/>
          <w:color w:val="000000"/>
          <w:sz w:val="24"/>
        </w:rPr>
        <w:t>89.50</w:t>
      </w:r>
    </w:p>
    <w:p>
      <w:pPr>
        <w:pStyle w:val="ListBullet"/>
      </w:pPr>
      <w:r>
        <w:rPr>
          <w:rFonts w:ascii="Times New Roman" w:hAnsi="Times New Roman"/>
          <w:b/>
          <w:i w:val="0"/>
          <w:color w:val="000000"/>
          <w:sz w:val="24"/>
        </w:rPr>
        <w:t>Standard Deviation (Sample SD):</w:t>
      </w:r>
      <w:r>
        <w:rPr>
          <w:rFonts w:ascii="Times New Roman" w:hAnsi="Times New Roman"/>
          <w:b w:val="0"/>
          <w:i w:val="0"/>
          <w:color w:val="000000"/>
          <w:sz w:val="24"/>
        </w:rPr>
        <w:t xml:space="preserve"> </w:t>
      </w:r>
      <w:r>
        <w:rPr>
          <w:rFonts w:ascii="Times New Roman" w:hAnsi="Times New Roman"/>
          <w:b/>
          <w:i w:val="0"/>
          <w:color w:val="000000"/>
          <w:sz w:val="24"/>
        </w:rPr>
        <w:t>3.07</w:t>
      </w:r>
    </w:p>
    <w:p>
      <w:pPr>
        <w:pStyle w:val="ListBullet"/>
      </w:pPr>
      <w:r>
        <w:rPr>
          <w:rFonts w:ascii="Times New Roman" w:hAnsi="Times New Roman"/>
          <w:b/>
          <w:i w:val="0"/>
          <w:color w:val="000000"/>
          <w:sz w:val="24"/>
        </w:rPr>
        <w:t>Range:</w:t>
      </w:r>
      <w:r>
        <w:rPr>
          <w:rFonts w:ascii="Times New Roman" w:hAnsi="Times New Roman"/>
          <w:b w:val="0"/>
          <w:i w:val="0"/>
          <w:color w:val="000000"/>
          <w:sz w:val="24"/>
        </w:rPr>
        <w:t xml:space="preserve"> 85.00 – 95.00</w:t>
      </w:r>
    </w:p>
    <w:p>
      <w:pPr>
        <w:pStyle w:val="ListBullet"/>
      </w:pPr>
      <w:r>
        <w:rPr>
          <w:rFonts w:ascii="Times New Roman" w:hAnsi="Times New Roman"/>
          <w:b/>
          <w:i w:val="0"/>
          <w:color w:val="000000"/>
          <w:sz w:val="24"/>
        </w:rPr>
        <w:t>Interpretation:</w:t>
      </w:r>
      <w:r>
        <w:rPr>
          <w:rFonts w:ascii="Times New Roman" w:hAnsi="Times New Roman"/>
          <w:b w:val="0"/>
          <w:i w:val="0"/>
          <w:color w:val="000000"/>
          <w:sz w:val="24"/>
        </w:rPr>
        <w:t xml:space="preserve"> A mean score of 89.50 places KnowledgeGuard well above the standard industry acceptance benchmark of 68.0 and above the 85.0 threshold for "Excellent" usability. The narrow standard deviation (3.07) demonstrates high consistency of positive usability across roles.</w:t>
      </w:r>
    </w:p>
    <w:p>
      <w:pPr>
        <w:pStyle w:val="Heading3"/>
      </w:pPr>
      <w:r>
        <w:t>6.4.2 Technology Acceptance Model (TAM) Results</w:t>
      </w:r>
    </w:p>
    <w:p>
      <w:pPr>
        <w:jc w:val="both"/>
      </w:pPr>
      <w:r>
        <w:rPr>
          <w:rFonts w:ascii="Times New Roman" w:hAnsi="Times New Roman"/>
          <w:b w:val="0"/>
          <w:i w:val="0"/>
          <w:color w:val="000000"/>
          <w:sz w:val="24"/>
        </w:rPr>
        <w:t>Evaluators completed a 5-point Likert scale instrument measuring Perceived Usefulness (PU), Perceived Ease of Use (PEOU), and Behavioral Intention to Use (BI):</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tblHeader w:val="true"/>
        </w:trPr>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Construct</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Indicator Items</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Sample Mean</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Standard Deviation</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Qualitative Interpretation</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Perceived Usefulness (PU)</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PU1, PU2, PU3</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4.43</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0.16</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Strong agreement that system enhances risk identification and KT planning.</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Perceived Ease of Use (PEOU)</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PEOU1, PEOU2, PEOU3</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4.53</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0.23</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High agreement regarding navigation clarity and transparent score presentation.</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Behavioral Intention (BI)</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BI1 / Adoption</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4.60</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0.52</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Substantial positive intention to deploy the system in real operational workflows.</w:t>
            </w:r>
          </w:p>
        </w:tc>
      </w:tr>
    </w:tbl>
    <w:p/>
    <w:p>
      <w:pPr>
        <w:pStyle w:val="Heading2"/>
      </w:pPr>
      <w:r>
        <w:t>6.5 Machine Learning Model Evaluation</w:t>
      </w:r>
    </w:p>
    <w:p>
      <w:pPr>
        <w:jc w:val="both"/>
      </w:pPr>
      <w:r>
        <w:rPr>
          <w:rFonts w:ascii="Times New Roman" w:hAnsi="Times New Roman"/>
          <w:b w:val="0"/>
          <w:i w:val="0"/>
          <w:color w:val="000000"/>
          <w:sz w:val="24"/>
        </w:rPr>
        <w:t>The secondary predictive model is a Random Forest Regressor integrated via Python/FastAPI.</w:t>
      </w:r>
    </w:p>
    <w:p>
      <w:pPr>
        <w:jc w:val="both"/>
      </w:pPr>
      <w:r>
        <w:rPr>
          <w:rFonts w:ascii="Times New Roman" w:hAnsi="Times New Roman"/>
          <w:b/>
          <w:i w:val="0"/>
          <w:color w:val="000000"/>
          <w:sz w:val="24"/>
        </w:rPr>
        <w:t>Data Origin and Demarcation:</w:t>
      </w:r>
    </w:p>
    <w:p>
      <w:pPr>
        <w:jc w:val="both"/>
      </w:pPr>
      <w:r>
        <w:rPr>
          <w:rFonts w:ascii="Times New Roman" w:hAnsi="Times New Roman"/>
          <w:b w:val="0"/>
          <w:i w:val="0"/>
          <w:color w:val="000000"/>
          <w:sz w:val="24"/>
        </w:rPr>
        <w:t>Due to the absence of historical multi-year turnover datasets in new organizational deployments (the Cold Start Problem), training was executed using an augmented dataset ($N=500$) generated via Gaussian noise perturbation ($\mu=0, \sigma=0.5$) applied to baseline organizational seed profiles.</w:t>
      </w:r>
    </w:p>
    <w:p>
      <w:pPr>
        <w:pStyle w:val="ListBullet"/>
      </w:pPr>
      <w:r>
        <w:rPr>
          <w:rFonts w:ascii="Times New Roman" w:hAnsi="Times New Roman"/>
          <w:b/>
          <w:i w:val="0"/>
          <w:color w:val="000000"/>
          <w:sz w:val="24"/>
        </w:rPr>
        <w:t>Features:</w:t>
      </w:r>
      <w:r>
        <w:rPr>
          <w:rFonts w:ascii="Times New Roman" w:hAnsi="Times New Roman"/>
          <w:b w:val="0"/>
          <w:i w:val="0"/>
          <w:color w:val="000000"/>
          <w:sz w:val="24"/>
        </w:rPr>
        <w:t xml:space="preserve"> Expertise Uniqueness, Documentation Gap, Project Criticality, Collaboration Dependency, Tenure.</w:t>
      </w:r>
    </w:p>
    <w:p>
      <w:pPr>
        <w:pStyle w:val="ListBullet"/>
      </w:pPr>
      <w:r>
        <w:rPr>
          <w:rFonts w:ascii="Times New Roman" w:hAnsi="Times New Roman"/>
          <w:b/>
          <w:i w:val="0"/>
          <w:color w:val="000000"/>
          <w:sz w:val="24"/>
        </w:rPr>
        <w:t>Target Classes:</w:t>
      </w:r>
      <w:r>
        <w:rPr>
          <w:rFonts w:ascii="Times New Roman" w:hAnsi="Times New Roman"/>
          <w:b w:val="0"/>
          <w:i w:val="0"/>
          <w:color w:val="000000"/>
          <w:sz w:val="24"/>
        </w:rPr>
        <w:t xml:space="preserve"> Low, Medium, High Risk Tiers.</w:t>
      </w:r>
    </w:p>
    <w:p>
      <w:pPr>
        <w:pStyle w:val="ListBullet"/>
      </w:pPr>
      <w:r>
        <w:rPr>
          <w:rFonts w:ascii="Times New Roman" w:hAnsi="Times New Roman"/>
          <w:b/>
          <w:i w:val="0"/>
          <w:color w:val="000000"/>
          <w:sz w:val="24"/>
        </w:rPr>
        <w:t>Train/Test Split:</w:t>
      </w:r>
      <w:r>
        <w:rPr>
          <w:rFonts w:ascii="Times New Roman" w:hAnsi="Times New Roman"/>
          <w:b w:val="0"/>
          <w:i w:val="0"/>
          <w:color w:val="000000"/>
          <w:sz w:val="24"/>
        </w:rPr>
        <w:t xml:space="preserve"> 80% training ($n=400$) / 20% test ($n=100$) with 5-fold stratified cross-validation.</w:t>
      </w:r>
    </w:p>
    <w:p>
      <w:pPr>
        <w:pStyle w:val="ListBullet"/>
      </w:pPr>
      <w:r>
        <w:rPr>
          <w:rFonts w:ascii="Times New Roman" w:hAnsi="Times New Roman"/>
          <w:b/>
          <w:i w:val="0"/>
          <w:color w:val="000000"/>
          <w:sz w:val="24"/>
        </w:rPr>
        <w:t>Empirical Metrics:</w:t>
      </w:r>
    </w:p>
    <w:p>
      <w:pPr>
        <w:pStyle w:val="ListBullet"/>
      </w:pPr>
      <w:r>
        <w:rPr>
          <w:rFonts w:ascii="Times New Roman" w:hAnsi="Times New Roman"/>
          <w:b w:val="0"/>
          <w:i w:val="0"/>
          <w:color w:val="000000"/>
          <w:sz w:val="24"/>
        </w:rPr>
        <w:t xml:space="preserve">Training Accuracy: </w:t>
      </w:r>
      <w:r>
        <w:rPr>
          <w:rFonts w:ascii="Times New Roman" w:hAnsi="Times New Roman"/>
          <w:b/>
          <w:i w:val="0"/>
          <w:color w:val="000000"/>
          <w:sz w:val="24"/>
        </w:rPr>
        <w:t>97.8%</w:t>
      </w:r>
    </w:p>
    <w:p>
      <w:pPr>
        <w:pStyle w:val="ListBullet"/>
      </w:pPr>
      <w:r>
        <w:rPr>
          <w:rFonts w:ascii="Times New Roman" w:hAnsi="Times New Roman"/>
          <w:b w:val="0"/>
          <w:i w:val="0"/>
          <w:color w:val="000000"/>
          <w:sz w:val="24"/>
        </w:rPr>
        <w:t xml:space="preserve">Precision: </w:t>
      </w:r>
      <w:r>
        <w:rPr>
          <w:rFonts w:ascii="Times New Roman" w:hAnsi="Times New Roman"/>
          <w:b/>
          <w:i w:val="0"/>
          <w:color w:val="000000"/>
          <w:sz w:val="24"/>
        </w:rPr>
        <w:t>97.85%</w:t>
      </w:r>
    </w:p>
    <w:p>
      <w:pPr>
        <w:pStyle w:val="ListBullet"/>
      </w:pPr>
      <w:r>
        <w:rPr>
          <w:rFonts w:ascii="Times New Roman" w:hAnsi="Times New Roman"/>
          <w:b w:val="0"/>
          <w:i w:val="0"/>
          <w:color w:val="000000"/>
          <w:sz w:val="24"/>
        </w:rPr>
        <w:t xml:space="preserve">Recall: </w:t>
      </w:r>
      <w:r>
        <w:rPr>
          <w:rFonts w:ascii="Times New Roman" w:hAnsi="Times New Roman"/>
          <w:b/>
          <w:i w:val="0"/>
          <w:color w:val="000000"/>
          <w:sz w:val="24"/>
        </w:rPr>
        <w:t>97.80%</w:t>
      </w:r>
    </w:p>
    <w:p>
      <w:pPr>
        <w:pStyle w:val="ListBullet"/>
      </w:pPr>
      <w:r>
        <w:rPr>
          <w:rFonts w:ascii="Times New Roman" w:hAnsi="Times New Roman"/>
          <w:b w:val="0"/>
          <w:i w:val="0"/>
          <w:color w:val="000000"/>
          <w:sz w:val="24"/>
        </w:rPr>
        <w:t xml:space="preserve">F1-Score: </w:t>
      </w:r>
      <w:r>
        <w:rPr>
          <w:rFonts w:ascii="Times New Roman" w:hAnsi="Times New Roman"/>
          <w:b/>
          <w:i w:val="0"/>
          <w:color w:val="000000"/>
          <w:sz w:val="24"/>
        </w:rPr>
        <w:t>97.81%</w:t>
      </w:r>
    </w:p>
    <w:p>
      <w:pPr>
        <w:pStyle w:val="ListBullet"/>
      </w:pPr>
      <w:r>
        <w:rPr>
          <w:rFonts w:ascii="Times New Roman" w:hAnsi="Times New Roman"/>
          <w:b w:val="0"/>
          <w:i w:val="0"/>
          <w:color w:val="000000"/>
          <w:sz w:val="24"/>
        </w:rPr>
        <w:t xml:space="preserve">Area Under ROC Curve (AUC-ROC): </w:t>
      </w:r>
      <w:r>
        <w:rPr>
          <w:rFonts w:ascii="Times New Roman" w:hAnsi="Times New Roman"/>
          <w:b/>
          <w:i w:val="0"/>
          <w:color w:val="000000"/>
          <w:sz w:val="24"/>
        </w:rPr>
        <w:t>99.93%</w:t>
      </w:r>
    </w:p>
    <w:p>
      <w:pPr>
        <w:pStyle w:val="ListBullet"/>
      </w:pPr>
      <w:r>
        <w:rPr>
          <w:rFonts w:ascii="Times New Roman" w:hAnsi="Times New Roman"/>
          <w:b w:val="0"/>
          <w:i w:val="0"/>
          <w:color w:val="000000"/>
          <w:sz w:val="24"/>
        </w:rPr>
        <w:t xml:space="preserve">5-Fold Cross-Validation F1 Mean: </w:t>
      </w:r>
      <w:r>
        <w:rPr>
          <w:rFonts w:ascii="Times New Roman" w:hAnsi="Times New Roman"/>
          <w:b/>
          <w:i w:val="0"/>
          <w:color w:val="000000"/>
          <w:sz w:val="24"/>
        </w:rPr>
        <w:t>85.26%</w:t>
      </w:r>
      <w:r>
        <w:rPr>
          <w:rFonts w:ascii="Times New Roman" w:hAnsi="Times New Roman"/>
          <w:b w:val="0"/>
          <w:i w:val="0"/>
          <w:color w:val="000000"/>
          <w:sz w:val="24"/>
        </w:rPr>
        <w:t xml:space="preserve"> ($\pm 4.87\%$)</w:t>
      </w:r>
    </w:p>
    <w:p>
      <w:pPr>
        <w:pStyle w:val="ListBullet"/>
      </w:pPr>
      <w:r>
        <w:rPr>
          <w:rFonts w:ascii="Times New Roman" w:hAnsi="Times New Roman"/>
          <w:b w:val="0"/>
          <w:i w:val="0"/>
          <w:color w:val="000000"/>
          <w:sz w:val="24"/>
        </w:rPr>
        <w:t>Feature Importance: EU = 28.5%, CD = 24.6%, DG = 21.0%, PC = 18.0%, T = 7.9%.</w:t>
      </w:r>
    </w:p>
    <w:p>
      <w:pPr>
        <w:jc w:val="both"/>
      </w:pPr>
      <w:r>
        <w:rPr>
          <w:rFonts w:ascii="Times New Roman" w:hAnsi="Times New Roman"/>
          <w:b/>
          <w:i w:val="0"/>
          <w:color w:val="000000"/>
          <w:sz w:val="24"/>
        </w:rPr>
        <w:t>Critical Academic Demarcation:</w:t>
      </w:r>
      <w:r>
        <w:rPr>
          <w:rFonts w:ascii="Times New Roman" w:hAnsi="Times New Roman"/>
          <w:b w:val="0"/>
          <w:i w:val="0"/>
          <w:color w:val="000000"/>
          <w:sz w:val="24"/>
        </w:rPr>
        <w:t xml:space="preserve"> The reported 97.8% accuracy demonstrates internal convergence, algorithmic robustness, and pipeline integration on the synthetic distribution. It explicitly </w:t>
      </w:r>
      <w:r>
        <w:rPr>
          <w:rFonts w:ascii="Times New Roman" w:hAnsi="Times New Roman"/>
          <w:b/>
          <w:i w:val="0"/>
          <w:color w:val="000000"/>
          <w:sz w:val="24"/>
        </w:rPr>
        <w:t>does not</w:t>
      </w:r>
      <w:r>
        <w:rPr>
          <w:rFonts w:ascii="Times New Roman" w:hAnsi="Times New Roman"/>
          <w:b w:val="0"/>
          <w:i w:val="0"/>
          <w:color w:val="000000"/>
          <w:sz w:val="24"/>
        </w:rPr>
        <w:t xml:space="preserve"> establish predictive validity across unobserved real-world organizational departures. Machine learning is maintained strictly as supporting evidence (20% weight), preventing autonomous model dependency.</w:t>
      </w:r>
    </w:p>
    <w:p>
      <w:pPr>
        <w:pStyle w:val="Heading2"/>
      </w:pPr>
      <w:r>
        <w:t>6.6 Risk Mitigation Tracking Records</w:t>
      </w:r>
    </w:p>
    <w:p>
      <w:pPr>
        <w:jc w:val="both"/>
      </w:pPr>
      <w:r>
        <w:rPr>
          <w:rFonts w:ascii="Times New Roman" w:hAnsi="Times New Roman"/>
          <w:b w:val="0"/>
          <w:i w:val="0"/>
          <w:color w:val="000000"/>
          <w:sz w:val="24"/>
        </w:rPr>
        <w:t>The system monitors risk score progression post-mitigation via `scoreDelta`:</w:t>
      </w:r>
    </w:p>
    <w:p>
      <w:pPr>
        <w:jc w:val="both"/>
      </w:pPr>
      <w:r>
        <w:rPr>
          <w:rFonts w:ascii="Times New Roman" w:hAnsi="Times New Roman"/>
          <w:b w:val="0"/>
          <w:i w:val="0"/>
          <w:color w:val="000000"/>
          <w:sz w:val="24"/>
        </w:rPr>
        <w:t>$$</w:t>
        <w:tab/>
        <w:t xml:space="preserve">ext{scoreDelta} = </w:t>
        <w:tab/>
        <w:t xml:space="preserve">ext{Pre-Mitigation Score} - </w:t>
        <w:tab/>
        <w:t>ext{Post-Mitigation Score}$$</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rPr>
          <w:tblHeader w:val="true"/>
        </w:trPr>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Case Record</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Primary Domain</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Pre-Mitigation (T1)</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Verified KT Interventions Completed</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Immediate Algorithmic Result (T2)</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Final Organic Result (T3)</w:t>
            </w:r>
          </w:p>
        </w:tc>
        <w:tc>
          <w:tcPr>
            <w:tcW w:type="dxa" w:w="1286"/>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Total scoreDelta</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Emp-01</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Core Services</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8.52 (High)</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Architecture runbook approved; 3 shadowing sessions; backup fully competent.</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6.78 (Medium)</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5.20 (Medium)</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+3.32</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Emp-02</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Payment Gateway</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9.14 (Critical)</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Technical walkthrough approved; backup competent with minor gaps.</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7.80 (High)</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6.50 (Medium)</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+2.64</w:t>
            </w:r>
          </w:p>
        </w:tc>
      </w:tr>
      <w:tr>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Emp-03</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Database Cluster</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7.40 (High)</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Peer code review sprints; SOP documentation; backup fully competent.</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5.68 (Medium)</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4.10 (Low)</w:t>
            </w:r>
          </w:p>
        </w:tc>
        <w:tc>
          <w:tcPr>
            <w:tcW w:type="dxa" w:w="1286"/>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+3.30</w:t>
            </w:r>
          </w:p>
        </w:tc>
      </w:tr>
    </w:tbl>
    <w:p/>
    <w:p>
      <w:pPr>
        <w:jc w:val="both"/>
      </w:pPr>
      <w:r>
        <w:rPr>
          <w:rFonts w:ascii="Times New Roman" w:hAnsi="Times New Roman"/>
          <w:b w:val="0"/>
          <w:i w:val="0"/>
          <w:color w:val="000000"/>
          <w:sz w:val="24"/>
        </w:rPr>
        <w:t xml:space="preserve">*Note on Classification:* In Table 4.2, the Medium tier spans 4.00–6.99. Emp-03's post-mitigation score of 4.10 correctly transitions to </w:t>
      </w:r>
      <w:r>
        <w:rPr>
          <w:rFonts w:ascii="Times New Roman" w:hAnsi="Times New Roman"/>
          <w:b/>
          <w:i w:val="0"/>
          <w:color w:val="000000"/>
          <w:sz w:val="24"/>
        </w:rPr>
        <w:t>Medium Risk</w:t>
      </w:r>
      <w:r>
        <w:rPr>
          <w:rFonts w:ascii="Times New Roman" w:hAnsi="Times New Roman"/>
          <w:b w:val="0"/>
          <w:i w:val="0"/>
          <w:color w:val="000000"/>
          <w:sz w:val="24"/>
        </w:rPr>
        <w:t xml:space="preserve"> (correcting an earlier typographical label). These records confirm that the system's state-dependent mitigation algorithms function as designed; they reflect configured system behavior rather than long-term empirical retention.</w:t>
      </w:r>
    </w:p>
    <w:p>
      <w:r>
        <w:br w:type="page"/>
      </w:r>
    </w:p>
    <w:p>
      <w:pPr>
        <w:pStyle w:val="Heading1"/>
      </w:pPr>
      <w:r>
        <w:t>Chapter 7 — Discussion and Conclusions</w:t>
      </w:r>
    </w:p>
    <w:p>
      <w:pPr>
        <w:pStyle w:val="Heading2"/>
      </w:pPr>
      <w:r>
        <w:t>7.1 Interpretation of Findings</w:t>
      </w:r>
    </w:p>
    <w:p>
      <w:pPr>
        <w:jc w:val="both"/>
      </w:pPr>
      <w:r>
        <w:rPr>
          <w:rFonts w:ascii="Times New Roman" w:hAnsi="Times New Roman"/>
          <w:b w:val="0"/>
          <w:i w:val="0"/>
          <w:color w:val="000000"/>
          <w:sz w:val="24"/>
        </w:rPr>
        <w:t>The empirical results confirm that KnowledgeGuard achieves its technical and human-centered design objectives. The integration of deterministic scoring, response-quality screening, expert AHP validation, and multi-party verification provides a robust decision-support environment. The rejection of the AHP matrix ($CR = 0.200$) underscores the practical necessity of mathematical validation gates before adopting expert consensus. The high SUS score (89.50) and positive TAM ratings (PU 4.43, PEOU 4.53, BI 4.60) demonstrate that managerial stakeholders find the system highly usable and relevant to transition planning.</w:t>
      </w:r>
    </w:p>
    <w:p>
      <w:pPr>
        <w:pStyle w:val="Heading2"/>
      </w:pPr>
      <w:r>
        <w:t>7.2 Research Contribution: Integrated Human-Supervised Workflow</w:t>
      </w:r>
    </w:p>
    <w:p>
      <w:pPr>
        <w:jc w:val="both"/>
      </w:pPr>
      <w:r>
        <w:rPr>
          <w:rFonts w:ascii="Times New Roman" w:hAnsi="Times New Roman"/>
          <w:b w:val="0"/>
          <w:i w:val="0"/>
          <w:color w:val="000000"/>
          <w:sz w:val="24"/>
        </w:rPr>
        <w:t xml:space="preserve">The primary contribution of this research is </w:t>
      </w:r>
      <w:r>
        <w:rPr>
          <w:rFonts w:ascii="Times New Roman" w:hAnsi="Times New Roman"/>
          <w:b/>
          <w:i w:val="0"/>
          <w:color w:val="000000"/>
          <w:sz w:val="24"/>
        </w:rPr>
        <w:t>not</w:t>
      </w:r>
      <w:r>
        <w:rPr>
          <w:rFonts w:ascii="Times New Roman" w:hAnsi="Times New Roman"/>
          <w:b w:val="0"/>
          <w:i w:val="0"/>
          <w:color w:val="000000"/>
          <w:sz w:val="24"/>
        </w:rPr>
        <w:t xml:space="preserve"> the invention of an isolated machine learning algorithm or a standalone mathematical formula. Rather, it is the </w:t>
      </w:r>
      <w:r>
        <w:rPr>
          <w:rFonts w:ascii="Times New Roman" w:hAnsi="Times New Roman"/>
          <w:b/>
          <w:i w:val="0"/>
          <w:color w:val="000000"/>
          <w:sz w:val="24"/>
        </w:rPr>
        <w:t>architectural design and empirical realization of an integrated, human-supervised decision-support workflow</w:t>
      </w:r>
      <w:r>
        <w:rPr>
          <w:rFonts w:ascii="Times New Roman" w:hAnsi="Times New Roman"/>
          <w:b w:val="0"/>
          <w:i w:val="0"/>
          <w:color w:val="000000"/>
          <w:sz w:val="24"/>
        </w:rPr>
        <w:t xml:space="preserve"> that connects:</w:t>
      </w:r>
    </w:p>
    <w:p>
      <w:pPr>
        <w:pStyle w:val="ListNumber"/>
      </w:pPr>
      <w:r>
        <w:rPr>
          <w:rFonts w:ascii="Times New Roman" w:hAnsi="Times New Roman"/>
          <w:b w:val="0"/>
          <w:i w:val="0"/>
          <w:color w:val="000000"/>
          <w:sz w:val="24"/>
        </w:rPr>
        <w:t>Indirect employee survey parsing with automated data-quality auditing;</w:t>
      </w:r>
    </w:p>
    <w:p>
      <w:pPr>
        <w:pStyle w:val="ListNumber"/>
      </w:pPr>
      <w:r>
        <w:rPr>
          <w:rFonts w:ascii="Times New Roman" w:hAnsi="Times New Roman"/>
          <w:b w:val="0"/>
          <w:i w:val="0"/>
          <w:color w:val="000000"/>
          <w:sz w:val="24"/>
        </w:rPr>
        <w:t>Transparent baseline scoring balanced by contextual managerial judgment and supporting machine learning;</w:t>
      </w:r>
    </w:p>
    <w:p>
      <w:pPr>
        <w:pStyle w:val="ListNumber"/>
      </w:pPr>
      <w:r>
        <w:rPr>
          <w:rFonts w:ascii="Times New Roman" w:hAnsi="Times New Roman"/>
          <w:b w:val="0"/>
          <w:i w:val="0"/>
          <w:color w:val="000000"/>
          <w:sz w:val="24"/>
        </w:rPr>
        <w:t>Mathematical gating of organizational calibration via AHP;</w:t>
      </w:r>
    </w:p>
    <w:p>
      <w:pPr>
        <w:pStyle w:val="ListNumber"/>
      </w:pPr>
      <w:r>
        <w:rPr>
          <w:rFonts w:ascii="Times New Roman" w:hAnsi="Times New Roman"/>
          <w:b w:val="0"/>
          <w:i w:val="0"/>
          <w:color w:val="000000"/>
          <w:sz w:val="24"/>
        </w:rPr>
        <w:t>Closed-loop, dual-verified mitigation tracking.</w:t>
      </w:r>
    </w:p>
    <w:p>
      <w:pPr>
        <w:pStyle w:val="Heading2"/>
      </w:pPr>
      <w:r>
        <w:t>7.3 Limitations and Research Integrity</w:t>
      </w:r>
    </w:p>
    <w:p>
      <w:pPr>
        <w:pStyle w:val="ListNumber"/>
      </w:pPr>
      <w:r>
        <w:rPr>
          <w:rFonts w:ascii="Times New Roman" w:hAnsi="Times New Roman"/>
          <w:b/>
          <w:i w:val="0"/>
          <w:color w:val="000000"/>
          <w:sz w:val="24"/>
        </w:rPr>
        <w:t>Prototype Defaults:</w:t>
      </w:r>
      <w:r>
        <w:rPr>
          <w:rFonts w:ascii="Times New Roman" w:hAnsi="Times New Roman"/>
          <w:b w:val="0"/>
          <w:i w:val="0"/>
          <w:color w:val="000000"/>
          <w:sz w:val="24"/>
        </w:rPr>
        <w:t xml:space="preserve"> Baseline formula weights (25/20/20/20/15) and final score contributions (30/50/20) represent researcher-configured prototype choices rather than universal organizational constants.</w:t>
      </w:r>
    </w:p>
    <w:p>
      <w:pPr>
        <w:pStyle w:val="ListNumber"/>
      </w:pPr>
      <w:r>
        <w:rPr>
          <w:rFonts w:ascii="Times New Roman" w:hAnsi="Times New Roman"/>
          <w:b/>
          <w:i w:val="0"/>
          <w:color w:val="000000"/>
          <w:sz w:val="24"/>
        </w:rPr>
        <w:t>Synthetic ML Data:</w:t>
      </w:r>
      <w:r>
        <w:rPr>
          <w:rFonts w:ascii="Times New Roman" w:hAnsi="Times New Roman"/>
          <w:b w:val="0"/>
          <w:i w:val="0"/>
          <w:color w:val="000000"/>
          <w:sz w:val="24"/>
        </w:rPr>
        <w:t xml:space="preserve"> Model performance was demonstrated on an augmented dataset ($N=500$); real-world predictive validity across diverse enterprise transitions remains unproven.</w:t>
      </w:r>
    </w:p>
    <w:p>
      <w:pPr>
        <w:pStyle w:val="ListNumber"/>
      </w:pPr>
      <w:r>
        <w:rPr>
          <w:rFonts w:ascii="Times New Roman" w:hAnsi="Times New Roman"/>
          <w:b/>
          <w:i w:val="0"/>
          <w:color w:val="000000"/>
          <w:sz w:val="24"/>
        </w:rPr>
        <w:t>Evaluation Sample Size:</w:t>
      </w:r>
      <w:r>
        <w:rPr>
          <w:rFonts w:ascii="Times New Roman" w:hAnsi="Times New Roman"/>
          <w:b w:val="0"/>
          <w:i w:val="0"/>
          <w:color w:val="000000"/>
          <w:sz w:val="24"/>
        </w:rPr>
        <w:t xml:space="preserve"> Usability and acceptance evaluations were conducted with 10 managerial professionals; while statistically adequate for usability screening, broad generalizability requires larger multi-organization trials.</w:t>
      </w:r>
    </w:p>
    <w:p>
      <w:pPr>
        <w:pStyle w:val="ListNumber"/>
      </w:pPr>
      <w:r>
        <w:rPr>
          <w:rFonts w:ascii="Times New Roman" w:hAnsi="Times New Roman"/>
          <w:b/>
          <w:i w:val="0"/>
          <w:color w:val="000000"/>
          <w:sz w:val="24"/>
        </w:rPr>
        <w:t>Scope of scoreDelta:</w:t>
      </w:r>
      <w:r>
        <w:rPr>
          <w:rFonts w:ascii="Times New Roman" w:hAnsi="Times New Roman"/>
          <w:b w:val="0"/>
          <w:i w:val="0"/>
          <w:color w:val="000000"/>
          <w:sz w:val="24"/>
        </w:rPr>
        <w:t xml:space="preserve"> The observed score reductions reflect system-calculated mitigation tracking; they do not independently prove long-term tacit knowledge retention after employee departure.</w:t>
      </w:r>
    </w:p>
    <w:p>
      <w:pPr>
        <w:pStyle w:val="Heading2"/>
      </w:pPr>
      <w:r>
        <w:t>7.4 Future Recommendations</w:t>
      </w:r>
    </w:p>
    <w:p>
      <w:pPr>
        <w:pStyle w:val="ListNumber"/>
      </w:pPr>
      <w:r>
        <w:rPr>
          <w:rFonts w:ascii="Times New Roman" w:hAnsi="Times New Roman"/>
          <w:b/>
          <w:i w:val="0"/>
          <w:color w:val="000000"/>
          <w:sz w:val="24"/>
        </w:rPr>
        <w:t>Direct HRIS Integration:</w:t>
      </w:r>
      <w:r>
        <w:rPr>
          <w:rFonts w:ascii="Times New Roman" w:hAnsi="Times New Roman"/>
          <w:b w:val="0"/>
          <w:i w:val="0"/>
          <w:color w:val="000000"/>
          <w:sz w:val="24"/>
        </w:rPr>
        <w:t xml:space="preserve"> Replacing CSV uploads with automated REST webhooks into enterprise HRIS platforms (e.g., Workday).</w:t>
      </w:r>
    </w:p>
    <w:p>
      <w:pPr>
        <w:pStyle w:val="ListNumber"/>
      </w:pPr>
      <w:r>
        <w:rPr>
          <w:rFonts w:ascii="Times New Roman" w:hAnsi="Times New Roman"/>
          <w:b/>
          <w:i w:val="0"/>
          <w:color w:val="000000"/>
          <w:sz w:val="24"/>
        </w:rPr>
        <w:t>Longitudinal Workplace Studies:</w:t>
      </w:r>
      <w:r>
        <w:rPr>
          <w:rFonts w:ascii="Times New Roman" w:hAnsi="Times New Roman"/>
          <w:b w:val="0"/>
          <w:i w:val="0"/>
          <w:color w:val="000000"/>
          <w:sz w:val="24"/>
        </w:rPr>
        <w:t xml:space="preserve"> Tracking post-transition operational metrics over 12–24 months to empirically measure retention of transferred knowledge.</w:t>
      </w:r>
    </w:p>
    <w:p>
      <w:pPr>
        <w:pStyle w:val="ListNumber"/>
      </w:pPr>
      <w:r>
        <w:rPr>
          <w:rFonts w:ascii="Times New Roman" w:hAnsi="Times New Roman"/>
          <w:b/>
          <w:i w:val="0"/>
          <w:color w:val="000000"/>
          <w:sz w:val="24"/>
        </w:rPr>
        <w:t>Passive Data Integration:</w:t>
      </w:r>
      <w:r>
        <w:rPr>
          <w:rFonts w:ascii="Times New Roman" w:hAnsi="Times New Roman"/>
          <w:b w:val="0"/>
          <w:i w:val="0"/>
          <w:color w:val="000000"/>
          <w:sz w:val="24"/>
        </w:rPr>
        <w:t xml:space="preserve"> Augmenting self-reported surveys with objective digital footprint data (e.g., repository commit histories, ticket resolution centrality).</w:t>
      </w:r>
    </w:p>
    <w:p>
      <w:pPr>
        <w:pStyle w:val="Heading2"/>
      </w:pPr>
      <w:r>
        <w:t>7.5 Concluding Summary</w:t>
      </w:r>
    </w:p>
    <w:p>
      <w:pPr>
        <w:jc w:val="both"/>
      </w:pPr>
      <w:r>
        <w:rPr>
          <w:rFonts w:ascii="Times New Roman" w:hAnsi="Times New Roman"/>
          <w:b w:val="0"/>
          <w:i w:val="0"/>
          <w:color w:val="000000"/>
          <w:sz w:val="24"/>
        </w:rPr>
        <w:t>KnowledgeGuard demonstrates a functional, proactive Decision Support System for assessing and mitigating knowledge loss during employee transitions. By maintaining human oversight at every critical junction, the system establishes a transparent, accountable framework for safeguarding organizational continuity.</w:t>
      </w:r>
    </w:p>
    <w:p>
      <w:r>
        <w:br w:type="page"/>
      </w:r>
    </w:p>
    <w:p>
      <w:pPr>
        <w:pStyle w:val="Heading1"/>
      </w:pPr>
      <w:r>
        <w:t>References</w:t>
      </w:r>
    </w:p>
    <w:p>
      <w:pPr>
        <w:jc w:val="both"/>
      </w:pPr>
      <w:r>
        <w:rPr>
          <w:rFonts w:ascii="Times New Roman" w:hAnsi="Times New Roman"/>
          <w:b w:val="0"/>
          <w:i w:val="0"/>
          <w:color w:val="000000"/>
          <w:sz w:val="24"/>
        </w:rPr>
        <w:t>Argote, L., &amp; Ingram, P. (2000). Knowledge transfer: A basis for competitive advantage in firms. *Organizational Behavior and Human Decision Processes*, 82(1), 150–169.</w:t>
      </w:r>
    </w:p>
    <w:p>
      <w:pPr>
        <w:jc w:val="both"/>
      </w:pPr>
      <w:r>
        <w:rPr>
          <w:rFonts w:ascii="Times New Roman" w:hAnsi="Times New Roman"/>
          <w:b w:val="0"/>
          <w:i w:val="0"/>
          <w:color w:val="000000"/>
          <w:sz w:val="24"/>
        </w:rPr>
        <w:t>Biau, G., &amp; Scornet, E. (2016). A random forest guided tour. *Test*, 25(2), 197–227.</w:t>
      </w:r>
    </w:p>
    <w:p>
      <w:pPr>
        <w:jc w:val="both"/>
      </w:pPr>
      <w:r>
        <w:rPr>
          <w:rFonts w:ascii="Times New Roman" w:hAnsi="Times New Roman"/>
          <w:b w:val="0"/>
          <w:i w:val="0"/>
          <w:color w:val="000000"/>
          <w:sz w:val="24"/>
        </w:rPr>
        <w:t>Breiman, L. (2001). Random forests. *Machine Learning*, 45(1), 5–32.</w:t>
      </w:r>
    </w:p>
    <w:p>
      <w:pPr>
        <w:jc w:val="both"/>
      </w:pPr>
      <w:r>
        <w:rPr>
          <w:rFonts w:ascii="Times New Roman" w:hAnsi="Times New Roman"/>
          <w:b w:val="0"/>
          <w:i w:val="0"/>
          <w:color w:val="000000"/>
          <w:sz w:val="24"/>
        </w:rPr>
        <w:t>Brooke, J. (1996). SUS: A quick and dirty usability scale. In P. W. Jordan, B. Thomas, B. A. Weerdmeester, &amp; I. L. McClelland (Eds.), *Usability Evaluation in Industry* (pp. 189–194). Taylor &amp; Francis.</w:t>
      </w:r>
    </w:p>
    <w:p>
      <w:pPr>
        <w:jc w:val="both"/>
      </w:pPr>
      <w:r>
        <w:rPr>
          <w:rFonts w:ascii="Times New Roman" w:hAnsi="Times New Roman"/>
          <w:b w:val="0"/>
          <w:i w:val="0"/>
          <w:color w:val="000000"/>
          <w:sz w:val="24"/>
        </w:rPr>
        <w:t>Bubeck, S., Chandrasekaran, V., Eldan, R., Gehrke, J., Horvitz, E., Kamar, E., Lee, P., Lee, Y. T., Li, Y., Lundberg, S., Nori, H., Palangi, H., Ribeiro, M. T., &amp; Zhang, Y. (2023). Sparks of artificial general intelligence: Early experiments with GPT-4. *arXiv preprint arXiv:2303.12712*.</w:t>
      </w:r>
    </w:p>
    <w:p>
      <w:pPr>
        <w:jc w:val="both"/>
      </w:pPr>
      <w:r>
        <w:rPr>
          <w:rFonts w:ascii="Times New Roman" w:hAnsi="Times New Roman"/>
          <w:b w:val="0"/>
          <w:i w:val="0"/>
          <w:color w:val="000000"/>
          <w:sz w:val="24"/>
        </w:rPr>
        <w:t>Creswell, J. W., &amp; Creswell, J. D. (2018). *Research Design: Qualitative, Quantitative, and Mixed Methods Approaches* (5th ed.). SAGE Publications.</w:t>
      </w:r>
    </w:p>
    <w:p>
      <w:pPr>
        <w:jc w:val="both"/>
      </w:pPr>
      <w:r>
        <w:rPr>
          <w:rFonts w:ascii="Times New Roman" w:hAnsi="Times New Roman"/>
          <w:b w:val="0"/>
          <w:i w:val="0"/>
          <w:color w:val="000000"/>
          <w:sz w:val="24"/>
        </w:rPr>
        <w:t>Dalkir, K. (2011). *Knowledge Management in Theory and Practice* (2nd ed.). MIT Press.</w:t>
      </w:r>
    </w:p>
    <w:p>
      <w:pPr>
        <w:jc w:val="both"/>
      </w:pPr>
      <w:r>
        <w:rPr>
          <w:rFonts w:ascii="Times New Roman" w:hAnsi="Times New Roman"/>
          <w:b w:val="0"/>
          <w:i w:val="0"/>
          <w:color w:val="000000"/>
          <w:sz w:val="24"/>
        </w:rPr>
        <w:t>Davenport, T. H., &amp; Prusak, L. (1998). *Working Knowledge: How Organizations Manage What They Know*. Harvard Business School Press.</w:t>
      </w:r>
    </w:p>
    <w:p>
      <w:pPr>
        <w:jc w:val="both"/>
      </w:pPr>
      <w:r>
        <w:rPr>
          <w:rFonts w:ascii="Times New Roman" w:hAnsi="Times New Roman"/>
          <w:b w:val="0"/>
          <w:i w:val="0"/>
          <w:color w:val="000000"/>
          <w:sz w:val="24"/>
        </w:rPr>
        <w:t>Davis, F. D. (1989). Perceived usefulness, perceived ease of use, and user acceptance of information technology. *MIS Quarterly*, 13(3), 319–340.</w:t>
      </w:r>
    </w:p>
    <w:p>
      <w:pPr>
        <w:jc w:val="both"/>
      </w:pPr>
      <w:r>
        <w:rPr>
          <w:rFonts w:ascii="Times New Roman" w:hAnsi="Times New Roman"/>
          <w:b w:val="0"/>
          <w:i w:val="0"/>
          <w:color w:val="000000"/>
          <w:sz w:val="24"/>
        </w:rPr>
        <w:t>Durst, S., &amp; Zieba, M. (2019). Mapping knowledge risks: Towards a better understanding of knowledge management. *Knowledge Management Research &amp; Practice*, 17(1), 1–13.</w:t>
      </w:r>
    </w:p>
    <w:p>
      <w:pPr>
        <w:jc w:val="both"/>
      </w:pPr>
      <w:r>
        <w:rPr>
          <w:rFonts w:ascii="Times New Roman" w:hAnsi="Times New Roman"/>
          <w:b w:val="0"/>
          <w:i w:val="0"/>
          <w:color w:val="000000"/>
          <w:sz w:val="24"/>
        </w:rPr>
        <w:t>Hevner, A. R., March, S. T., Park, J., &amp; Ram, S. (2004). Design science in information systems research. *MIS Quarterly*, 28(1), 75–105.</w:t>
      </w:r>
    </w:p>
    <w:p>
      <w:pPr>
        <w:jc w:val="both"/>
      </w:pPr>
      <w:r>
        <w:rPr>
          <w:rFonts w:ascii="Times New Roman" w:hAnsi="Times New Roman"/>
          <w:b w:val="0"/>
          <w:i w:val="0"/>
          <w:color w:val="000000"/>
          <w:sz w:val="24"/>
        </w:rPr>
        <w:t>Liu, F. T., Ting, K. M., &amp; Zhou, Z.-H. (2008). Isolation forest. In *Proceedings of the 2008 Eighth IEEE International Conference on Data Mining* (pp. 413–422). IEEE.</w:t>
      </w:r>
    </w:p>
    <w:p>
      <w:pPr>
        <w:jc w:val="both"/>
      </w:pPr>
      <w:r>
        <w:rPr>
          <w:rFonts w:ascii="Times New Roman" w:hAnsi="Times New Roman"/>
          <w:b w:val="0"/>
          <w:i w:val="0"/>
          <w:color w:val="000000"/>
          <w:sz w:val="24"/>
        </w:rPr>
        <w:t>Martins, K., Silva, J., &amp; Costa, R. (2019). Knowledge retention strategies in aging workforces. *IEEE Transactions on Engineering Management*, 66(4), 589–601.</w:t>
      </w:r>
    </w:p>
    <w:p>
      <w:pPr>
        <w:jc w:val="both"/>
      </w:pPr>
      <w:r>
        <w:rPr>
          <w:rFonts w:ascii="Times New Roman" w:hAnsi="Times New Roman"/>
          <w:b w:val="0"/>
          <w:i w:val="0"/>
          <w:color w:val="000000"/>
          <w:sz w:val="24"/>
        </w:rPr>
        <w:t>Massingham, P. R. (2018). Measuring the impact of knowledge loss: A longitudinal study. *Journal of Knowledge Management*, 22(4), 721–758.</w:t>
      </w:r>
    </w:p>
    <w:p>
      <w:pPr>
        <w:jc w:val="both"/>
      </w:pPr>
      <w:r>
        <w:rPr>
          <w:rFonts w:ascii="Times New Roman" w:hAnsi="Times New Roman"/>
          <w:b w:val="0"/>
          <w:i w:val="0"/>
          <w:color w:val="000000"/>
          <w:sz w:val="24"/>
        </w:rPr>
        <w:t>Nonaka, I. (1994). A dynamic theory of organizational knowledge creation. *Organization Science*, 5(1), 14–37.</w:t>
      </w:r>
    </w:p>
    <w:p>
      <w:pPr>
        <w:jc w:val="both"/>
      </w:pPr>
      <w:r>
        <w:rPr>
          <w:rFonts w:ascii="Times New Roman" w:hAnsi="Times New Roman"/>
          <w:b w:val="0"/>
          <w:i w:val="0"/>
          <w:color w:val="000000"/>
          <w:sz w:val="24"/>
        </w:rPr>
        <w:t>Nonaka, I., &amp; Takeuchi, H. (1995). *The Knowledge-Creating Company*. Oxford University Press.</w:t>
      </w:r>
    </w:p>
    <w:p>
      <w:pPr>
        <w:jc w:val="both"/>
      </w:pPr>
      <w:r>
        <w:rPr>
          <w:rFonts w:ascii="Times New Roman" w:hAnsi="Times New Roman"/>
          <w:b w:val="0"/>
          <w:i w:val="0"/>
          <w:color w:val="000000"/>
          <w:sz w:val="24"/>
        </w:rPr>
        <w:t>Peffers, K., Tuunanen, T., Rothenberger, M. A., &amp; Chatterjee, S. (2007). A design science research methodology for information systems research. *Journal of Management Information Systems*, 24(3), 45–77.</w:t>
      </w:r>
    </w:p>
    <w:p>
      <w:pPr>
        <w:jc w:val="both"/>
      </w:pPr>
      <w:r>
        <w:rPr>
          <w:rFonts w:ascii="Times New Roman" w:hAnsi="Times New Roman"/>
          <w:b w:val="0"/>
          <w:i w:val="0"/>
          <w:color w:val="000000"/>
          <w:sz w:val="24"/>
        </w:rPr>
        <w:t>Polanyi, M. (1966). *The Tacit Dimension*. University of Chicago Press.</w:t>
      </w:r>
    </w:p>
    <w:p>
      <w:pPr>
        <w:jc w:val="both"/>
      </w:pPr>
      <w:r>
        <w:rPr>
          <w:rFonts w:ascii="Times New Roman" w:hAnsi="Times New Roman"/>
          <w:b w:val="0"/>
          <w:i w:val="0"/>
          <w:color w:val="000000"/>
          <w:sz w:val="24"/>
        </w:rPr>
        <w:t>Saaty, R. W. (1987). The analytic hierarchy process—what it is and how it is used. *Mathematical Modelling*, 9(3–5), 161–176.</w:t>
      </w:r>
    </w:p>
    <w:p>
      <w:pPr>
        <w:jc w:val="both"/>
      </w:pPr>
      <w:r>
        <w:rPr>
          <w:rFonts w:ascii="Times New Roman" w:hAnsi="Times New Roman"/>
          <w:b w:val="0"/>
          <w:i w:val="0"/>
          <w:color w:val="000000"/>
          <w:sz w:val="24"/>
        </w:rPr>
        <w:t>Saaty, T. L. (1980). *The Analytic Hierarchy Process*. McGraw-Hill.</w:t>
      </w:r>
    </w:p>
    <w:p>
      <w:pPr>
        <w:jc w:val="both"/>
      </w:pPr>
      <w:r>
        <w:rPr>
          <w:rFonts w:ascii="Times New Roman" w:hAnsi="Times New Roman"/>
          <w:b w:val="0"/>
          <w:i w:val="0"/>
          <w:color w:val="000000"/>
          <w:sz w:val="24"/>
        </w:rPr>
        <w:t>Saaty, T. L. (2008). Decision making with the analytic hierarchy process. *International Journal of Services Sciences*, 1(1), 83–98.</w:t>
      </w:r>
    </w:p>
    <w:p>
      <w:pPr>
        <w:jc w:val="both"/>
      </w:pPr>
      <w:r>
        <w:rPr>
          <w:rFonts w:ascii="Times New Roman" w:hAnsi="Times New Roman"/>
          <w:b w:val="0"/>
          <w:i w:val="0"/>
          <w:color w:val="000000"/>
          <w:sz w:val="24"/>
        </w:rPr>
        <w:t>Sumbal, M. S., Tsui, E., &amp; See-to, E. W. (2017). Interrelationship between big data and knowledge management: An exploratory study in the oil and gas sector. *Journal of Knowledge Management*, 21(1), 180–196.</w:t>
      </w:r>
    </w:p>
    <w:p>
      <w:pPr>
        <w:jc w:val="both"/>
      </w:pPr>
      <w:r>
        <w:rPr>
          <w:rFonts w:ascii="Times New Roman" w:hAnsi="Times New Roman"/>
          <w:b w:val="0"/>
          <w:i w:val="0"/>
          <w:color w:val="000000"/>
          <w:sz w:val="24"/>
        </w:rPr>
        <w:t>Szulanski, G. (1996). Exploring internal stickiness: Impediments to the transfer of best practice within the firm. *Strategic Management Journal*, 17(S2), 27–43.</w:t>
      </w:r>
    </w:p>
    <w:p>
      <w:pPr>
        <w:jc w:val="both"/>
      </w:pPr>
      <w:r>
        <w:rPr>
          <w:rFonts w:ascii="Times New Roman" w:hAnsi="Times New Roman"/>
          <w:b w:val="0"/>
          <w:i w:val="0"/>
          <w:color w:val="000000"/>
          <w:sz w:val="24"/>
        </w:rPr>
        <w:t>Taherdoost, H. (2017). Decision making using the analytic hierarchy process (AHP); a step by step approach. *International Journal of Economics and Management Systems*, 2, 244–246.</w:t>
      </w:r>
    </w:p>
    <w:p>
      <w:pPr>
        <w:jc w:val="both"/>
      </w:pPr>
      <w:r>
        <w:rPr>
          <w:rFonts w:ascii="Times New Roman" w:hAnsi="Times New Roman"/>
          <w:b w:val="0"/>
          <w:i w:val="0"/>
          <w:color w:val="000000"/>
          <w:sz w:val="24"/>
        </w:rPr>
        <w:t>Venkatesh, V., &amp; Bala, H. (2008). Technology acceptance model 3 and a research agenda on interventions. *Decision Sciences*, 39(2), 273–315.</w:t>
      </w:r>
    </w:p>
    <w:p>
      <w:pPr>
        <w:jc w:val="both"/>
      </w:pPr>
      <w:r>
        <w:rPr>
          <w:rFonts w:ascii="Times New Roman" w:hAnsi="Times New Roman"/>
          <w:b w:val="0"/>
          <w:i w:val="0"/>
          <w:color w:val="000000"/>
          <w:sz w:val="24"/>
        </w:rPr>
        <w:t>Wang, J., Zhang, L., &amp; Chen, H. (2021). A novel AHP-based decision support system for human resource selection. *IEEE Access*, 9, 11234–11245.</w:t>
      </w:r>
    </w:p>
    <w:p>
      <w:r>
        <w:br w:type="page"/>
      </w:r>
    </w:p>
    <w:p>
      <w:pPr>
        <w:pStyle w:val="Heading1"/>
      </w:pPr>
      <w:r>
        <w:t>Appendices</w:t>
      </w:r>
    </w:p>
    <w:p>
      <w:pPr>
        <w:pStyle w:val="Heading2"/>
      </w:pPr>
      <w:r>
        <w:t>Appendix 1: Employee Questionnaire and Scoring Key</w:t>
      </w:r>
    </w:p>
    <w:p>
      <w:pPr>
        <w:pStyle w:val="Heading3"/>
      </w:pPr>
      <w:r>
        <w:t>1.1 Final Questionnaire Instrument</w:t>
      </w:r>
    </w:p>
    <w:p>
      <w:pPr>
        <w:jc w:val="both"/>
      </w:pPr>
      <w:r>
        <w:rPr>
          <w:rFonts w:ascii="Times New Roman" w:hAnsi="Times New Roman"/>
          <w:b w:val="0"/>
          <w:i w:val="0"/>
          <w:color w:val="000000"/>
          <w:sz w:val="24"/>
        </w:rPr>
        <w:t>The administered survey consists of 10 structured items evaluating the four core employee-reported indicators (Expertise Uniqueness, Documentation Gap, Project Criticality, Collaboration Dependency). Items are answered on a 5-point Likert scale or categorical equivalent.</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tblHeader w:val="true"/>
        </w:trPr>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Item ID</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Question Text</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Answer Options (1 to 5)</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Indicator Mapped</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Polarity</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Q1</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How many other people can complete your main work without calling you?</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1=Three or more, 2=Two, 3=One, 4=Very few, 5=No one</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Expertise Uniqueness (EU)</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Q2</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If you are unavailable tomorrow, how ready is documentation for someone else?</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1=Complete/Updated, 2=Mostly ready, 3=Partly ready, 4=Minimal, 5=Not ready</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Documentation Gap (DG)</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Q3</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If your deliverables stall for 48 hours, how severe is the operational impact?</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1=Negligible, 2=Minor, 3=Noticeable, 4=Significant, 5=Mission critical</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Project Criticality (PC)</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Q4</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How often do colleagues halt their work while waiting for your clearance?</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1=Rarely, 2=Monthly, 3=2–3 times/week, 4=Daily, 5=Multiple times/day</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Collaboration Dependency (CD)</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Q5</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How steep is the learning curve for a replacement hire in your role?</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1=&lt;1 month, 2=1–3 months, 3=3–6 months, 4=6–12 months, 5=&gt;12 months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Expertise Uniqueness (EU)</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Q6</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What percentage of your daily responsibilities are covered in written SOPs?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1=&gt;80%, 2=60–79%, 3=40–59%, 4=20–39%, 5=&lt;20%</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Documentation Gap (DG)</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Q7</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How does an outage in your module affect compliance or customer SLAs?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1=Low, 2=Moderate, 3=Significant, 4=Severe, 5=Catastrophic</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Project Criticality (PC)</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Q8</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How many distinct teams or processes require your direct consultation weekly?</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1=0–1, 2=2–3, 3=4–5, 4=6–8, 5=9+</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Collaboration Dependency (CD)</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Direct</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Q9</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 peer in my department could step in and execute my tasks during an emergency.</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1=Strongly Agree, 2=Agree, 3=Neutral, 4=Disagree, 5=Strongly Disagree</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Expertise Uniqueness (EU)</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Reverse</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Q10</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Comprehensive troubleshooting procedures for my systems are searchable.</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1=Strongly Agree, 2=Agree, 3=Neutral, 4=Disagree, 5=Strongly Disagree</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Documentation Gap (DG)</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Reverse</w:t>
            </w:r>
          </w:p>
        </w:tc>
      </w:tr>
    </w:tbl>
    <w:p/>
    <w:p>
      <w:pPr>
        <w:pStyle w:val="Heading3"/>
      </w:pPr>
      <w:r>
        <w:t>1.2 Longitudinal Quarterly Question Sets</w:t>
      </w:r>
    </w:p>
    <w:p>
      <w:pPr>
        <w:jc w:val="both"/>
      </w:pPr>
      <w:r>
        <w:rPr>
          <w:rFonts w:ascii="Times New Roman" w:hAnsi="Times New Roman"/>
          <w:b w:val="0"/>
          <w:i w:val="0"/>
          <w:color w:val="000000"/>
          <w:sz w:val="24"/>
        </w:rPr>
        <w:t>To prevent survey fatigue across longitudinal administration, distinct contextual themes were developed:</w:t>
      </w:r>
    </w:p>
    <w:p>
      <w:pPr>
        <w:pStyle w:val="ListBullet"/>
      </w:pPr>
      <w:r>
        <w:rPr>
          <w:rFonts w:ascii="Times New Roman" w:hAnsi="Times New Roman"/>
          <w:b/>
          <w:i w:val="0"/>
          <w:color w:val="000000"/>
          <w:sz w:val="24"/>
        </w:rPr>
        <w:t>Q1 (Routine Workflows):</w:t>
      </w:r>
      <w:r>
        <w:rPr>
          <w:rFonts w:ascii="Times New Roman" w:hAnsi="Times New Roman"/>
          <w:b w:val="0"/>
          <w:i w:val="0"/>
          <w:color w:val="000000"/>
          <w:sz w:val="24"/>
        </w:rPr>
        <w:t xml:space="preserve"> Focuses on daily deliverable handovers and standard SOP coverage.</w:t>
      </w:r>
    </w:p>
    <w:p>
      <w:pPr>
        <w:pStyle w:val="ListBullet"/>
      </w:pPr>
      <w:r>
        <w:rPr>
          <w:rFonts w:ascii="Times New Roman" w:hAnsi="Times New Roman"/>
          <w:b/>
          <w:i w:val="0"/>
          <w:color w:val="000000"/>
          <w:sz w:val="24"/>
        </w:rPr>
        <w:t>Q2 (Crisis Continuity):</w:t>
      </w:r>
      <w:r>
        <w:rPr>
          <w:rFonts w:ascii="Times New Roman" w:hAnsi="Times New Roman"/>
          <w:b w:val="0"/>
          <w:i w:val="0"/>
          <w:color w:val="000000"/>
          <w:sz w:val="24"/>
        </w:rPr>
        <w:t xml:space="preserve"> Focuses on emergency production incidents, off-hours contact, and on-call single-points-of-failure.</w:t>
      </w:r>
    </w:p>
    <w:p>
      <w:pPr>
        <w:pStyle w:val="ListBullet"/>
      </w:pPr>
      <w:r>
        <w:rPr>
          <w:rFonts w:ascii="Times New Roman" w:hAnsi="Times New Roman"/>
          <w:b/>
          <w:i w:val="0"/>
          <w:color w:val="000000"/>
          <w:sz w:val="24"/>
        </w:rPr>
        <w:t>Q3 (Architecture &amp; Governance):</w:t>
      </w:r>
      <w:r>
        <w:rPr>
          <w:rFonts w:ascii="Times New Roman" w:hAnsi="Times New Roman"/>
          <w:b w:val="0"/>
          <w:i w:val="0"/>
          <w:color w:val="000000"/>
          <w:sz w:val="24"/>
        </w:rPr>
        <w:t xml:space="preserve"> Focuses on technical debt, architectural decision records, and module deployment independence.</w:t>
      </w:r>
    </w:p>
    <w:p>
      <w:pPr>
        <w:pStyle w:val="ListBullet"/>
      </w:pPr>
      <w:r>
        <w:rPr>
          <w:rFonts w:ascii="Times New Roman" w:hAnsi="Times New Roman"/>
          <w:b/>
          <w:i w:val="0"/>
          <w:color w:val="000000"/>
          <w:sz w:val="24"/>
        </w:rPr>
        <w:t>Q4 (Knowledge Transfer &amp; Mentorship):</w:t>
      </w:r>
      <w:r>
        <w:rPr>
          <w:rFonts w:ascii="Times New Roman" w:hAnsi="Times New Roman"/>
          <w:b w:val="0"/>
          <w:i w:val="0"/>
          <w:color w:val="000000"/>
          <w:sz w:val="24"/>
        </w:rPr>
        <w:t xml:space="preserve"> Focuses on pairing experience, onboarding guides, and cross-functional tribal knowledge.</w:t>
      </w:r>
    </w:p>
    <w:p>
      <w:pPr>
        <w:pStyle w:val="Heading3"/>
      </w:pPr>
      <w:r>
        <w:t>1.3 Indicator Mapping and Scoring Key</w:t>
      </w:r>
    </w:p>
    <w:p>
      <w:pPr>
        <w:pStyle w:val="ListBullet"/>
      </w:pPr>
      <w:r>
        <w:rPr>
          <w:rFonts w:ascii="Times New Roman" w:hAnsi="Times New Roman"/>
          <w:b/>
          <w:i w:val="0"/>
          <w:color w:val="000000"/>
          <w:sz w:val="24"/>
        </w:rPr>
        <w:t>Direct Items (1–5 scale):</w:t>
      </w:r>
      <w:r>
        <w:rPr>
          <w:rFonts w:ascii="Times New Roman" w:hAnsi="Times New Roman"/>
          <w:b w:val="0"/>
          <w:i w:val="0"/>
          <w:color w:val="000000"/>
          <w:sz w:val="24"/>
        </w:rPr>
        <w:t xml:space="preserve"> Mapped linearly to the 1–10 scale:</w:t>
      </w:r>
    </w:p>
    <w:p>
      <w:pPr>
        <w:jc w:val="both"/>
      </w:pPr>
      <w:r>
        <w:rPr>
          <w:rFonts w:ascii="Times New Roman" w:hAnsi="Times New Roman"/>
          <w:b w:val="0"/>
          <w:i w:val="0"/>
          <w:color w:val="000000"/>
          <w:sz w:val="24"/>
        </w:rPr>
        <w:t>$$</w:t>
        <w:tab/>
        <w:t xml:space="preserve">ext{Score} = </w:t>
        <w:tab/>
        <w:t xml:space="preserve">ext{Response} </w:t>
        <w:tab/>
        <w:t>imes 2.0$$</w:t>
      </w:r>
    </w:p>
    <w:p>
      <w:pPr>
        <w:pStyle w:val="ListBullet"/>
      </w:pPr>
      <w:r>
        <w:rPr>
          <w:rFonts w:ascii="Times New Roman" w:hAnsi="Times New Roman"/>
          <w:b/>
          <w:i w:val="0"/>
          <w:color w:val="000000"/>
          <w:sz w:val="24"/>
        </w:rPr>
        <w:t>Reverse-Coded Items (Q9, Q10):</w:t>
      </w:r>
      <w:r>
        <w:rPr>
          <w:rFonts w:ascii="Times New Roman" w:hAnsi="Times New Roman"/>
          <w:b w:val="0"/>
          <w:i w:val="0"/>
          <w:color w:val="000000"/>
          <w:sz w:val="24"/>
        </w:rPr>
        <w:t xml:space="preserve"> Inverted mathematically prior to averaging:</w:t>
      </w:r>
    </w:p>
    <w:p>
      <w:pPr>
        <w:jc w:val="both"/>
      </w:pPr>
      <w:r>
        <w:rPr>
          <w:rFonts w:ascii="Times New Roman" w:hAnsi="Times New Roman"/>
          <w:b w:val="0"/>
          <w:i w:val="0"/>
          <w:color w:val="000000"/>
          <w:sz w:val="24"/>
        </w:rPr>
        <w:t>$$</w:t>
        <w:tab/>
        <w:t xml:space="preserve">ext{Inverted Score} = (6 - </w:t>
        <w:tab/>
        <w:t xml:space="preserve">ext{Response}) </w:t>
        <w:tab/>
        <w:t>imes 2.0$$</w:t>
      </w:r>
    </w:p>
    <w:p>
      <w:pPr>
        <w:jc w:val="both"/>
      </w:pPr>
      <w:r>
        <w:rPr>
          <w:rFonts w:ascii="Times New Roman" w:hAnsi="Times New Roman"/>
          <w:b w:val="0"/>
          <w:i w:val="0"/>
          <w:color w:val="000000"/>
          <w:sz w:val="24"/>
        </w:rPr>
        <w:t>*(Response 1 = 10.0, Response 2 = 8.0, Response 3 = 6.0, Response 4 = 4.0, Response 5 = 2.0)*</w:t>
      </w:r>
    </w:p>
    <w:p>
      <w:pPr>
        <w:pStyle w:val="ListBullet"/>
      </w:pPr>
      <w:r>
        <w:rPr>
          <w:rFonts w:ascii="Times New Roman" w:hAnsi="Times New Roman"/>
          <w:b/>
          <w:i w:val="0"/>
          <w:color w:val="000000"/>
          <w:sz w:val="24"/>
        </w:rPr>
        <w:t>Indicator Aggregation:</w:t>
      </w:r>
    </w:p>
    <w:p>
      <w:pPr>
        <w:pStyle w:val="ListBullet"/>
      </w:pPr>
      <w:r>
        <w:rPr>
          <w:rFonts w:ascii="Times New Roman" w:hAnsi="Times New Roman"/>
          <w:b w:val="0"/>
          <w:i w:val="0"/>
          <w:color w:val="000000"/>
          <w:sz w:val="24"/>
        </w:rPr>
        <w:t>$EU = (Score(Q1) + Score(Q5) + InvertedScore(Q9)) / 3$</w:t>
      </w:r>
    </w:p>
    <w:p>
      <w:pPr>
        <w:pStyle w:val="ListBullet"/>
      </w:pPr>
      <w:r>
        <w:rPr>
          <w:rFonts w:ascii="Times New Roman" w:hAnsi="Times New Roman"/>
          <w:b w:val="0"/>
          <w:i w:val="0"/>
          <w:color w:val="000000"/>
          <w:sz w:val="24"/>
        </w:rPr>
        <w:t>$DG = (Score(Q2) + Score(Q6) + InvertedScore(Q10)) / 3$</w:t>
      </w:r>
    </w:p>
    <w:p>
      <w:pPr>
        <w:pStyle w:val="ListBullet"/>
      </w:pPr>
      <w:r>
        <w:rPr>
          <w:rFonts w:ascii="Times New Roman" w:hAnsi="Times New Roman"/>
          <w:b w:val="0"/>
          <w:i w:val="0"/>
          <w:color w:val="000000"/>
          <w:sz w:val="24"/>
        </w:rPr>
        <w:t>$PC = (Score(Q3) + Score(Q7)) / 2$</w:t>
      </w:r>
    </w:p>
    <w:p>
      <w:pPr>
        <w:pStyle w:val="ListBullet"/>
      </w:pPr>
      <w:r>
        <w:rPr>
          <w:rFonts w:ascii="Times New Roman" w:hAnsi="Times New Roman"/>
          <w:b w:val="0"/>
          <w:i w:val="0"/>
          <w:color w:val="000000"/>
          <w:sz w:val="24"/>
        </w:rPr>
        <w:t>$CD = (Score(Q4) + Score(Q8)) / 2$</w:t>
      </w:r>
    </w:p>
    <w:p>
      <w:pPr>
        <w:pStyle w:val="ListBullet"/>
      </w:pPr>
      <w:r>
        <w:rPr>
          <w:rFonts w:ascii="Times New Roman" w:hAnsi="Times New Roman"/>
          <w:b w:val="0"/>
          <w:i w:val="0"/>
          <w:color w:val="000000"/>
          <w:sz w:val="24"/>
        </w:rPr>
        <w:t>Tenure ($T$) derived objectively from HR start date.</w:t>
      </w:r>
    </w:p>
    <w:p>
      <w:pPr>
        <w:pStyle w:val="Heading3"/>
      </w:pPr>
      <w:r>
        <w:t>1.4 Response-Quality Rules and Anonymized Audit Examples</w:t>
      </w:r>
    </w:p>
    <w:p>
      <w:pPr>
        <w:pStyle w:val="ListNumber"/>
      </w:pPr>
      <w:r>
        <w:rPr>
          <w:rFonts w:ascii="Times New Roman" w:hAnsi="Times New Roman"/>
          <w:b/>
          <w:i w:val="0"/>
          <w:color w:val="000000"/>
          <w:sz w:val="24"/>
        </w:rPr>
        <w:t>Rule 1 (Straight-Lining / Acquiescence):</w:t>
      </w:r>
      <w:r>
        <w:rPr>
          <w:rFonts w:ascii="Times New Roman" w:hAnsi="Times New Roman"/>
          <w:b w:val="0"/>
          <w:i w:val="0"/>
          <w:color w:val="000000"/>
          <w:sz w:val="24"/>
        </w:rPr>
        <w:t xml:space="preserve"> If the sample standard deviation $\sigma$ across all 10 responses is $&lt; 1.0$, the submission is flagged.</w:t>
      </w:r>
    </w:p>
    <w:p>
      <w:pPr>
        <w:pStyle w:val="ListBullet"/>
      </w:pPr>
      <w:r>
        <w:rPr>
          <w:rFonts w:ascii="Times New Roman" w:hAnsi="Times New Roman"/>
          <w:b w:val="0"/>
          <w:i w:val="0"/>
          <w:color w:val="000000"/>
          <w:sz w:val="24"/>
        </w:rPr>
        <w:t>*Example:* Employee `mallory@knowledgeguard.demo` answered all items with maximum values (5s), yielding $\sigma = 0.0$. Flagged: `Acquiescence Pattern Detected (Straight-lining)`. Confidence discount $+0.20$ applied; managerial review required.</w:t>
      </w:r>
    </w:p>
    <w:p>
      <w:pPr>
        <w:pStyle w:val="ListNumber"/>
      </w:pPr>
      <w:r>
        <w:rPr>
          <w:rFonts w:ascii="Times New Roman" w:hAnsi="Times New Roman"/>
          <w:b/>
          <w:i w:val="0"/>
          <w:color w:val="000000"/>
          <w:sz w:val="24"/>
        </w:rPr>
        <w:t>Rule 2 (Polarity Contradiction):</w:t>
      </w:r>
      <w:r>
        <w:rPr>
          <w:rFonts w:ascii="Times New Roman" w:hAnsi="Times New Roman"/>
          <w:b w:val="0"/>
          <w:i w:val="0"/>
          <w:color w:val="000000"/>
          <w:sz w:val="24"/>
        </w:rPr>
        <w:t xml:space="preserve"> If $|Score(Q1) - InvertedScore(Q9)| \ge 4.0$, a contradiction flag is logged.</w:t>
      </w:r>
    </w:p>
    <w:p>
      <w:pPr>
        <w:pStyle w:val="ListBullet"/>
      </w:pPr>
      <w:r>
        <w:rPr>
          <w:rFonts w:ascii="Times New Roman" w:hAnsi="Times New Roman"/>
          <w:b w:val="0"/>
          <w:i w:val="0"/>
          <w:color w:val="000000"/>
          <w:sz w:val="24"/>
        </w:rPr>
        <w:t>*Example:* Employee answered Q1 as "No one" (10.0) but answered Q9 as "Strongly Agree" (Peer can easily step in = 2.0). Delta $= |10.0 - 2.0| = 8.0 \ge 4.0$. Flagged: `High Contradiction in Uniqueness`.</w:t>
      </w:r>
    </w:p>
    <w:p>
      <w:pPr>
        <w:pStyle w:val="Heading2"/>
      </w:pPr>
      <w:r>
        <w:t>Appendix 2: Data Dictionary and Risk Configuration</w:t>
      </w:r>
    </w:p>
    <w:p>
      <w:pPr>
        <w:pStyle w:val="Heading3"/>
      </w:pPr>
      <w:r>
        <w:t>2.1 Assessment Data Dictionary</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rPr>
          <w:tblHeader w:val="true"/>
        </w:trPr>
        <w:tc>
          <w:tcPr>
            <w:tcW w:type="dxa" w:w="1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Field Name</w:t>
            </w:r>
          </w:p>
        </w:tc>
        <w:tc>
          <w:tcPr>
            <w:tcW w:type="dxa" w:w="1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Data Type</w:t>
            </w:r>
          </w:p>
        </w:tc>
        <w:tc>
          <w:tcPr>
            <w:tcW w:type="dxa" w:w="1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Permitted Values</w:t>
            </w:r>
          </w:p>
        </w:tc>
        <w:tc>
          <w:tcPr>
            <w:tcW w:type="dxa" w:w="1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Nullable</w:t>
            </w:r>
          </w:p>
        </w:tc>
        <w:tc>
          <w:tcPr>
            <w:tcW w:type="dxa" w:w="1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Source</w:t>
            </w:r>
          </w:p>
        </w:tc>
        <w:tc>
          <w:tcPr>
            <w:tcW w:type="dxa" w:w="15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Operational Definition</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`_id`</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ObjectId</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24-character hex</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MongoDB</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Unique assessment document identifier.</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`userId`</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ObjectId</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Valid User ref</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System</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Reference to the assessed employee.</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`period`</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String</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e.g., "2026-Q3"</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System</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Active quarterly assessment cycle.</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`selfScores.expertiseUniqueness`</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Float</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1.00 – 10.00</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Survey CSV</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Normalized self-assessed knowledge uniqueness.</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`selfScores.documentationGap`</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Float</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1.00 – 10.00</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Survey CSV</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Normalized self-assessed documentation deficit.</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`selfScores.projectCriticality`</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Float</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1.00 – 10.00</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Survey CSV</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Normalized self-assessed project operational impact.</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`selfScores.collaborationDependency`</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Float</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1.00 – 10.00</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Survey CSV</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Normalized self-assessed workflow dependency.</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`tenureScore`</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Float</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2.0, 5.0, 7.0, 10.0</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User Profile</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Deterministically calculated tenure score.</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`managerValidated`</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Boolean</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`true`, `false`</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Human-in-the-loop validation flag.</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`managerScores`</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Object</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Map of 4 floats</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Yes</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Manager</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Contextual scores assigned by manager.</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`responseBias.straightLining`</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Boolean</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`true`, `false`</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Auditor</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Automated straight-lining detection flag.</w:t>
            </w:r>
          </w:p>
        </w:tc>
      </w:tr>
      <w:tr>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`responseBias.biasScore`</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Integer</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0 – 100</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No</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Auditor</w:t>
            </w:r>
          </w:p>
        </w:tc>
        <w:tc>
          <w:tcPr>
            <w:tcW w:type="dxa" w:w="15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Aggregate data quality risk index.</w:t>
            </w:r>
          </w:p>
        </w:tc>
      </w:tr>
    </w:tbl>
    <w:p/>
    <w:p>
      <w:pPr>
        <w:pStyle w:val="Heading3"/>
      </w:pPr>
      <w:r>
        <w:t>2.2 Indicator Normalization and Tenure Transformation</w:t>
      </w:r>
    </w:p>
    <w:p>
      <w:pPr>
        <w:pStyle w:val="ListBullet"/>
      </w:pPr>
      <w:r>
        <w:rPr>
          <w:rFonts w:ascii="Times New Roman" w:hAnsi="Times New Roman"/>
          <w:b/>
          <w:i w:val="0"/>
          <w:color w:val="000000"/>
          <w:sz w:val="24"/>
        </w:rPr>
        <w:t>Tenure Transformation:</w:t>
      </w:r>
    </w:p>
    <w:p>
      <w:pPr>
        <w:jc w:val="both"/>
      </w:pPr>
      <w:r>
        <w:rPr>
          <w:rFonts w:ascii="Times New Roman" w:hAnsi="Times New Roman"/>
          <w:b w:val="0"/>
          <w:i w:val="0"/>
          <w:color w:val="000000"/>
          <w:sz w:val="24"/>
        </w:rPr>
        <w:t>$$</w:t>
        <w:tab/>
        <w:t>ext{Years of Service} =</w:t>
      </w:r>
    </w:p>
    <w:p>
      <w:pPr>
        <w:jc w:val="both"/>
      </w:pPr>
      <w:r>
        <w:rPr>
          <w:rFonts w:ascii="Times New Roman" w:hAnsi="Times New Roman"/>
          <w:b w:val="0"/>
          <w:i w:val="0"/>
          <w:color w:val="000000"/>
          <w:sz w:val="24"/>
        </w:rPr>
        <w:t>rac{</w:t>
        <w:tab/>
        <w:t xml:space="preserve">ext{Current Date} - </w:t>
        <w:tab/>
        <w:t xml:space="preserve">ext{Start Date}}{365.25 </w:t>
        <w:tab/>
        <w:t xml:space="preserve">imes 24 </w:t>
        <w:tab/>
        <w:t xml:space="preserve">imes 3600 </w:t>
        <w:tab/>
        <w:t>imes 1000}$$</w:t>
      </w:r>
    </w:p>
    <w:p>
      <w:pPr>
        <w:jc w:val="both"/>
      </w:pPr>
      <w:r>
        <w:rPr>
          <w:rFonts w:ascii="Times New Roman" w:hAnsi="Times New Roman"/>
          <w:b w:val="0"/>
          <w:i w:val="0"/>
          <w:color w:val="000000"/>
          <w:sz w:val="24"/>
        </w:rPr>
        <w:t>$$</w:t>
        <w:tab/>
        <w:t xml:space="preserve">ext{Tenure Score} (T) = egin{cases} 2.00 &amp; </w:t>
        <w:tab/>
        <w:t xml:space="preserve">ext{if Years} &lt; 2 \ 5.00 &amp; </w:t>
        <w:tab/>
        <w:t xml:space="preserve">ext{if } 2 \le </w:t>
        <w:tab/>
        <w:t xml:space="preserve">ext{Years} &lt; 5 \ 7.00 &amp; </w:t>
        <w:tab/>
        <w:t xml:space="preserve">ext{if } 5 \le </w:t>
        <w:tab/>
        <w:t xml:space="preserve">ext{Years} &lt; 10 \ 10.00 &amp; </w:t>
        <w:tab/>
        <w:t>ext{if Years} \ge 10 \end{cases}$$</w:t>
      </w:r>
    </w:p>
    <w:p>
      <w:pPr>
        <w:pStyle w:val="Heading3"/>
      </w:pPr>
      <w:r>
        <w:t>2.3 Versioned Scoring Configuration</w:t>
      </w:r>
    </w:p>
    <w:p>
      <w:pPr>
        <w:pStyle w:val="ListBullet"/>
      </w:pPr>
      <w:r>
        <w:rPr>
          <w:rFonts w:ascii="Times New Roman" w:hAnsi="Times New Roman"/>
          <w:b/>
          <w:i w:val="0"/>
          <w:color w:val="000000"/>
          <w:sz w:val="24"/>
        </w:rPr>
        <w:t>System Version:</w:t>
      </w:r>
      <w:r>
        <w:rPr>
          <w:rFonts w:ascii="Times New Roman" w:hAnsi="Times New Roman"/>
          <w:b w:val="0"/>
          <w:i w:val="0"/>
          <w:color w:val="000000"/>
          <w:sz w:val="24"/>
        </w:rPr>
        <w:t xml:space="preserve"> KnowledgeGuard v1.2.0 (Commit `kg-release-20260914`).</w:t>
      </w:r>
    </w:p>
    <w:p>
      <w:pPr>
        <w:pStyle w:val="ListBullet"/>
      </w:pPr>
      <w:r>
        <w:rPr>
          <w:rFonts w:ascii="Times New Roman" w:hAnsi="Times New Roman"/>
          <w:b/>
          <w:i w:val="0"/>
          <w:color w:val="000000"/>
          <w:sz w:val="24"/>
        </w:rPr>
        <w:t>Active Default Weights:</w:t>
      </w:r>
      <w:r>
        <w:rPr>
          <w:rFonts w:ascii="Times New Roman" w:hAnsi="Times New Roman"/>
          <w:b w:val="0"/>
          <w:i w:val="0"/>
          <w:color w:val="000000"/>
          <w:sz w:val="24"/>
        </w:rPr>
        <w:t xml:space="preserve"> $EU = 0.25, DG = 0.20, PC = 0.20, CD = 0.20, T = 0.15$.</w:t>
      </w:r>
    </w:p>
    <w:p>
      <w:pPr>
        <w:pStyle w:val="ListBullet"/>
      </w:pPr>
      <w:r>
        <w:rPr>
          <w:rFonts w:ascii="Times New Roman" w:hAnsi="Times New Roman"/>
          <w:b/>
          <w:i w:val="0"/>
          <w:color w:val="000000"/>
          <w:sz w:val="24"/>
        </w:rPr>
        <w:t>Triangulation Blend (Manager Validated):</w:t>
      </w:r>
      <w:r>
        <w:rPr>
          <w:rFonts w:ascii="Times New Roman" w:hAnsi="Times New Roman"/>
          <w:b w:val="0"/>
          <w:i w:val="0"/>
          <w:color w:val="000000"/>
          <w:sz w:val="24"/>
        </w:rPr>
        <w:t xml:space="preserve"> $30\%</w:t>
        <w:tab/>
        <w:t>ext{ Formula} + 50\%</w:t>
        <w:tab/>
        <w:t>ext{ Manager} + 20\%</w:t>
        <w:tab/>
        <w:t>ext{ ML}$.</w:t>
      </w:r>
    </w:p>
    <w:p>
      <w:pPr>
        <w:pStyle w:val="ListBullet"/>
      </w:pPr>
      <w:r>
        <w:rPr>
          <w:rFonts w:ascii="Times New Roman" w:hAnsi="Times New Roman"/>
          <w:b/>
          <w:i w:val="0"/>
          <w:color w:val="000000"/>
          <w:sz w:val="24"/>
        </w:rPr>
        <w:t>Provisional Fallback (Unvalidated):</w:t>
      </w:r>
      <w:r>
        <w:rPr>
          <w:rFonts w:ascii="Times New Roman" w:hAnsi="Times New Roman"/>
          <w:b w:val="0"/>
          <w:i w:val="0"/>
          <w:color w:val="000000"/>
          <w:sz w:val="24"/>
        </w:rPr>
        <w:t xml:space="preserve"> $70\%</w:t>
        <w:tab/>
        <w:t>ext{ Formula} + 30\%</w:t>
        <w:tab/>
        <w:t>ext{ ML}$.</w:t>
      </w:r>
    </w:p>
    <w:p>
      <w:pPr>
        <w:pStyle w:val="Heading3"/>
      </w:pPr>
      <w:r>
        <w:t>2.4 Risk Thresholds and Boundary Tests</w:t>
      </w:r>
    </w:p>
    <w:tbl>
      <w:tblPr>
        <w:tblStyle w:val="TableGrid"/>
        <w:tblW w:type="auto" w:w="0"/>
        <w:jc w:val="center"/>
        <w:tblLook w:firstColumn="1" w:firstRow="1" w:lastColumn="0" w:lastRow="0" w:noHBand="0" w:noVBand="1" w:val="04A0"/>
      </w:tblPr>
      <w:tblGrid>
        <w:gridCol w:w="2250"/>
        <w:gridCol w:w="2250"/>
        <w:gridCol w:w="2250"/>
        <w:gridCol w:w="2250"/>
      </w:tblGrid>
      <w:tr>
        <w:trPr>
          <w:tblHeader w:val="true"/>
        </w:trPr>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Continuous Score Range</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Risk Tier Label</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System Action &amp; Workflow Implication</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Boundary Test Verification</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1.00 – 3.99</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Low</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Routine monitoring; no active intervention.</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 xml:space="preserve">Score = 3.99 classified as </w:t>
            </w:r>
            <w:r>
              <w:rPr>
                <w:rFonts w:ascii="Times New Roman" w:hAnsi="Times New Roman"/>
                <w:b/>
                <w:i w:val="0"/>
                <w:color w:val="000000"/>
                <w:sz w:val="19"/>
              </w:rPr>
              <w:t>Low</w:t>
            </w:r>
            <w:r>
              <w:rPr>
                <w:rFonts w:ascii="Times New Roman" w:hAnsi="Times New Roman"/>
                <w:b w:val="0"/>
                <w:i w:val="0"/>
                <w:color w:val="000000"/>
                <w:sz w:val="19"/>
              </w:rPr>
              <w:t xml:space="preserve"> (PASS)</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4.00 – 6.99</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Medium</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Documentation audit; optional manager review.</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 xml:space="preserve">Score = 4.00 classified as </w:t>
            </w:r>
            <w:r>
              <w:rPr>
                <w:rFonts w:ascii="Times New Roman" w:hAnsi="Times New Roman"/>
                <w:b/>
                <w:i w:val="0"/>
                <w:color w:val="000000"/>
                <w:sz w:val="19"/>
              </w:rPr>
              <w:t>Medium</w:t>
            </w:r>
            <w:r>
              <w:rPr>
                <w:rFonts w:ascii="Times New Roman" w:hAnsi="Times New Roman"/>
                <w:b w:val="0"/>
                <w:i w:val="0"/>
                <w:color w:val="000000"/>
                <w:sz w:val="19"/>
              </w:rPr>
              <w:t xml:space="preserve"> (PASS)</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7.00 – 8.99</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High</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Mandatory Knowledge Transfer planning triggered.</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 xml:space="preserve">Score = 7.00 classified as </w:t>
            </w:r>
            <w:r>
              <w:rPr>
                <w:rFonts w:ascii="Times New Roman" w:hAnsi="Times New Roman"/>
                <w:b/>
                <w:i w:val="0"/>
                <w:color w:val="000000"/>
                <w:sz w:val="19"/>
              </w:rPr>
              <w:t>High</w:t>
            </w:r>
            <w:r>
              <w:rPr>
                <w:rFonts w:ascii="Times New Roman" w:hAnsi="Times New Roman"/>
                <w:b w:val="0"/>
                <w:i w:val="0"/>
                <w:color w:val="000000"/>
                <w:sz w:val="19"/>
              </w:rPr>
              <w:t xml:space="preserve"> (PASS)</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9.00 – 10.00</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Critical</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Immediate executive alert; urgent succession plan.</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 xml:space="preserve">Score = 9.00 classified as </w:t>
            </w:r>
            <w:r>
              <w:rPr>
                <w:rFonts w:ascii="Times New Roman" w:hAnsi="Times New Roman"/>
                <w:b/>
                <w:i w:val="0"/>
                <w:color w:val="000000"/>
                <w:sz w:val="19"/>
              </w:rPr>
              <w:t>Critical</w:t>
            </w:r>
            <w:r>
              <w:rPr>
                <w:rFonts w:ascii="Times New Roman" w:hAnsi="Times New Roman"/>
                <w:b w:val="0"/>
                <w:i w:val="0"/>
                <w:color w:val="000000"/>
                <w:sz w:val="19"/>
              </w:rPr>
              <w:t xml:space="preserve"> (PASS)</w:t>
            </w:r>
          </w:p>
        </w:tc>
      </w:tr>
    </w:tbl>
    <w:p/>
    <w:p>
      <w:pPr>
        <w:pStyle w:val="Heading2"/>
      </w:pPr>
      <w:r>
        <w:t>Appendix 3: Complete Test Evidence</w:t>
      </w:r>
    </w:p>
    <w:p>
      <w:pPr>
        <w:pStyle w:val="Heading3"/>
      </w:pPr>
      <w:r>
        <w:t>3.1 Test Environment and Execution Record</w:t>
      </w:r>
    </w:p>
    <w:p>
      <w:pPr>
        <w:pStyle w:val="ListBullet"/>
      </w:pPr>
      <w:r>
        <w:rPr>
          <w:rFonts w:ascii="Times New Roman" w:hAnsi="Times New Roman"/>
          <w:b/>
          <w:i w:val="0"/>
          <w:color w:val="000000"/>
          <w:sz w:val="24"/>
        </w:rPr>
        <w:t>Execution Date:</w:t>
      </w:r>
      <w:r>
        <w:rPr>
          <w:rFonts w:ascii="Times New Roman" w:hAnsi="Times New Roman"/>
          <w:b w:val="0"/>
          <w:i w:val="0"/>
          <w:color w:val="000000"/>
          <w:sz w:val="24"/>
        </w:rPr>
        <w:t xml:space="preserve"> September 12, 2026.</w:t>
      </w:r>
    </w:p>
    <w:p>
      <w:pPr>
        <w:pStyle w:val="ListBullet"/>
      </w:pPr>
      <w:r>
        <w:rPr>
          <w:rFonts w:ascii="Times New Roman" w:hAnsi="Times New Roman"/>
          <w:b/>
          <w:i w:val="0"/>
          <w:color w:val="000000"/>
          <w:sz w:val="24"/>
        </w:rPr>
        <w:t>Environment:</w:t>
      </w:r>
      <w:r>
        <w:rPr>
          <w:rFonts w:ascii="Times New Roman" w:hAnsi="Times New Roman"/>
          <w:b w:val="0"/>
          <w:i w:val="0"/>
          <w:color w:val="000000"/>
          <w:sz w:val="24"/>
        </w:rPr>
        <w:t xml:space="preserve"> Local isolated staging container running on Windows 11 Enterprise (Build 22631).</w:t>
      </w:r>
    </w:p>
    <w:p>
      <w:pPr>
        <w:pStyle w:val="ListBullet"/>
      </w:pPr>
      <w:r>
        <w:rPr>
          <w:rFonts w:ascii="Times New Roman" w:hAnsi="Times New Roman"/>
          <w:b/>
          <w:i w:val="0"/>
          <w:color w:val="000000"/>
          <w:sz w:val="24"/>
        </w:rPr>
        <w:t>Software Stacks:</w:t>
      </w:r>
      <w:r>
        <w:rPr>
          <w:rFonts w:ascii="Times New Roman" w:hAnsi="Times New Roman"/>
          <w:b w:val="0"/>
          <w:i w:val="0"/>
          <w:color w:val="000000"/>
          <w:sz w:val="24"/>
        </w:rPr>
        <w:t xml:space="preserve"> Node.js v20.11.0, React 18.2.0, Vite 5.1.4, MongoDB Community v7.0.5, Python 3.11.8 (FastAPI 0.110.0, Scikit-Learn 1.4.1).</w:t>
      </w:r>
    </w:p>
    <w:p>
      <w:pPr>
        <w:pStyle w:val="ListBullet"/>
      </w:pPr>
      <w:r>
        <w:rPr>
          <w:rFonts w:ascii="Times New Roman" w:hAnsi="Times New Roman"/>
          <w:b/>
          <w:i w:val="0"/>
          <w:color w:val="000000"/>
          <w:sz w:val="24"/>
        </w:rPr>
        <w:t>Execution Tester:</w:t>
      </w:r>
      <w:r>
        <w:rPr>
          <w:rFonts w:ascii="Times New Roman" w:hAnsi="Times New Roman"/>
          <w:b w:val="0"/>
          <w:i w:val="0"/>
          <w:color w:val="000000"/>
          <w:sz w:val="24"/>
        </w:rPr>
        <w:t xml:space="preserve"> Lead Research Engineer (Shanuka S. Jayakodi).</w:t>
      </w:r>
    </w:p>
    <w:p>
      <w:pPr>
        <w:pStyle w:val="Heading3"/>
      </w:pPr>
      <w:r>
        <w:t>3.2 Functional Test Executions (TC-04 to TC-09)</w:t>
      </w:r>
    </w:p>
    <w:p>
      <w:pPr>
        <w:pStyle w:val="ListBullet"/>
      </w:pPr>
      <w:r>
        <w:rPr>
          <w:rFonts w:ascii="Times New Roman" w:hAnsi="Times New Roman"/>
          <w:b/>
          <w:i w:val="0"/>
          <w:color w:val="000000"/>
          <w:sz w:val="24"/>
        </w:rPr>
        <w:t>TC-04 (CSV Ingestion &amp; Quality):</w:t>
      </w:r>
      <w:r>
        <w:rPr>
          <w:rFonts w:ascii="Times New Roman" w:hAnsi="Times New Roman"/>
          <w:b w:val="0"/>
          <w:i w:val="0"/>
          <w:color w:val="000000"/>
          <w:sz w:val="24"/>
        </w:rPr>
        <w:t xml:space="preserve"> File `02_assessments_comprehensive_q3.csv` containing 30 employee records imported. All 30 accounts matched; 1 account (`mallory@knowledgeguard.demo`) flagged with zero variance ($\sigma = 0.0$). Console log: `[AUDIT] Ingestion completed: 30 imported, 1 flagged for response quality review`.</w:t>
      </w:r>
    </w:p>
    <w:p>
      <w:pPr>
        <w:pStyle w:val="ListBullet"/>
      </w:pPr>
      <w:r>
        <w:rPr>
          <w:rFonts w:ascii="Times New Roman" w:hAnsi="Times New Roman"/>
          <w:b/>
          <w:i w:val="0"/>
          <w:color w:val="000000"/>
          <w:sz w:val="24"/>
        </w:rPr>
        <w:t>TC-05 (Triangulated Scoring):</w:t>
      </w:r>
      <w:r>
        <w:rPr>
          <w:rFonts w:ascii="Times New Roman" w:hAnsi="Times New Roman"/>
          <w:b w:val="0"/>
          <w:i w:val="0"/>
          <w:color w:val="000000"/>
          <w:sz w:val="24"/>
        </w:rPr>
        <w:t xml:space="preserve"> Profile with Formula = 6.00, Manager = 8.00, ML = 5.00 submitted. Result: $(6 </w:t>
        <w:tab/>
        <w:t xml:space="preserve">imes 0.3) + (8 </w:t>
        <w:tab/>
        <w:t xml:space="preserve">imes 0.5) + (5 </w:t>
        <w:tab/>
        <w:t>imes 0.2) = 6.80$. Saved document verified in MongoDB shell: `{ "finalScore": 6.80, "tier": "medium" }`.</w:t>
      </w:r>
    </w:p>
    <w:p>
      <w:pPr>
        <w:pStyle w:val="ListBullet"/>
      </w:pPr>
      <w:r>
        <w:rPr>
          <w:rFonts w:ascii="Times New Roman" w:hAnsi="Times New Roman"/>
          <w:b/>
          <w:i w:val="0"/>
          <w:color w:val="000000"/>
          <w:sz w:val="24"/>
        </w:rPr>
        <w:t>TC-06 (AHP Validation):</w:t>
      </w:r>
      <w:r>
        <w:rPr>
          <w:rFonts w:ascii="Times New Roman" w:hAnsi="Times New Roman"/>
          <w:b w:val="0"/>
          <w:i w:val="0"/>
          <w:color w:val="000000"/>
          <w:sz w:val="24"/>
        </w:rPr>
        <w:t xml:space="preserve"> Submitted 5×5 matrix yielding $CR = 0.200$. API response: `{ success: true, consistencyRatio: 0.2000, isConsistent: false }`. Live settings remained `{ "useDynamicWeights": false }`.</w:t>
      </w:r>
    </w:p>
    <w:p>
      <w:pPr>
        <w:pStyle w:val="ListBullet"/>
      </w:pPr>
      <w:r>
        <w:rPr>
          <w:rFonts w:ascii="Times New Roman" w:hAnsi="Times New Roman"/>
          <w:b/>
          <w:i w:val="0"/>
          <w:color w:val="000000"/>
          <w:sz w:val="24"/>
        </w:rPr>
        <w:t>TC-07 (AI KT Plan):</w:t>
      </w:r>
      <w:r>
        <w:rPr>
          <w:rFonts w:ascii="Times New Roman" w:hAnsi="Times New Roman"/>
          <w:b w:val="0"/>
          <w:i w:val="0"/>
          <w:color w:val="000000"/>
          <w:sz w:val="24"/>
        </w:rPr>
        <w:t xml:space="preserve"> Profile for high-risk engineer processed. Backend payload verified sanitized (no employee name/email). Groq API returned 5 tasks. DB verification confirmed 5 `KTTask` documents created under status `pending`.</w:t>
      </w:r>
    </w:p>
    <w:p>
      <w:pPr>
        <w:pStyle w:val="ListBullet"/>
      </w:pPr>
      <w:r>
        <w:rPr>
          <w:rFonts w:ascii="Times New Roman" w:hAnsi="Times New Roman"/>
          <w:b/>
          <w:i w:val="0"/>
          <w:color w:val="000000"/>
          <w:sz w:val="24"/>
        </w:rPr>
        <w:t>TC-08 (Dual-Verification Gating):</w:t>
      </w:r>
      <w:r>
        <w:rPr>
          <w:rFonts w:ascii="Times New Roman" w:hAnsi="Times New Roman"/>
          <w:b w:val="0"/>
          <w:i w:val="0"/>
          <w:color w:val="000000"/>
          <w:sz w:val="24"/>
        </w:rPr>
        <w:t xml:space="preserve"> Manager triggered approval with `employeeConfirmed: true` and `backupConfirmed: false`. Response: HTTP 400 Bad Request `{ success: false, message: "Missing required backup verification" }`. Button rendered disabled in UI.</w:t>
      </w:r>
    </w:p>
    <w:p>
      <w:pPr>
        <w:pStyle w:val="ListBullet"/>
      </w:pPr>
      <w:r>
        <w:rPr>
          <w:rFonts w:ascii="Times New Roman" w:hAnsi="Times New Roman"/>
          <w:b/>
          <w:i w:val="0"/>
          <w:color w:val="000000"/>
          <w:sz w:val="24"/>
        </w:rPr>
        <w:t>TC-09 (Mitigation scoreDelta):</w:t>
      </w:r>
      <w:r>
        <w:rPr>
          <w:rFonts w:ascii="Times New Roman" w:hAnsi="Times New Roman"/>
          <w:b w:val="0"/>
          <w:i w:val="0"/>
          <w:color w:val="000000"/>
          <w:sz w:val="24"/>
        </w:rPr>
        <w:t xml:space="preserve"> Signed off Emp-01 KT plan. System applied reductions: $DG -3.0, EU -3.0, CD -2.0$. Formula and final scores recalculated from 8.52 to 6.78. DB document updated: `{ "previousScore": 8.52, "finalScore": 6.78, "scoreDelta": 1.74, "tier": "medium" }`.</w:t>
      </w:r>
    </w:p>
    <w:p>
      <w:pPr>
        <w:pStyle w:val="Heading3"/>
      </w:pPr>
      <w:r>
        <w:t>3.3 Non-Functional and Service-Isolation Tests (TC-01 to TC-03)</w:t>
      </w:r>
    </w:p>
    <w:p>
      <w:pPr>
        <w:pStyle w:val="ListBullet"/>
      </w:pPr>
      <w:r>
        <w:rPr>
          <w:rFonts w:ascii="Times New Roman" w:hAnsi="Times New Roman"/>
          <w:b/>
          <w:i w:val="0"/>
          <w:color w:val="000000"/>
          <w:sz w:val="24"/>
        </w:rPr>
        <w:t>TC-01 (CRON Daemon):</w:t>
      </w:r>
      <w:r>
        <w:rPr>
          <w:rFonts w:ascii="Times New Roman" w:hAnsi="Times New Roman"/>
          <w:b w:val="0"/>
          <w:i w:val="0"/>
          <w:color w:val="000000"/>
          <w:sz w:val="24"/>
        </w:rPr>
        <w:t xml:space="preserve"> System clock advanced by 48h. Cron daemon executed at 00:00:01. Log excerpt: `[CRON] Inspecting pending KT tasks... Found 1 overdue task ID 66e1... Emitting notification to manager sarah@knowledgeguard.demo`.</w:t>
      </w:r>
    </w:p>
    <w:p>
      <w:pPr>
        <w:pStyle w:val="ListBullet"/>
      </w:pPr>
      <w:r>
        <w:rPr>
          <w:rFonts w:ascii="Times New Roman" w:hAnsi="Times New Roman"/>
          <w:b/>
          <w:i w:val="0"/>
          <w:color w:val="000000"/>
          <w:sz w:val="24"/>
        </w:rPr>
        <w:t>TC-02 (Authentication Guard):</w:t>
      </w:r>
      <w:r>
        <w:rPr>
          <w:rFonts w:ascii="Times New Roman" w:hAnsi="Times New Roman"/>
          <w:b w:val="0"/>
          <w:i w:val="0"/>
          <w:color w:val="000000"/>
          <w:sz w:val="24"/>
        </w:rPr>
        <w:t xml:space="preserve"> Direct HTTP request to `GET /api/assessments` without bearer token. Response: HTTP 401 Unauthorized in 4ms.</w:t>
      </w:r>
    </w:p>
    <w:p>
      <w:pPr>
        <w:pStyle w:val="ListBullet"/>
      </w:pPr>
      <w:r>
        <w:rPr>
          <w:rFonts w:ascii="Times New Roman" w:hAnsi="Times New Roman"/>
          <w:b/>
          <w:i w:val="0"/>
          <w:color w:val="000000"/>
          <w:sz w:val="24"/>
        </w:rPr>
        <w:t>TC-03 (Microservice Isolation &amp; Fallback):</w:t>
      </w:r>
      <w:r>
        <w:rPr>
          <w:rFonts w:ascii="Times New Roman" w:hAnsi="Times New Roman"/>
          <w:b w:val="0"/>
          <w:i w:val="0"/>
          <w:color w:val="000000"/>
          <w:sz w:val="24"/>
        </w:rPr>
        <w:t xml:space="preserve"> Python FastAPI process on port 8000 forcibly terminated (`kill -9`). POST request sent to trigger risk calculation. Backend log excerpt:</w:t>
      </w:r>
    </w:p>
    <w:p>
      <w:pPr>
        <w:spacing w:line="264" w:lineRule="auto" w:after="120"/>
        <w:ind w:left="432"/>
      </w:pPr>
      <w:r>
        <w:rPr>
          <w:rFonts w:ascii="Times New Roman" w:hAnsi="Times New Roman"/>
          <w:b w:val="0"/>
          <w:i w:val="0"/>
          <w:color w:val="595959"/>
          <w:sz w:val="19"/>
        </w:rPr>
        <w:t xml:space="preserve">  ⚠️  ML service unavailable, using formula fallback: connect ECONNREFUSED 127.0.0.1:8000</w:t>
        <w:br/>
        <w:t xml:space="preserve">  [SCORING] Fallback applied: formulaScore used for ML component. Final score computed: 7.75</w:t>
      </w:r>
    </w:p>
    <w:p>
      <w:pPr>
        <w:jc w:val="both"/>
      </w:pPr>
      <w:r>
        <w:rPr>
          <w:rFonts w:ascii="Times New Roman" w:hAnsi="Times New Roman"/>
          <w:b w:val="0"/>
          <w:i w:val="0"/>
          <w:color w:val="000000"/>
          <w:sz w:val="24"/>
        </w:rPr>
        <w:t>Node.js server remained fully responsive with zero downtime.</w:t>
      </w:r>
    </w:p>
    <w:p>
      <w:pPr>
        <w:pStyle w:val="Heading2"/>
      </w:pPr>
      <w:r>
        <w:t>Appendix 4: SUS and TAM Evaluation Instruments and Calculations</w:t>
      </w:r>
    </w:p>
    <w:p>
      <w:pPr>
        <w:pStyle w:val="Heading3"/>
      </w:pPr>
      <w:r>
        <w:t>4.1 Evaluation Procedure</w:t>
      </w:r>
    </w:p>
    <w:p>
      <w:pPr>
        <w:jc w:val="both"/>
      </w:pPr>
      <w:r>
        <w:rPr>
          <w:rFonts w:ascii="Times New Roman" w:hAnsi="Times New Roman"/>
          <w:b w:val="0"/>
          <w:i w:val="0"/>
          <w:color w:val="000000"/>
          <w:sz w:val="24"/>
        </w:rPr>
        <w:t>Ten managerial evaluators were provided credentials to access the KnowledgeGuard staging prototype. After executing a standardized 20-minute protocol (importing a CSV, inspecting employee risk profiles, validating an assessment, generating an AI KT plan, and signing off a completed task), participants completed the standardized SUS and TAM questionnaires.</w:t>
      </w:r>
    </w:p>
    <w:p>
      <w:pPr>
        <w:pStyle w:val="Heading3"/>
      </w:pPr>
      <w:r>
        <w:t>4.2 Raw SUS Response Data and Calculations (N = 10)</w:t>
      </w:r>
    </w:p>
    <w:tbl>
      <w:tblPr>
        <w:tblStyle w:val="TableGrid"/>
        <w:tblW w:type="auto" w:w="0"/>
        <w:jc w:val="center"/>
        <w:tblLook w:firstColumn="1" w:firstRow="1" w:lastColumn="0" w:lastRow="0" w:noHBand="0" w:noVBand="1" w:val="04A0"/>
      </w:tblPr>
      <w:tblGrid>
        <w:gridCol w:w="600"/>
        <w:gridCol w:w="600"/>
        <w:gridCol w:w="600"/>
        <w:gridCol w:w="600"/>
        <w:gridCol w:w="600"/>
        <w:gridCol w:w="600"/>
        <w:gridCol w:w="600"/>
        <w:gridCol w:w="600"/>
        <w:gridCol w:w="600"/>
        <w:gridCol w:w="600"/>
        <w:gridCol w:w="600"/>
        <w:gridCol w:w="600"/>
        <w:gridCol w:w="600"/>
        <w:gridCol w:w="600"/>
        <w:gridCol w:w="600"/>
      </w:tblGrid>
      <w:tr>
        <w:trPr>
          <w:tblHeader w:val="true"/>
        </w:trPr>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Participant</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Q1</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Q2</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Q3</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Q4</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Q5</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Q6</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Q7</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Q8</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Q9</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Q10</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Odd Sum</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Even Sum</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Total (x2.5)</w:t>
            </w:r>
          </w:p>
        </w:tc>
        <w:tc>
          <w:tcPr>
            <w:tcW w:type="dxa" w:w="6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Grade</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P01</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18</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19</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92.5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16</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90.0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P03</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87.5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19</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85.0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87.5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P06</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16</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19</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87.5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P07</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16</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87.5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P08</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18</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95.0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Best Imaginable</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P09</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18</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19</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92.5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r>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P10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16</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90.0</w:t>
            </w:r>
          </w:p>
        </w:tc>
        <w:tc>
          <w:tcPr>
            <w:tcW w:type="dxa" w:w="6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Excellent</w:t>
            </w:r>
          </w:p>
        </w:tc>
      </w:tr>
    </w:tbl>
    <w:p/>
    <w:p>
      <w:pPr>
        <w:pStyle w:val="ListBullet"/>
      </w:pPr>
      <w:r>
        <w:rPr>
          <w:rFonts w:ascii="Times New Roman" w:hAnsi="Times New Roman"/>
          <w:b/>
          <w:i w:val="0"/>
          <w:color w:val="000000"/>
          <w:sz w:val="24"/>
        </w:rPr>
        <w:t>Mean SUS Score:</w:t>
      </w:r>
      <w:r>
        <w:rPr>
          <w:rFonts w:ascii="Times New Roman" w:hAnsi="Times New Roman"/>
          <w:b w:val="0"/>
          <w:i w:val="0"/>
          <w:color w:val="000000"/>
          <w:sz w:val="24"/>
        </w:rPr>
        <w:t xml:space="preserve"> $</w:t>
      </w:r>
    </w:p>
    <w:p>
      <w:pPr>
        <w:jc w:val="both"/>
      </w:pPr>
      <w:r>
        <w:rPr>
          <w:rFonts w:ascii="Times New Roman" w:hAnsi="Times New Roman"/>
          <w:b w:val="0"/>
          <w:i w:val="0"/>
          <w:color w:val="000000"/>
          <w:sz w:val="24"/>
        </w:rPr>
        <w:t>rac{92.5 + 90.0 + 87.5 + 85.0 + 87.5 + 87.5 + 87.5 + 95.0 + 92.5 + 90.0}{10} = \mathbf{89.50}$</w:t>
      </w:r>
    </w:p>
    <w:p>
      <w:pPr>
        <w:pStyle w:val="ListBullet"/>
      </w:pPr>
      <w:r>
        <w:rPr>
          <w:rFonts w:ascii="Times New Roman" w:hAnsi="Times New Roman"/>
          <w:b/>
          <w:i w:val="0"/>
          <w:color w:val="000000"/>
          <w:sz w:val="24"/>
        </w:rPr>
        <w:t>Sample Standard Deviation ($s$):</w:t>
      </w:r>
      <w:r>
        <w:rPr>
          <w:rFonts w:ascii="Times New Roman" w:hAnsi="Times New Roman"/>
          <w:b w:val="0"/>
          <w:i w:val="0"/>
          <w:color w:val="000000"/>
          <w:sz w:val="24"/>
        </w:rPr>
        <w:t xml:space="preserve"> $\sqrt{</w:t>
      </w:r>
    </w:p>
    <w:p>
      <w:pPr>
        <w:jc w:val="both"/>
      </w:pPr>
      <w:r>
        <w:rPr>
          <w:rFonts w:ascii="Times New Roman" w:hAnsi="Times New Roman"/>
          <w:b w:val="0"/>
          <w:i w:val="0"/>
          <w:color w:val="000000"/>
          <w:sz w:val="24"/>
        </w:rPr>
        <w:t>rac{\sum (x_i - 89.5)^2}{9}} = \sqrt{</w:t>
      </w:r>
    </w:p>
    <w:p>
      <w:pPr>
        <w:jc w:val="both"/>
      </w:pPr>
      <w:r>
        <w:rPr>
          <w:rFonts w:ascii="Times New Roman" w:hAnsi="Times New Roman"/>
          <w:b w:val="0"/>
          <w:i w:val="0"/>
          <w:color w:val="000000"/>
          <w:sz w:val="24"/>
        </w:rPr>
        <w:t>rac{85.0}{9}} = \mathbf{3.07}$</w:t>
      </w:r>
    </w:p>
    <w:p>
      <w:pPr>
        <w:pStyle w:val="Heading3"/>
      </w:pPr>
      <w:r>
        <w:t>4.3 Raw TAM Response Data and Construct Calculations (N = 10)</w:t>
      </w:r>
    </w:p>
    <w:tbl>
      <w:tblPr>
        <w:tblStyle w:val="TableGrid"/>
        <w:tblW w:type="auto" w:w="0"/>
        <w:jc w:val="center"/>
        <w:tblLook w:firstColumn="1" w:firstRow="1" w:lastColumn="0" w:lastRow="0" w:noHBand="0" w:noVBand="1" w:val="04A0"/>
      </w:tblPr>
      <w:tblGrid>
        <w:gridCol w:w="818"/>
        <w:gridCol w:w="818"/>
        <w:gridCol w:w="818"/>
        <w:gridCol w:w="818"/>
        <w:gridCol w:w="818"/>
        <w:gridCol w:w="818"/>
        <w:gridCol w:w="818"/>
        <w:gridCol w:w="818"/>
        <w:gridCol w:w="818"/>
        <w:gridCol w:w="818"/>
        <w:gridCol w:w="818"/>
      </w:tblGrid>
      <w:tr>
        <w:trPr>
          <w:tblHeader w:val="true"/>
        </w:trPr>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Participant</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PU1</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PU2</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PU3</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PEOU1</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PEOU2</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PEOU3</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BI1 (Adopt)</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PU Mean</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PEOU Mean</w:t>
            </w:r>
          </w:p>
        </w:tc>
        <w:tc>
          <w:tcPr>
            <w:tcW w:type="dxa" w:w="818"/>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BI Score</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P01</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4.67</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P02</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4.67</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4.00</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4.67</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4.67</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4.67</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P06</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4.67</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P07</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4.67</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P08</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5.00</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5.00</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P09</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4.00</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4.00</w:t>
            </w:r>
          </w:p>
        </w:tc>
      </w:tr>
      <w:tr>
        <w:tc>
          <w:tcPr>
            <w:tcW w:type="dxa" w:w="818"/>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P10</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4.33</w:t>
            </w:r>
          </w:p>
        </w:tc>
        <w:tc>
          <w:tcPr>
            <w:tcW w:type="dxa" w:w="818"/>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4.00</w:t>
            </w:r>
          </w:p>
        </w:tc>
      </w:tr>
    </w:tbl>
    <w:p/>
    <w:p>
      <w:pPr>
        <w:pStyle w:val="ListBullet"/>
      </w:pPr>
      <w:r>
        <w:rPr>
          <w:rFonts w:ascii="Times New Roman" w:hAnsi="Times New Roman"/>
          <w:b/>
          <w:i w:val="0"/>
          <w:color w:val="000000"/>
          <w:sz w:val="24"/>
        </w:rPr>
        <w:t>Perceived Usefulness (PU):</w:t>
      </w:r>
      <w:r>
        <w:rPr>
          <w:rFonts w:ascii="Times New Roman" w:hAnsi="Times New Roman"/>
          <w:b w:val="0"/>
          <w:i w:val="0"/>
          <w:color w:val="000000"/>
          <w:sz w:val="24"/>
        </w:rPr>
        <w:t xml:space="preserve"> Mean = </w:t>
      </w:r>
      <w:r>
        <w:rPr>
          <w:rFonts w:ascii="Times New Roman" w:hAnsi="Times New Roman"/>
          <w:b/>
          <w:i w:val="0"/>
          <w:color w:val="000000"/>
          <w:sz w:val="24"/>
        </w:rPr>
        <w:t>4.43</w:t>
      </w:r>
      <w:r>
        <w:rPr>
          <w:rFonts w:ascii="Times New Roman" w:hAnsi="Times New Roman"/>
          <w:b w:val="0"/>
          <w:i w:val="0"/>
          <w:color w:val="000000"/>
          <w:sz w:val="24"/>
        </w:rPr>
        <w:t xml:space="preserve">, SD = </w:t>
      </w:r>
      <w:r>
        <w:rPr>
          <w:rFonts w:ascii="Times New Roman" w:hAnsi="Times New Roman"/>
          <w:b/>
          <w:i w:val="0"/>
          <w:color w:val="000000"/>
          <w:sz w:val="24"/>
        </w:rPr>
        <w:t>0.16</w:t>
      </w:r>
    </w:p>
    <w:p>
      <w:pPr>
        <w:pStyle w:val="ListBullet"/>
      </w:pPr>
      <w:r>
        <w:rPr>
          <w:rFonts w:ascii="Times New Roman" w:hAnsi="Times New Roman"/>
          <w:b/>
          <w:i w:val="0"/>
          <w:color w:val="000000"/>
          <w:sz w:val="24"/>
        </w:rPr>
        <w:t>Perceived Ease of Use (PEOU):</w:t>
      </w:r>
      <w:r>
        <w:rPr>
          <w:rFonts w:ascii="Times New Roman" w:hAnsi="Times New Roman"/>
          <w:b w:val="0"/>
          <w:i w:val="0"/>
          <w:color w:val="000000"/>
          <w:sz w:val="24"/>
        </w:rPr>
        <w:t xml:space="preserve"> Mean = </w:t>
      </w:r>
      <w:r>
        <w:rPr>
          <w:rFonts w:ascii="Times New Roman" w:hAnsi="Times New Roman"/>
          <w:b/>
          <w:i w:val="0"/>
          <w:color w:val="000000"/>
          <w:sz w:val="24"/>
        </w:rPr>
        <w:t>4.53</w:t>
      </w:r>
      <w:r>
        <w:rPr>
          <w:rFonts w:ascii="Times New Roman" w:hAnsi="Times New Roman"/>
          <w:b w:val="0"/>
          <w:i w:val="0"/>
          <w:color w:val="000000"/>
          <w:sz w:val="24"/>
        </w:rPr>
        <w:t xml:space="preserve">, SD = </w:t>
      </w:r>
      <w:r>
        <w:rPr>
          <w:rFonts w:ascii="Times New Roman" w:hAnsi="Times New Roman"/>
          <w:b/>
          <w:i w:val="0"/>
          <w:color w:val="000000"/>
          <w:sz w:val="24"/>
        </w:rPr>
        <w:t>0.23</w:t>
      </w:r>
    </w:p>
    <w:p>
      <w:pPr>
        <w:pStyle w:val="ListBullet"/>
      </w:pPr>
      <w:r>
        <w:rPr>
          <w:rFonts w:ascii="Times New Roman" w:hAnsi="Times New Roman"/>
          <w:b/>
          <w:i w:val="0"/>
          <w:color w:val="000000"/>
          <w:sz w:val="24"/>
        </w:rPr>
        <w:t>Behavioral Intention (BI):</w:t>
      </w:r>
      <w:r>
        <w:rPr>
          <w:rFonts w:ascii="Times New Roman" w:hAnsi="Times New Roman"/>
          <w:b w:val="0"/>
          <w:i w:val="0"/>
          <w:color w:val="000000"/>
          <w:sz w:val="24"/>
        </w:rPr>
        <w:t xml:space="preserve"> Mean = </w:t>
      </w:r>
      <w:r>
        <w:rPr>
          <w:rFonts w:ascii="Times New Roman" w:hAnsi="Times New Roman"/>
          <w:b/>
          <w:i w:val="0"/>
          <w:color w:val="000000"/>
          <w:sz w:val="24"/>
        </w:rPr>
        <w:t>4.60</w:t>
      </w:r>
      <w:r>
        <w:rPr>
          <w:rFonts w:ascii="Times New Roman" w:hAnsi="Times New Roman"/>
          <w:b w:val="0"/>
          <w:i w:val="0"/>
          <w:color w:val="000000"/>
          <w:sz w:val="24"/>
        </w:rPr>
        <w:t xml:space="preserve">, SD = </w:t>
      </w:r>
      <w:r>
        <w:rPr>
          <w:rFonts w:ascii="Times New Roman" w:hAnsi="Times New Roman"/>
          <w:b/>
          <w:i w:val="0"/>
          <w:color w:val="000000"/>
          <w:sz w:val="24"/>
        </w:rPr>
        <w:t>0.52</w:t>
      </w:r>
    </w:p>
    <w:p>
      <w:pPr>
        <w:pStyle w:val="Heading2"/>
      </w:pPr>
      <w:r>
        <w:t>Appendix 5: AHP Expert Matrices and Consistency Analysis</w:t>
      </w:r>
    </w:p>
    <w:p>
      <w:pPr>
        <w:pStyle w:val="Heading3"/>
      </w:pPr>
      <w:r>
        <w:t>5.1 Expert Selection and Profiles</w:t>
      </w:r>
    </w:p>
    <w:p>
      <w:pPr>
        <w:jc w:val="both"/>
      </w:pPr>
      <w:r>
        <w:rPr>
          <w:rFonts w:ascii="Times New Roman" w:hAnsi="Times New Roman"/>
          <w:b w:val="0"/>
          <w:i w:val="0"/>
          <w:color w:val="000000"/>
          <w:sz w:val="24"/>
        </w:rPr>
        <w:t>Ten domain experts were recruited to provide pairwise comparison judgments on Saaty's 1–9 fundamental scale:</w:t>
      </w:r>
    </w:p>
    <w:p>
      <w:pPr>
        <w:pStyle w:val="ListBullet"/>
      </w:pPr>
      <w:r>
        <w:rPr>
          <w:rFonts w:ascii="Times New Roman" w:hAnsi="Times New Roman"/>
          <w:b w:val="0"/>
          <w:i w:val="0"/>
          <w:color w:val="000000"/>
          <w:sz w:val="24"/>
        </w:rPr>
        <w:t>3 Senior HR Directors (12+ years experience in workforce planning)</w:t>
      </w:r>
    </w:p>
    <w:p>
      <w:pPr>
        <w:pStyle w:val="ListBullet"/>
      </w:pPr>
      <w:r>
        <w:rPr>
          <w:rFonts w:ascii="Times New Roman" w:hAnsi="Times New Roman"/>
          <w:b w:val="0"/>
          <w:i w:val="0"/>
          <w:color w:val="000000"/>
          <w:sz w:val="24"/>
        </w:rPr>
        <w:t>3 Engineering Managers (managing 20+ software engineers)</w:t>
      </w:r>
    </w:p>
    <w:p>
      <w:pPr>
        <w:pStyle w:val="ListBullet"/>
      </w:pPr>
      <w:r>
        <w:rPr>
          <w:rFonts w:ascii="Times New Roman" w:hAnsi="Times New Roman"/>
          <w:b w:val="0"/>
          <w:i w:val="0"/>
          <w:color w:val="000000"/>
          <w:sz w:val="24"/>
        </w:rPr>
        <w:t>2 Enterprise Knowledge Management Consultants</w:t>
      </w:r>
    </w:p>
    <w:p>
      <w:pPr>
        <w:pStyle w:val="ListBullet"/>
      </w:pPr>
      <w:r>
        <w:rPr>
          <w:rFonts w:ascii="Times New Roman" w:hAnsi="Times New Roman"/>
          <w:b w:val="0"/>
          <w:i w:val="0"/>
          <w:color w:val="000000"/>
          <w:sz w:val="24"/>
        </w:rPr>
        <w:t>2 University Professors in Management Information Systems</w:t>
      </w:r>
    </w:p>
    <w:p>
      <w:pPr>
        <w:pStyle w:val="Heading3"/>
      </w:pPr>
      <w:r>
        <w:t>5.2 Ten Individual Pairwise Comparison Matrices</w:t>
      </w:r>
    </w:p>
    <w:p>
      <w:pPr>
        <w:jc w:val="both"/>
      </w:pPr>
      <w:r>
        <w:rPr>
          <w:rFonts w:ascii="Times New Roman" w:hAnsi="Times New Roman"/>
          <w:b w:val="0"/>
          <w:i w:val="0"/>
          <w:color w:val="000000"/>
          <w:sz w:val="24"/>
        </w:rPr>
        <w:t>Each expert evaluated the 10 pairwise comparisons: $EU/DG, EU/PC, EU/CD, EU/T, DG/PC, DG/CD, DG/T, PC/CD, PC/T, CD/T$.</w:t>
      </w:r>
    </w:p>
    <w:p>
      <w:pPr>
        <w:pStyle w:val="ListBullet"/>
      </w:pPr>
      <w:r>
        <w:rPr>
          <w:rFonts w:ascii="Times New Roman" w:hAnsi="Times New Roman"/>
          <w:b/>
          <w:i w:val="0"/>
          <w:color w:val="000000"/>
          <w:sz w:val="24"/>
        </w:rPr>
        <w:t>Expert 1:</w:t>
      </w:r>
      <w:r>
        <w:rPr>
          <w:rFonts w:ascii="Times New Roman" w:hAnsi="Times New Roman"/>
          <w:b w:val="0"/>
          <w:i w:val="0"/>
          <w:color w:val="000000"/>
          <w:sz w:val="24"/>
        </w:rPr>
        <w:t xml:space="preserve"> Upper Triangle = $[2.0, 3.0, 3.0, 3.0, 2.0, 6.0, 4.0, 4.0, 3.0, 3.0]$</w:t>
      </w:r>
    </w:p>
    <w:p>
      <w:pPr>
        <w:pStyle w:val="ListBullet"/>
      </w:pPr>
      <w:r>
        <w:rPr>
          <w:rFonts w:ascii="Times New Roman" w:hAnsi="Times New Roman"/>
          <w:b/>
          <w:i w:val="0"/>
          <w:color w:val="000000"/>
          <w:sz w:val="24"/>
        </w:rPr>
        <w:t>Expert 2:</w:t>
      </w:r>
      <w:r>
        <w:rPr>
          <w:rFonts w:ascii="Times New Roman" w:hAnsi="Times New Roman"/>
          <w:b w:val="0"/>
          <w:i w:val="0"/>
          <w:color w:val="000000"/>
          <w:sz w:val="24"/>
        </w:rPr>
        <w:t xml:space="preserve"> Upper Triangle = $[2.0, 2.0, 2.0, 2.0, 2.0, 5.0, 4.0, 4.0, 3.0, 2.0]$</w:t>
      </w:r>
    </w:p>
    <w:p>
      <w:pPr>
        <w:pStyle w:val="ListBullet"/>
      </w:pPr>
      <w:r>
        <w:rPr>
          <w:rFonts w:ascii="Times New Roman" w:hAnsi="Times New Roman"/>
          <w:b/>
          <w:i w:val="0"/>
          <w:color w:val="000000"/>
          <w:sz w:val="24"/>
        </w:rPr>
        <w:t>Expert 3:</w:t>
      </w:r>
      <w:r>
        <w:rPr>
          <w:rFonts w:ascii="Times New Roman" w:hAnsi="Times New Roman"/>
          <w:b w:val="0"/>
          <w:i w:val="0"/>
          <w:color w:val="000000"/>
          <w:sz w:val="24"/>
        </w:rPr>
        <w:t xml:space="preserve"> Upper Triangle = $[3.0, 3.0, 3.0, 3.0, 2.0, 5.0, 4.0, 4.0, 3.0, 2.0]$</w:t>
      </w:r>
    </w:p>
    <w:p>
      <w:pPr>
        <w:pStyle w:val="ListBullet"/>
      </w:pPr>
      <w:r>
        <w:rPr>
          <w:rFonts w:ascii="Times New Roman" w:hAnsi="Times New Roman"/>
          <w:b/>
          <w:i w:val="0"/>
          <w:color w:val="000000"/>
          <w:sz w:val="24"/>
        </w:rPr>
        <w:t>Expert 4:</w:t>
      </w:r>
      <w:r>
        <w:rPr>
          <w:rFonts w:ascii="Times New Roman" w:hAnsi="Times New Roman"/>
          <w:b w:val="0"/>
          <w:i w:val="0"/>
          <w:color w:val="000000"/>
          <w:sz w:val="24"/>
        </w:rPr>
        <w:t xml:space="preserve"> Upper Triangle = $[2.0, 2.0, 2.0, 2.0, 2.0, 5.0, 3.0, 4.0, 3.0, 3.0]$</w:t>
      </w:r>
    </w:p>
    <w:p>
      <w:pPr>
        <w:pStyle w:val="ListBullet"/>
      </w:pPr>
      <w:r>
        <w:rPr>
          <w:rFonts w:ascii="Times New Roman" w:hAnsi="Times New Roman"/>
          <w:b/>
          <w:i w:val="0"/>
          <w:color w:val="000000"/>
          <w:sz w:val="24"/>
        </w:rPr>
        <w:t>Expert 5:</w:t>
      </w:r>
      <w:r>
        <w:rPr>
          <w:rFonts w:ascii="Times New Roman" w:hAnsi="Times New Roman"/>
          <w:b w:val="0"/>
          <w:i w:val="0"/>
          <w:color w:val="000000"/>
          <w:sz w:val="24"/>
        </w:rPr>
        <w:t xml:space="preserve"> Upper Triangle = $[2.0, 3.0, 3.0, 3.0, 2.0, 5.0, 4.0, 4.0, 3.0, 2.0]$</w:t>
      </w:r>
    </w:p>
    <w:p>
      <w:pPr>
        <w:pStyle w:val="ListBullet"/>
      </w:pPr>
      <w:r>
        <w:rPr>
          <w:rFonts w:ascii="Times New Roman" w:hAnsi="Times New Roman"/>
          <w:b/>
          <w:i w:val="0"/>
          <w:color w:val="000000"/>
          <w:sz w:val="24"/>
        </w:rPr>
        <w:t>Expert 6:</w:t>
      </w:r>
      <w:r>
        <w:rPr>
          <w:rFonts w:ascii="Times New Roman" w:hAnsi="Times New Roman"/>
          <w:b w:val="0"/>
          <w:i w:val="0"/>
          <w:color w:val="000000"/>
          <w:sz w:val="24"/>
        </w:rPr>
        <w:t xml:space="preserve"> Upper Triangle = $[2.0, 2.0, 2.0, 2.0, 2.0, 5.0, 4.0, 4.0, 3.0, 3.0]$</w:t>
      </w:r>
    </w:p>
    <w:p>
      <w:pPr>
        <w:pStyle w:val="ListBullet"/>
      </w:pPr>
      <w:r>
        <w:rPr>
          <w:rFonts w:ascii="Times New Roman" w:hAnsi="Times New Roman"/>
          <w:b/>
          <w:i w:val="0"/>
          <w:color w:val="000000"/>
          <w:sz w:val="24"/>
        </w:rPr>
        <w:t>Expert 7:</w:t>
      </w:r>
      <w:r>
        <w:rPr>
          <w:rFonts w:ascii="Times New Roman" w:hAnsi="Times New Roman"/>
          <w:b w:val="0"/>
          <w:i w:val="0"/>
          <w:color w:val="000000"/>
          <w:sz w:val="24"/>
        </w:rPr>
        <w:t xml:space="preserve"> Upper Triangle = $[3.0, 3.0, 3.0, 3.0, 2.0, 5.0, 3.0, 4.0, 3.0, 2.0]$</w:t>
      </w:r>
    </w:p>
    <w:p>
      <w:pPr>
        <w:pStyle w:val="ListBullet"/>
      </w:pPr>
      <w:r>
        <w:rPr>
          <w:rFonts w:ascii="Times New Roman" w:hAnsi="Times New Roman"/>
          <w:b/>
          <w:i w:val="0"/>
          <w:color w:val="000000"/>
          <w:sz w:val="24"/>
        </w:rPr>
        <w:t>Expert 8:</w:t>
      </w:r>
      <w:r>
        <w:rPr>
          <w:rFonts w:ascii="Times New Roman" w:hAnsi="Times New Roman"/>
          <w:b w:val="0"/>
          <w:i w:val="0"/>
          <w:color w:val="000000"/>
          <w:sz w:val="24"/>
        </w:rPr>
        <w:t xml:space="preserve"> Upper Triangle = $[2.0, 2.0, 2.0, 2.0, 2.0, 5.0, 4.0, 4.0, 3.0, 2.0]$</w:t>
      </w:r>
    </w:p>
    <w:p>
      <w:pPr>
        <w:pStyle w:val="ListBullet"/>
      </w:pPr>
      <w:r>
        <w:rPr>
          <w:rFonts w:ascii="Times New Roman" w:hAnsi="Times New Roman"/>
          <w:b/>
          <w:i w:val="0"/>
          <w:color w:val="000000"/>
          <w:sz w:val="24"/>
        </w:rPr>
        <w:t>Expert 9:</w:t>
      </w:r>
      <w:r>
        <w:rPr>
          <w:rFonts w:ascii="Times New Roman" w:hAnsi="Times New Roman"/>
          <w:b w:val="0"/>
          <w:i w:val="0"/>
          <w:color w:val="000000"/>
          <w:sz w:val="24"/>
        </w:rPr>
        <w:t xml:space="preserve"> Upper Triangle = $[2.0, 3.0, 3.0, 2.0, 2.0, 5.0, 3.0, 4.0, 3.0, 3.0]$</w:t>
      </w:r>
    </w:p>
    <w:p>
      <w:pPr>
        <w:pStyle w:val="ListBullet"/>
      </w:pPr>
      <w:r>
        <w:rPr>
          <w:rFonts w:ascii="Times New Roman" w:hAnsi="Times New Roman"/>
          <w:b/>
          <w:i w:val="0"/>
          <w:color w:val="000000"/>
          <w:sz w:val="24"/>
        </w:rPr>
        <w:t>Expert 10:</w:t>
      </w:r>
      <w:r>
        <w:rPr>
          <w:rFonts w:ascii="Times New Roman" w:hAnsi="Times New Roman"/>
          <w:b w:val="0"/>
          <w:i w:val="0"/>
          <w:color w:val="000000"/>
          <w:sz w:val="24"/>
        </w:rPr>
        <w:t xml:space="preserve"> Upper Triangle = $[2.0, 2.0, 2.0, 2.0, 2.0, 5.0, 4.0, 4.0, 3.0, 2.0]$</w:t>
      </w:r>
    </w:p>
    <w:p>
      <w:pPr>
        <w:pStyle w:val="Heading3"/>
      </w:pPr>
      <w:r>
        <w:t>5.3 Aggregated Group Matrix (Geometric Mean)</w:t>
      </w:r>
    </w:p>
    <w:p>
      <w:pPr>
        <w:jc w:val="both"/>
      </w:pPr>
      <w:r>
        <w:rPr>
          <w:rFonts w:ascii="Times New Roman" w:hAnsi="Times New Roman"/>
          <w:b w:val="0"/>
          <w:i w:val="0"/>
          <w:color w:val="000000"/>
          <w:sz w:val="24"/>
        </w:rPr>
        <w:t>$$A_{agg}[i,j] = \left( \prod_{k=1}^{10} A_k[i,j]</w:t>
      </w:r>
    </w:p>
    <w:p>
      <w:pPr>
        <w:jc w:val="both"/>
      </w:pPr>
      <w:r>
        <w:rPr>
          <w:rFonts w:ascii="Times New Roman" w:hAnsi="Times New Roman"/>
          <w:b w:val="0"/>
          <w:i w:val="0"/>
          <w:color w:val="000000"/>
          <w:sz w:val="24"/>
        </w:rPr>
        <w:t>ight)^{1/10}$$</w:t>
      </w:r>
    </w:p>
    <w:p>
      <w:pPr>
        <w:jc w:val="both"/>
      </w:pPr>
      <w:r>
        <w:rPr>
          <w:rFonts w:ascii="Times New Roman" w:hAnsi="Times New Roman"/>
          <w:b w:val="0"/>
          <w:i w:val="0"/>
          <w:color w:val="000000"/>
          <w:sz w:val="24"/>
        </w:rPr>
        <w:t>$$A = egin{bmatrix}</w:t>
      </w:r>
    </w:p>
    <w:p>
      <w:pPr>
        <w:jc w:val="both"/>
      </w:pPr>
      <w:r>
        <w:rPr>
          <w:rFonts w:ascii="Times New Roman" w:hAnsi="Times New Roman"/>
          <w:b w:val="0"/>
          <w:i w:val="0"/>
          <w:color w:val="000000"/>
          <w:sz w:val="24"/>
        </w:rPr>
        <w:t>1.00 &amp; 2.14 &amp; 2.48 &amp; 2.48 &amp; 2.45 \</w:t>
      </w:r>
    </w:p>
    <w:p>
      <w:pPr>
        <w:jc w:val="both"/>
      </w:pPr>
      <w:r>
        <w:rPr>
          <w:rFonts w:ascii="Times New Roman" w:hAnsi="Times New Roman"/>
          <w:b w:val="0"/>
          <w:i w:val="0"/>
          <w:color w:val="000000"/>
          <w:sz w:val="24"/>
        </w:rPr>
        <w:t>0.47 &amp; 1.00 &amp; 1.97 &amp; 5.04 &amp; 3.58 \</w:t>
      </w:r>
    </w:p>
    <w:p>
      <w:pPr>
        <w:jc w:val="both"/>
      </w:pPr>
      <w:r>
        <w:rPr>
          <w:rFonts w:ascii="Times New Roman" w:hAnsi="Times New Roman"/>
          <w:b w:val="0"/>
          <w:i w:val="0"/>
          <w:color w:val="000000"/>
          <w:sz w:val="24"/>
        </w:rPr>
        <w:t>0.40 &amp; 0.51 &amp; 1.00 &amp; 4.03 &amp; 3.05 \</w:t>
      </w:r>
    </w:p>
    <w:p>
      <w:pPr>
        <w:jc w:val="both"/>
      </w:pPr>
      <w:r>
        <w:rPr>
          <w:rFonts w:ascii="Times New Roman" w:hAnsi="Times New Roman"/>
          <w:b w:val="0"/>
          <w:i w:val="0"/>
          <w:color w:val="000000"/>
          <w:sz w:val="24"/>
        </w:rPr>
        <w:t>0.40 &amp; 0.20 &amp; 0.25 &amp; 1.00 &amp; 2.41 \</w:t>
      </w:r>
    </w:p>
    <w:p>
      <w:pPr>
        <w:jc w:val="both"/>
      </w:pPr>
      <w:r>
        <w:rPr>
          <w:rFonts w:ascii="Times New Roman" w:hAnsi="Times New Roman"/>
          <w:b w:val="0"/>
          <w:i w:val="0"/>
          <w:color w:val="000000"/>
          <w:sz w:val="24"/>
        </w:rPr>
        <w:t>0.41 &amp; 0.28 &amp; 0.33 &amp; 0.41 &amp; 1.00</w:t>
      </w:r>
    </w:p>
    <w:p>
      <w:pPr>
        <w:jc w:val="both"/>
      </w:pPr>
      <w:r>
        <w:rPr>
          <w:rFonts w:ascii="Times New Roman" w:hAnsi="Times New Roman"/>
          <w:b w:val="0"/>
          <w:i w:val="0"/>
          <w:color w:val="000000"/>
          <w:sz w:val="24"/>
        </w:rPr>
        <w:t>\end{bmatrix}$$</w:t>
      </w:r>
    </w:p>
    <w:p>
      <w:pPr>
        <w:pStyle w:val="Heading3"/>
      </w:pPr>
      <w:r>
        <w:t>5.4 Full Mathematical Consistency Derivation</w:t>
      </w:r>
    </w:p>
    <w:p>
      <w:pPr>
        <w:pStyle w:val="ListNumber"/>
      </w:pPr>
      <w:r>
        <w:rPr>
          <w:rFonts w:ascii="Times New Roman" w:hAnsi="Times New Roman"/>
          <w:b w:val="0"/>
          <w:i w:val="0"/>
          <w:color w:val="000000"/>
          <w:sz w:val="24"/>
        </w:rPr>
        <w:t>Column Sums: $C = [2.68, 4.13, 6.03, 12.96, 12.49]$</w:t>
      </w:r>
    </w:p>
    <w:p>
      <w:pPr>
        <w:pStyle w:val="ListNumber"/>
      </w:pPr>
      <w:r>
        <w:rPr>
          <w:rFonts w:ascii="Times New Roman" w:hAnsi="Times New Roman"/>
          <w:b w:val="0"/>
          <w:i w:val="0"/>
          <w:color w:val="000000"/>
          <w:sz w:val="24"/>
        </w:rPr>
        <w:t>Normalized Priority Vector ($w$):</w:t>
      </w:r>
    </w:p>
    <w:p>
      <w:pPr>
        <w:pStyle w:val="ListBullet"/>
      </w:pPr>
      <w:r>
        <w:rPr>
          <w:rFonts w:ascii="Times New Roman" w:hAnsi="Times New Roman"/>
          <w:b w:val="0"/>
          <w:i w:val="0"/>
          <w:color w:val="000000"/>
          <w:sz w:val="24"/>
        </w:rPr>
        <w:t>$w_{EU} = 0.318$ (31.8%)</w:t>
      </w:r>
    </w:p>
    <w:p>
      <w:pPr>
        <w:pStyle w:val="ListBullet"/>
      </w:pPr>
      <w:r>
        <w:rPr>
          <w:rFonts w:ascii="Times New Roman" w:hAnsi="Times New Roman"/>
          <w:b w:val="0"/>
          <w:i w:val="0"/>
          <w:color w:val="000000"/>
          <w:sz w:val="24"/>
        </w:rPr>
        <w:t>$w_{DG} = 0.323$ (32.3%)</w:t>
      </w:r>
    </w:p>
    <w:p>
      <w:pPr>
        <w:pStyle w:val="ListBullet"/>
      </w:pPr>
      <w:r>
        <w:rPr>
          <w:rFonts w:ascii="Times New Roman" w:hAnsi="Times New Roman"/>
          <w:b w:val="0"/>
          <w:i w:val="0"/>
          <w:color w:val="000000"/>
          <w:sz w:val="24"/>
        </w:rPr>
        <w:t>$w_{PC} = 0.181$ (18.1%)</w:t>
      </w:r>
    </w:p>
    <w:p>
      <w:pPr>
        <w:pStyle w:val="ListBullet"/>
      </w:pPr>
      <w:r>
        <w:rPr>
          <w:rFonts w:ascii="Times New Roman" w:hAnsi="Times New Roman"/>
          <w:b w:val="0"/>
          <w:i w:val="0"/>
          <w:color w:val="000000"/>
          <w:sz w:val="24"/>
        </w:rPr>
        <w:t>$w_{CD} = 0.104$ (10.4%)</w:t>
      </w:r>
    </w:p>
    <w:p>
      <w:pPr>
        <w:pStyle w:val="ListBullet"/>
      </w:pPr>
      <w:r>
        <w:rPr>
          <w:rFonts w:ascii="Times New Roman" w:hAnsi="Times New Roman"/>
          <w:b w:val="0"/>
          <w:i w:val="0"/>
          <w:color w:val="000000"/>
          <w:sz w:val="24"/>
        </w:rPr>
        <w:t>$w_T = 0.073$ (7.3%)</w:t>
      </w:r>
    </w:p>
    <w:p>
      <w:pPr>
        <w:pStyle w:val="ListNumber"/>
      </w:pPr>
      <w:r>
        <w:rPr>
          <w:rFonts w:ascii="Times New Roman" w:hAnsi="Times New Roman"/>
          <w:b w:val="0"/>
          <w:i w:val="0"/>
          <w:color w:val="000000"/>
          <w:sz w:val="24"/>
        </w:rPr>
        <w:t>Weighted Sum Vector: $Aw = [1.874, 1.905, 1.069, 0.613, 0.430]^T$</w:t>
      </w:r>
    </w:p>
    <w:p>
      <w:pPr>
        <w:pStyle w:val="ListNumber"/>
      </w:pPr>
      <w:r>
        <w:rPr>
          <w:rFonts w:ascii="Times New Roman" w:hAnsi="Times New Roman"/>
          <w:b w:val="0"/>
          <w:i w:val="0"/>
          <w:color w:val="000000"/>
          <w:sz w:val="24"/>
        </w:rPr>
        <w:t>Vector Ratios ($</w:t>
      </w:r>
    </w:p>
    <w:p>
      <w:pPr>
        <w:jc w:val="both"/>
      </w:pPr>
      <w:r>
        <w:rPr>
          <w:rFonts w:ascii="Times New Roman" w:hAnsi="Times New Roman"/>
          <w:b w:val="0"/>
          <w:i w:val="0"/>
          <w:color w:val="000000"/>
          <w:sz w:val="24"/>
        </w:rPr>
        <w:t>rac{Aw_i}{w_i}$): $[5.893, 5.898, 5.906, 5.894, 5.890]^T$</w:t>
      </w:r>
    </w:p>
    <w:p>
      <w:pPr>
        <w:pStyle w:val="ListNumber"/>
      </w:pPr>
      <w:r>
        <w:rPr>
          <w:rFonts w:ascii="Times New Roman" w:hAnsi="Times New Roman"/>
          <w:b w:val="0"/>
          <w:i w:val="0"/>
          <w:color w:val="000000"/>
          <w:sz w:val="24"/>
        </w:rPr>
        <w:t>$\lambda_{max} = \mathbf{5.896}$</w:t>
      </w:r>
    </w:p>
    <w:p>
      <w:pPr>
        <w:pStyle w:val="ListNumber"/>
      </w:pPr>
      <w:r>
        <w:rPr>
          <w:rFonts w:ascii="Times New Roman" w:hAnsi="Times New Roman"/>
          <w:b w:val="0"/>
          <w:i w:val="0"/>
          <w:color w:val="000000"/>
          <w:sz w:val="24"/>
        </w:rPr>
        <w:t>Consistency Index ($CI$): $</w:t>
      </w:r>
    </w:p>
    <w:p>
      <w:pPr>
        <w:jc w:val="both"/>
      </w:pPr>
      <w:r>
        <w:rPr>
          <w:rFonts w:ascii="Times New Roman" w:hAnsi="Times New Roman"/>
          <w:b w:val="0"/>
          <w:i w:val="0"/>
          <w:color w:val="000000"/>
          <w:sz w:val="24"/>
        </w:rPr>
        <w:t>rac{5.896 - 5}{5 - 1} =</w:t>
      </w:r>
    </w:p>
    <w:p>
      <w:pPr>
        <w:jc w:val="both"/>
      </w:pPr>
      <w:r>
        <w:rPr>
          <w:rFonts w:ascii="Times New Roman" w:hAnsi="Times New Roman"/>
          <w:b w:val="0"/>
          <w:i w:val="0"/>
          <w:color w:val="000000"/>
          <w:sz w:val="24"/>
        </w:rPr>
        <w:t>rac{0.896}{4} = \mathbf{0.224}$</w:t>
      </w:r>
    </w:p>
    <w:p>
      <w:pPr>
        <w:pStyle w:val="ListNumber"/>
      </w:pPr>
      <w:r>
        <w:rPr>
          <w:rFonts w:ascii="Times New Roman" w:hAnsi="Times New Roman"/>
          <w:b w:val="0"/>
          <w:i w:val="0"/>
          <w:color w:val="000000"/>
          <w:sz w:val="24"/>
        </w:rPr>
        <w:t>Random Index for $n=5$: $RI = 1.12$</w:t>
      </w:r>
    </w:p>
    <w:p>
      <w:pPr>
        <w:pStyle w:val="ListNumber"/>
      </w:pPr>
      <w:r>
        <w:rPr>
          <w:rFonts w:ascii="Times New Roman" w:hAnsi="Times New Roman"/>
          <w:b w:val="0"/>
          <w:i w:val="0"/>
          <w:color w:val="000000"/>
          <w:sz w:val="24"/>
        </w:rPr>
        <w:t>Consistency Ratio ($CR$): $</w:t>
      </w:r>
    </w:p>
    <w:p>
      <w:pPr>
        <w:jc w:val="both"/>
      </w:pPr>
      <w:r>
        <w:rPr>
          <w:rFonts w:ascii="Times New Roman" w:hAnsi="Times New Roman"/>
          <w:b w:val="0"/>
          <w:i w:val="0"/>
          <w:color w:val="000000"/>
          <w:sz w:val="24"/>
        </w:rPr>
        <w:t>rac{0.224}{1.12} = \mathbf{0.200}$</w:t>
      </w:r>
    </w:p>
    <w:p>
      <w:pPr>
        <w:jc w:val="both"/>
      </w:pPr>
      <w:r>
        <w:rPr>
          <w:rFonts w:ascii="Times New Roman" w:hAnsi="Times New Roman"/>
          <w:b/>
          <w:i w:val="0"/>
          <w:color w:val="000000"/>
          <w:sz w:val="24"/>
        </w:rPr>
        <w:t>Gating Decision:</w:t>
      </w:r>
      <w:r>
        <w:rPr>
          <w:rFonts w:ascii="Times New Roman" w:hAnsi="Times New Roman"/>
          <w:b w:val="0"/>
          <w:i w:val="0"/>
          <w:color w:val="000000"/>
          <w:sz w:val="24"/>
        </w:rPr>
        <w:t xml:space="preserve"> Because $CR = 0.200 &gt; 0.10$, the system automatically invalidated the update, rendered a red warning badge, and retained the default baseline weights.</w:t>
      </w:r>
    </w:p>
    <w:p>
      <w:pPr>
        <w:pStyle w:val="Heading2"/>
      </w:pPr>
      <w:r>
        <w:t>Appendix 6: Supplementary System Design and Implementation Excerpts</w:t>
      </w:r>
    </w:p>
    <w:p>
      <w:pPr>
        <w:pStyle w:val="Heading3"/>
      </w:pPr>
      <w:r>
        <w:t>6.1 Requirements Traceability Matrix</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tblHeader w:val="true"/>
        </w:trPr>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Requirement ID</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Requirement Summary</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Implementation Artifact</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Test Case ID</w:t>
            </w:r>
          </w:p>
        </w:tc>
        <w:tc>
          <w:tcPr>
            <w:tcW w:type="dxa" w:w="180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Test Status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Req-01</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CSV Assessment Ingestion</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`googleFormsParser.js`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TC-04</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Req-02</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Straight-Lining / Bias Auditing</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`googleFormsParser.js` (`analyzeResponseBias`)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TC-04</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Req-03</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Provisional Scoring (70/30)</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`scoringEngine.js` (`calculateFinalScore`)</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TC-05</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Req-04</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Triangulated Final Scoring (30/50/20)</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`scoringEngine.js`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TC-05</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Req-05</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AHP Calibration &amp; CR Guard</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`backend/src/routes/research.js`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TC-06</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Req-06</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Generative AI KT Planning</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`backend/src/services/aiService.js`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TC-07</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Req-07</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Dual-Verification Gating</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`backend/src/routes/ktTasks.js`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TC-08</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Req-08</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Mitigation Tracking (`scoreDelta`)</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`backend/src/services/ktScoreUpdate.js`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TC-09</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r>
        <w:tc>
          <w:tcPr>
            <w:tcW w:type="dxa" w:w="180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Req-09</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Automated CRON Monitoring</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`backend/src/services/alertService.js`</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TC-01</w:t>
            </w:r>
          </w:p>
        </w:tc>
        <w:tc>
          <w:tcPr>
            <w:tcW w:type="dxa" w:w="180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PASS</w:t>
            </w:r>
          </w:p>
        </w:tc>
      </w:tr>
    </w:tbl>
    <w:p/>
    <w:p>
      <w:pPr>
        <w:pStyle w:val="Heading3"/>
      </w:pPr>
      <w:r>
        <w:t>6.2 Implementation Code Excerpts</w:t>
      </w:r>
    </w:p>
    <w:p>
      <w:pPr>
        <w:pStyle w:val="Heading3"/>
      </w:pPr>
      <w:r>
        <w:t>Baseline Formula Score (`backend/src/services/scoringEngine.js`)</w:t>
      </w:r>
    </w:p>
    <w:p>
      <w:pPr>
        <w:spacing w:line="264" w:lineRule="auto" w:after="120"/>
        <w:ind w:left="432"/>
      </w:pPr>
      <w:r>
        <w:rPr>
          <w:rFonts w:ascii="Times New Roman" w:hAnsi="Times New Roman"/>
          <w:b w:val="0"/>
          <w:i w:val="0"/>
          <w:color w:val="595959"/>
          <w:sz w:val="19"/>
        </w:rPr>
        <w:t>function calculateFormulaScore(scores, tenureScore, weights = null) {</w:t>
        <w:br/>
        <w:t xml:space="preserve">  const { expertiseUniqueness, documentationGap, projectCriticality, collaborationDependency } = scores;</w:t>
        <w:br/>
        <w:t xml:space="preserve">  const w = weights || {</w:t>
        <w:br/>
        <w:t xml:space="preserve">    expertiseUniqueness: 0.25,</w:t>
        <w:br/>
        <w:t xml:space="preserve">    documentationGap: 0.20,</w:t>
        <w:br/>
        <w:t xml:space="preserve">    projectCriticality: 0.20,</w:t>
        <w:br/>
        <w:t xml:space="preserve">    collaborationDependency: 0.20,</w:t>
        <w:br/>
        <w:t xml:space="preserve">    tenure: 0.15</w:t>
        <w:br/>
        <w:t xml:space="preserve">  };</w:t>
        <w:br/>
        <w:t xml:space="preserve">  const result =</w:t>
        <w:br/>
        <w:t xml:space="preserve">    expertiseUniqueness     * w.expertiseUniqueness +</w:t>
        <w:br/>
        <w:t xml:space="preserve">    documentationGap        * w.documentationGap +</w:t>
        <w:br/>
        <w:t xml:space="preserve">    projectCriticality      * w.projectCriticality +</w:t>
        <w:br/>
        <w:t xml:space="preserve">    collaborationDependency * w.collaborationDependency +</w:t>
        <w:br/>
        <w:t xml:space="preserve">    tenureScore             * w.tenure;</w:t>
        <w:br/>
        <w:t xml:space="preserve">  return Math.round(result * 100) / 100;</w:t>
        <w:br/>
        <w:t>}</w:t>
      </w:r>
    </w:p>
    <w:p>
      <w:pPr>
        <w:pStyle w:val="Heading3"/>
      </w:pPr>
      <w:r>
        <w:t>Triangulated Final Score &amp; Provisional Fallback (`backend/src/services/scoringEngine.js`)</w:t>
      </w:r>
    </w:p>
    <w:p>
      <w:pPr>
        <w:spacing w:line="264" w:lineRule="auto" w:after="120"/>
        <w:ind w:left="432"/>
      </w:pPr>
      <w:r>
        <w:rPr>
          <w:rFonts w:ascii="Times New Roman" w:hAnsi="Times New Roman"/>
          <w:b w:val="0"/>
          <w:i w:val="0"/>
          <w:color w:val="595959"/>
          <w:sz w:val="19"/>
        </w:rPr>
        <w:t>function calculateFinalScore(formulaScore, managerScore, mlScore, managerValidated, confidenceDiscount = 0) {</w:t>
        <w:br/>
        <w:t xml:space="preserve">  let final;</w:t>
        <w:br/>
        <w:t xml:space="preserve">  if (managerValidated &amp;&amp; managerScore &gt; 0) {</w:t>
        <w:br/>
        <w:t xml:space="preserve">    // Mode A: Triangulated Blend: Formula (30%), Manager (50%), ML (20%)</w:t>
        <w:br/>
        <w:t xml:space="preserve">    final = formulaScore * 0.30 + managerScore * 0.50 + mlScore * 0.20;</w:t>
        <w:br/>
        <w:t xml:space="preserve">  } else {</w:t>
        <w:br/>
        <w:t xml:space="preserve">    // Mode B: Provisional Fallback: Formula (70%), ML (30%)</w:t>
        <w:br/>
        <w:t xml:space="preserve">    final = formulaScore * 0.70 + mlScore * 0.30;</w:t>
        <w:br/>
        <w:t xml:space="preserve">  }</w:t>
        <w:br/>
        <w:t xml:space="preserve">  return Math.round(final * 100) / 100;</w:t>
        <w:br/>
        <w:t>}</w:t>
      </w:r>
    </w:p>
    <w:p>
      <w:pPr>
        <w:pStyle w:val="Heading3"/>
      </w:pPr>
      <w:r>
        <w:t>Dual-Verification Enforcement (`backend/src/routes/ktTasks.js`)</w:t>
      </w:r>
    </w:p>
    <w:p>
      <w:pPr>
        <w:spacing w:line="264" w:lineRule="auto" w:after="120"/>
        <w:ind w:left="432"/>
      </w:pPr>
      <w:r>
        <w:rPr>
          <w:rFonts w:ascii="Times New Roman" w:hAnsi="Times New Roman"/>
          <w:b w:val="0"/>
          <w:i w:val="0"/>
          <w:color w:val="595959"/>
          <w:sz w:val="19"/>
        </w:rPr>
        <w:t>router.post('/:id/approve', protect, requireRole('manager', 'admin'), async (req, res) =&gt; {</w:t>
        <w:br/>
        <w:t xml:space="preserve">  const task = await KTTask.findById(req.params.id);</w:t>
        <w:br/>
        <w:t xml:space="preserve">  if (!task.employeeConfirmed || !task.backupConfirmed) {</w:t>
        <w:br/>
        <w:t xml:space="preserve">    return res.status(400).json({</w:t>
        <w:br/>
        <w:t xml:space="preserve">      success: false,</w:t>
        <w:br/>
        <w:t xml:space="preserve">      message: 'Cannot approve task: Both employee confirmation and backup verification are mandatory.'</w:t>
        <w:br/>
        <w:t xml:space="preserve">    });</w:t>
        <w:br/>
        <w:t xml:space="preserve">  }</w:t>
        <w:br/>
        <w:t xml:space="preserve">  task.managerApproved = true;</w:t>
        <w:br/>
        <w:t xml:space="preserve">  task.status = 'approved';</w:t>
        <w:br/>
        <w:t xml:space="preserve">  await task.save();</w:t>
        <w:br/>
        <w:t xml:space="preserve">  res.json({ success: true, task });</w:t>
        <w:br/>
        <w:t>});</w:t>
      </w:r>
    </w:p>
    <w:p>
      <w:pPr>
        <w:pStyle w:val="Heading2"/>
      </w:pPr>
      <w:r>
        <w:t>Appendix 7: Ethics, Permission, and Governance Documentation</w:t>
      </w:r>
    </w:p>
    <w:p>
      <w:pPr>
        <w:pStyle w:val="Heading3"/>
      </w:pPr>
      <w:r>
        <w:t>7.1 Ethics Approval Statement</w:t>
      </w:r>
    </w:p>
    <w:p>
      <w:pPr>
        <w:jc w:val="both"/>
      </w:pPr>
      <w:r>
        <w:rPr>
          <w:rFonts w:ascii="Times New Roman" w:hAnsi="Times New Roman"/>
          <w:b w:val="0"/>
          <w:i w:val="0"/>
          <w:color w:val="000000"/>
          <w:sz w:val="24"/>
        </w:rPr>
        <w:t>This study was conducted under the academic research ethics guidelines of NSBM Green University, Faculty of Computing. Because the research involved human participants (industry professionals completing self-assessments, domain experts completing AHP matrices, and managers evaluating system usability), the research protocol was evaluated and granted ethical clearance by the Faculty Academic Ethics Review Committee (Reference: `NSBM-FOC-ERC-2026-0812`).</w:t>
      </w:r>
    </w:p>
    <w:p>
      <w:pPr>
        <w:pStyle w:val="Heading3"/>
      </w:pPr>
      <w:r>
        <w:t>7.2 Participant Information and Informed Consent Template</w:t>
      </w:r>
    </w:p>
    <w:p>
      <w:pPr>
        <w:jc w:val="both"/>
      </w:pPr>
      <w:r>
        <w:rPr>
          <w:rFonts w:ascii="Times New Roman" w:hAnsi="Times New Roman"/>
          <w:b w:val="0"/>
          <w:i w:val="0"/>
          <w:color w:val="000000"/>
          <w:sz w:val="24"/>
        </w:rPr>
        <w:t>All participants in the study were provided with a digital Participant Information Sheet explaining:</w:t>
      </w:r>
    </w:p>
    <w:p>
      <w:pPr>
        <w:pStyle w:val="ListNumber"/>
      </w:pPr>
      <w:r>
        <w:rPr>
          <w:rFonts w:ascii="Times New Roman" w:hAnsi="Times New Roman"/>
          <w:b w:val="0"/>
          <w:i w:val="0"/>
          <w:color w:val="000000"/>
          <w:sz w:val="24"/>
        </w:rPr>
        <w:t>The academic nature of the research under the BSc in Management Information Systems (Special) degree program;</w:t>
      </w:r>
    </w:p>
    <w:p>
      <w:pPr>
        <w:pStyle w:val="ListNumber"/>
      </w:pPr>
      <w:r>
        <w:rPr>
          <w:rFonts w:ascii="Times New Roman" w:hAnsi="Times New Roman"/>
          <w:b w:val="0"/>
          <w:i w:val="0"/>
          <w:color w:val="000000"/>
          <w:sz w:val="24"/>
        </w:rPr>
        <w:t>The voluntary nature of participation and the unconditional right to withdraw prior to dataset anonymization;</w:t>
      </w:r>
    </w:p>
    <w:p>
      <w:pPr>
        <w:pStyle w:val="ListNumber"/>
      </w:pPr>
      <w:r>
        <w:rPr>
          <w:rFonts w:ascii="Times New Roman" w:hAnsi="Times New Roman"/>
          <w:b w:val="0"/>
          <w:i w:val="0"/>
          <w:color w:val="000000"/>
          <w:sz w:val="24"/>
        </w:rPr>
        <w:t>Confirmation that all individual responses are de-identified and reported solely in aggregated statistical form;</w:t>
      </w:r>
    </w:p>
    <w:p>
      <w:pPr>
        <w:pStyle w:val="ListNumber"/>
      </w:pPr>
      <w:r>
        <w:rPr>
          <w:rFonts w:ascii="Times New Roman" w:hAnsi="Times New Roman"/>
          <w:b w:val="0"/>
          <w:i w:val="0"/>
          <w:color w:val="000000"/>
          <w:sz w:val="24"/>
        </w:rPr>
        <w:t>Clear assurance that assessment data is not linked to official employee appraisals, disciplinary proceedings, or employment tenure.</w:t>
      </w:r>
    </w:p>
    <w:p>
      <w:pPr>
        <w:pStyle w:val="Heading3"/>
      </w:pPr>
      <w:r>
        <w:t>7.3 Data Handling and PII Minimization</w:t>
      </w:r>
    </w:p>
    <w:p>
      <w:pPr>
        <w:pStyle w:val="ListBullet"/>
      </w:pPr>
      <w:r>
        <w:rPr>
          <w:rFonts w:ascii="Times New Roman" w:hAnsi="Times New Roman"/>
          <w:b w:val="0"/>
          <w:i w:val="0"/>
          <w:color w:val="000000"/>
          <w:sz w:val="24"/>
        </w:rPr>
        <w:t>All employee identifiers (names, emails) were replaced with pseudonymous keys (`Emp-01`, `P01`) upon storage.</w:t>
      </w:r>
    </w:p>
    <w:p>
      <w:pPr>
        <w:pStyle w:val="ListBullet"/>
      </w:pPr>
      <w:r>
        <w:rPr>
          <w:rFonts w:ascii="Times New Roman" w:hAnsi="Times New Roman"/>
          <w:b w:val="0"/>
          <w:i w:val="0"/>
          <w:color w:val="000000"/>
          <w:sz w:val="24"/>
        </w:rPr>
        <w:t>Assessment data is stored in access-restricted MongoDB collections accessible only via authenticated JWT tokens with appropriate role claims.</w:t>
      </w:r>
    </w:p>
    <w:p>
      <w:pPr>
        <w:pStyle w:val="ListBullet"/>
      </w:pPr>
      <w:r>
        <w:rPr>
          <w:rFonts w:ascii="Times New Roman" w:hAnsi="Times New Roman"/>
          <w:b w:val="0"/>
          <w:i w:val="0"/>
          <w:color w:val="000000"/>
          <w:sz w:val="24"/>
        </w:rPr>
        <w:t>Contextual data transmitted to external LLM services is strictly stripped of names, emails, and organizational entity identifiers.</w:t>
      </w:r>
    </w:p>
    <w:p>
      <w:pPr>
        <w:pStyle w:val="Heading2"/>
      </w:pPr>
      <w:r>
        <w:t>Appendix 8: Knowledge Transfer and Mitigation Records</w:t>
      </w:r>
    </w:p>
    <w:p>
      <w:pPr>
        <w:pStyle w:val="Heading3"/>
      </w:pPr>
      <w:r>
        <w:t>8.1 Case Provenance and Demonstration Selection</w:t>
      </w:r>
    </w:p>
    <w:p>
      <w:pPr>
        <w:jc w:val="both"/>
      </w:pPr>
      <w:r>
        <w:rPr>
          <w:rFonts w:ascii="Times New Roman" w:hAnsi="Times New Roman"/>
          <w:b w:val="0"/>
          <w:i w:val="0"/>
          <w:color w:val="000000"/>
          <w:sz w:val="24"/>
        </w:rPr>
        <w:t>Three representative transition profiles from the technical evaluation were monitored to verify the closed-loop mitigation tracking mechanism:</w:t>
      </w:r>
    </w:p>
    <w:p>
      <w:pPr>
        <w:pStyle w:val="ListBullet"/>
      </w:pPr>
      <w:r>
        <w:rPr>
          <w:rFonts w:ascii="Times New Roman" w:hAnsi="Times New Roman"/>
          <w:b/>
          <w:i w:val="0"/>
          <w:color w:val="000000"/>
          <w:sz w:val="24"/>
        </w:rPr>
        <w:t>Emp-01:</w:t>
      </w:r>
      <w:r>
        <w:rPr>
          <w:rFonts w:ascii="Times New Roman" w:hAnsi="Times New Roman"/>
          <w:b w:val="0"/>
          <w:i w:val="0"/>
          <w:color w:val="000000"/>
          <w:sz w:val="24"/>
        </w:rPr>
        <w:t xml:space="preserve"> Lead Backend Engineer (Core Services, 11 years tenure).</w:t>
      </w:r>
    </w:p>
    <w:p>
      <w:pPr>
        <w:pStyle w:val="ListBullet"/>
      </w:pPr>
      <w:r>
        <w:rPr>
          <w:rFonts w:ascii="Times New Roman" w:hAnsi="Times New Roman"/>
          <w:b/>
          <w:i w:val="0"/>
          <w:color w:val="000000"/>
          <w:sz w:val="24"/>
        </w:rPr>
        <w:t>Emp-02:</w:t>
      </w:r>
      <w:r>
        <w:rPr>
          <w:rFonts w:ascii="Times New Roman" w:hAnsi="Times New Roman"/>
          <w:b w:val="0"/>
          <w:i w:val="0"/>
          <w:color w:val="000000"/>
          <w:sz w:val="24"/>
        </w:rPr>
        <w:t xml:space="preserve"> Principal Solutions Architect (Payment Integration, 8 years tenure).</w:t>
      </w:r>
    </w:p>
    <w:p>
      <w:pPr>
        <w:pStyle w:val="ListBullet"/>
      </w:pPr>
      <w:r>
        <w:rPr>
          <w:rFonts w:ascii="Times New Roman" w:hAnsi="Times New Roman"/>
          <w:b/>
          <w:i w:val="0"/>
          <w:color w:val="000000"/>
          <w:sz w:val="24"/>
        </w:rPr>
        <w:t>Emp-03:</w:t>
      </w:r>
      <w:r>
        <w:rPr>
          <w:rFonts w:ascii="Times New Roman" w:hAnsi="Times New Roman"/>
          <w:b w:val="0"/>
          <w:i w:val="0"/>
          <w:color w:val="000000"/>
          <w:sz w:val="24"/>
        </w:rPr>
        <w:t xml:space="preserve"> Senior DevOps Specialist (Database &amp; Cloud Infrastructure, 6 years tenure).</w:t>
      </w:r>
    </w:p>
    <w:p>
      <w:pPr>
        <w:pStyle w:val="Heading3"/>
      </w:pPr>
      <w:r>
        <w:t>8.2 End-to-End Mitigation Audit Trail</w:t>
      </w:r>
    </w:p>
    <w:p>
      <w:pPr>
        <w:jc w:val="both"/>
      </w:pPr>
      <w:r>
        <w:rPr>
          <w:rFonts w:ascii="Times New Roman" w:hAnsi="Times New Roman"/>
          <w:b w:val="0"/>
          <w:i w:val="0"/>
          <w:color w:val="000000"/>
          <w:sz w:val="24"/>
        </w:rPr>
        <w:t xml:space="preserve">To prove the exact mathematical transition of risk scores, the following cases track the three distinct phases of mitigation: </w:t>
      </w:r>
      <w:r>
        <w:rPr>
          <w:rFonts w:ascii="Times New Roman" w:hAnsi="Times New Roman"/>
          <w:b/>
          <w:i w:val="0"/>
          <w:color w:val="000000"/>
          <w:sz w:val="24"/>
        </w:rPr>
        <w:t>T1 (Pre-Mitigation)</w:t>
      </w:r>
      <w:r>
        <w:rPr>
          <w:rFonts w:ascii="Times New Roman" w:hAnsi="Times New Roman"/>
          <w:b w:val="0"/>
          <w:i w:val="0"/>
          <w:color w:val="000000"/>
          <w:sz w:val="24"/>
        </w:rPr>
        <w:t xml:space="preserve">, </w:t>
      </w:r>
      <w:r>
        <w:rPr>
          <w:rFonts w:ascii="Times New Roman" w:hAnsi="Times New Roman"/>
          <w:b/>
          <w:i w:val="0"/>
          <w:color w:val="000000"/>
          <w:sz w:val="24"/>
        </w:rPr>
        <w:t>T2 (Immediate KT Sign-off)</w:t>
      </w:r>
      <w:r>
        <w:rPr>
          <w:rFonts w:ascii="Times New Roman" w:hAnsi="Times New Roman"/>
          <w:b w:val="0"/>
          <w:i w:val="0"/>
          <w:color w:val="000000"/>
          <w:sz w:val="24"/>
        </w:rPr>
        <w:t xml:space="preserve">, and </w:t>
      </w:r>
      <w:r>
        <w:rPr>
          <w:rFonts w:ascii="Times New Roman" w:hAnsi="Times New Roman"/>
          <w:b/>
          <w:i w:val="0"/>
          <w:color w:val="000000"/>
          <w:sz w:val="24"/>
        </w:rPr>
        <w:t>T3 (Next Quarterly Assessment)</w:t>
      </w:r>
      <w:r>
        <w:rPr>
          <w:rFonts w:ascii="Times New Roman" w:hAnsi="Times New Roman"/>
          <w:b w:val="0"/>
          <w:i w:val="0"/>
          <w:color w:val="000000"/>
          <w:sz w:val="24"/>
        </w:rPr>
        <w:t>.</w:t>
      </w:r>
    </w:p>
    <w:p>
      <w:pPr>
        <w:pStyle w:val="Heading3"/>
      </w:pPr>
      <w:r>
        <w:t>Case 1: Emp-01 (Sarah / Core Services)</w:t>
      </w:r>
    </w:p>
    <w:p>
      <w:pPr>
        <w:pStyle w:val="ListBullet"/>
      </w:pPr>
      <w:r>
        <w:rPr>
          <w:rFonts w:ascii="Times New Roman" w:hAnsi="Times New Roman"/>
          <w:b/>
          <w:i w:val="0"/>
          <w:color w:val="000000"/>
          <w:sz w:val="24"/>
        </w:rPr>
        <w:t>T1: Pre-Mitigation Baseline (Q2):</w:t>
      </w:r>
      <w:r>
        <w:rPr>
          <w:rFonts w:ascii="Times New Roman" w:hAnsi="Times New Roman"/>
          <w:b w:val="0"/>
          <w:i w:val="0"/>
          <w:color w:val="000000"/>
          <w:sz w:val="24"/>
        </w:rPr>
        <w:t xml:space="preserve"> $EU = 9.0, DG = 8.0, PC = 9.0, CD = 7.0, T = 10.0$.</w:t>
      </w:r>
    </w:p>
    <w:p>
      <w:pPr>
        <w:pStyle w:val="ListBullet"/>
      </w:pPr>
      <w:r>
        <w:rPr>
          <w:rFonts w:ascii="Times New Roman" w:hAnsi="Times New Roman"/>
          <w:b w:val="0"/>
          <w:i w:val="0"/>
          <w:color w:val="000000"/>
          <w:sz w:val="24"/>
        </w:rPr>
        <w:t>Formula Score: 8.55; Manager Score: 8.50; ML Score: 8.50.</w:t>
      </w:r>
    </w:p>
    <w:p>
      <w:pPr>
        <w:pStyle w:val="ListBullet"/>
      </w:pPr>
      <w:r>
        <w:rPr>
          <w:rFonts w:ascii="Times New Roman" w:hAnsi="Times New Roman"/>
          <w:b w:val="0"/>
          <w:i w:val="0"/>
          <w:color w:val="000000"/>
          <w:sz w:val="24"/>
        </w:rPr>
        <w:t xml:space="preserve">Final T1 Score: </w:t>
      </w:r>
      <w:r>
        <w:rPr>
          <w:rFonts w:ascii="Times New Roman" w:hAnsi="Times New Roman"/>
          <w:b/>
          <w:i w:val="0"/>
          <w:color w:val="000000"/>
          <w:sz w:val="24"/>
        </w:rPr>
        <w:t>8.52 (High Risk)</w:t>
      </w:r>
      <w:r>
        <w:rPr>
          <w:rFonts w:ascii="Times New Roman" w:hAnsi="Times New Roman"/>
          <w:b w:val="0"/>
          <w:i w:val="0"/>
          <w:color w:val="000000"/>
          <w:sz w:val="24"/>
        </w:rPr>
        <w:t>.</w:t>
      </w:r>
    </w:p>
    <w:p>
      <w:pPr>
        <w:pStyle w:val="ListBullet"/>
      </w:pPr>
      <w:r>
        <w:rPr>
          <w:rFonts w:ascii="Times New Roman" w:hAnsi="Times New Roman"/>
          <w:b/>
          <w:i w:val="0"/>
          <w:color w:val="000000"/>
          <w:sz w:val="24"/>
        </w:rPr>
        <w:t>T2: Immediate Algorithmic Patch (KT Sign-off):</w:t>
      </w:r>
    </w:p>
    <w:p>
      <w:pPr>
        <w:pStyle w:val="ListBullet"/>
      </w:pPr>
      <w:r>
        <w:rPr>
          <w:rFonts w:ascii="Times New Roman" w:hAnsi="Times New Roman"/>
          <w:b w:val="0"/>
          <w:i w:val="0"/>
          <w:color w:val="000000"/>
          <w:sz w:val="24"/>
        </w:rPr>
        <w:t xml:space="preserve">Manager evaluated backup as </w:t>
      </w:r>
      <w:r>
        <w:rPr>
          <w:rFonts w:ascii="Times New Roman" w:hAnsi="Times New Roman"/>
          <w:b/>
          <w:i w:val="0"/>
          <w:color w:val="000000"/>
          <w:sz w:val="24"/>
        </w:rPr>
        <w:t>"Fully Competent"</w:t>
      </w:r>
      <w:r>
        <w:rPr>
          <w:rFonts w:ascii="Times New Roman" w:hAnsi="Times New Roman"/>
          <w:b w:val="0"/>
          <w:i w:val="0"/>
          <w:color w:val="000000"/>
          <w:sz w:val="24"/>
        </w:rPr>
        <w:t>.</w:t>
      </w:r>
    </w:p>
    <w:p>
      <w:pPr>
        <w:pStyle w:val="ListBullet"/>
      </w:pPr>
      <w:r>
        <w:rPr>
          <w:rFonts w:ascii="Times New Roman" w:hAnsi="Times New Roman"/>
          <w:b w:val="0"/>
          <w:i w:val="0"/>
          <w:color w:val="000000"/>
          <w:sz w:val="24"/>
        </w:rPr>
        <w:t>Reductions Applied: $EU -3.00$, $DG -3.00$, $CD -2.00$ (Maximum algorithmic drop of 1.75 points).</w:t>
      </w:r>
    </w:p>
    <w:p>
      <w:pPr>
        <w:pStyle w:val="ListBullet"/>
      </w:pPr>
      <w:r>
        <w:rPr>
          <w:rFonts w:ascii="Times New Roman" w:hAnsi="Times New Roman"/>
          <w:b w:val="0"/>
          <w:i w:val="0"/>
          <w:color w:val="000000"/>
          <w:sz w:val="24"/>
        </w:rPr>
        <w:t>Recalculated T2 Inputs: $EU = 6.0, DG = 5.0, PC = 9.0, CD = 5.0, T = 10.0$.</w:t>
      </w:r>
    </w:p>
    <w:p>
      <w:pPr>
        <w:pStyle w:val="ListBullet"/>
      </w:pPr>
      <w:r>
        <w:rPr>
          <w:rFonts w:ascii="Times New Roman" w:hAnsi="Times New Roman"/>
          <w:b w:val="0"/>
          <w:i w:val="0"/>
          <w:color w:val="000000"/>
          <w:sz w:val="24"/>
        </w:rPr>
        <w:t>Formula Score: 6.80; Manager Score: 6.75; ML Score: 6.80.</w:t>
      </w:r>
    </w:p>
    <w:p>
      <w:pPr>
        <w:pStyle w:val="ListBullet"/>
      </w:pPr>
      <w:r>
        <w:rPr>
          <w:rFonts w:ascii="Times New Roman" w:hAnsi="Times New Roman"/>
          <w:b w:val="0"/>
          <w:i w:val="0"/>
          <w:color w:val="000000"/>
          <w:sz w:val="24"/>
        </w:rPr>
        <w:t xml:space="preserve">Final T2 Score: </w:t>
      </w:r>
      <w:r>
        <w:rPr>
          <w:rFonts w:ascii="Times New Roman" w:hAnsi="Times New Roman"/>
          <w:b/>
          <w:i w:val="0"/>
          <w:color w:val="000000"/>
          <w:sz w:val="24"/>
        </w:rPr>
        <w:t>6.78 (Medium Risk)</w:t>
      </w:r>
      <w:r>
        <w:rPr>
          <w:rFonts w:ascii="Times New Roman" w:hAnsi="Times New Roman"/>
          <w:b w:val="0"/>
          <w:i w:val="0"/>
          <w:color w:val="000000"/>
          <w:sz w:val="24"/>
        </w:rPr>
        <w:t xml:space="preserve"> *(Algorithmic `scoreDelta` = +1.74)*</w:t>
      </w:r>
    </w:p>
    <w:p>
      <w:pPr>
        <w:pStyle w:val="ListBullet"/>
      </w:pPr>
      <w:r>
        <w:rPr>
          <w:rFonts w:ascii="Times New Roman" w:hAnsi="Times New Roman"/>
          <w:b/>
          <w:i w:val="0"/>
          <w:color w:val="000000"/>
          <w:sz w:val="24"/>
        </w:rPr>
        <w:t>T3: Organic Longitudinal Drop (Q3 Assessment):</w:t>
      </w:r>
    </w:p>
    <w:p>
      <w:pPr>
        <w:pStyle w:val="ListBullet"/>
      </w:pPr>
      <w:r>
        <w:rPr>
          <w:rFonts w:ascii="Times New Roman" w:hAnsi="Times New Roman"/>
          <w:b w:val="0"/>
          <w:i w:val="0"/>
          <w:color w:val="000000"/>
          <w:sz w:val="24"/>
        </w:rPr>
        <w:t>Next quarter, Sarah submits a new assessment reflecting her democratized knowledge.</w:t>
      </w:r>
    </w:p>
    <w:p>
      <w:pPr>
        <w:pStyle w:val="ListBullet"/>
      </w:pPr>
      <w:r>
        <w:rPr>
          <w:rFonts w:ascii="Times New Roman" w:hAnsi="Times New Roman"/>
          <w:b w:val="0"/>
          <w:i w:val="0"/>
          <w:color w:val="000000"/>
          <w:sz w:val="24"/>
        </w:rPr>
        <w:t>Organic Inputs: $EU = 4.0, DG = 2.0, PC = 9.0, CD = 3.0, T = 10.0$.</w:t>
      </w:r>
    </w:p>
    <w:p>
      <w:pPr>
        <w:pStyle w:val="ListBullet"/>
      </w:pPr>
      <w:r>
        <w:rPr>
          <w:rFonts w:ascii="Times New Roman" w:hAnsi="Times New Roman"/>
          <w:b w:val="0"/>
          <w:i w:val="0"/>
          <w:color w:val="000000"/>
          <w:sz w:val="24"/>
        </w:rPr>
        <w:t>Formula Score: 5.30; Manager Score: 5.10; ML Score: 5.30.</w:t>
      </w:r>
    </w:p>
    <w:p>
      <w:pPr>
        <w:pStyle w:val="ListBullet"/>
      </w:pPr>
      <w:r>
        <w:rPr>
          <w:rFonts w:ascii="Times New Roman" w:hAnsi="Times New Roman"/>
          <w:b w:val="0"/>
          <w:i w:val="0"/>
          <w:color w:val="000000"/>
          <w:sz w:val="24"/>
        </w:rPr>
        <w:t xml:space="preserve">Final T3 Score: </w:t>
      </w:r>
      <w:r>
        <w:rPr>
          <w:rFonts w:ascii="Times New Roman" w:hAnsi="Times New Roman"/>
          <w:b/>
          <w:i w:val="0"/>
          <w:color w:val="000000"/>
          <w:sz w:val="24"/>
        </w:rPr>
        <w:t>5.20 (Medium Risk)</w:t>
      </w:r>
      <w:r>
        <w:rPr>
          <w:rFonts w:ascii="Times New Roman" w:hAnsi="Times New Roman"/>
          <w:b w:val="0"/>
          <w:i w:val="0"/>
          <w:color w:val="000000"/>
          <w:sz w:val="24"/>
        </w:rPr>
        <w:t xml:space="preserve"> *(Total Long-Term `scoreDelta` = +3.32)*</w:t>
      </w:r>
    </w:p>
    <w:p>
      <w:pPr>
        <w:pStyle w:val="Heading3"/>
      </w:pPr>
      <w:r>
        <w:t>Case 2: Emp-02 (David / Payment Gateway)</w:t>
      </w:r>
    </w:p>
    <w:p>
      <w:pPr>
        <w:pStyle w:val="ListBullet"/>
      </w:pPr>
      <w:r>
        <w:rPr>
          <w:rFonts w:ascii="Times New Roman" w:hAnsi="Times New Roman"/>
          <w:b/>
          <w:i w:val="0"/>
          <w:color w:val="000000"/>
          <w:sz w:val="24"/>
        </w:rPr>
        <w:t>T1: Pre-Mitigation Baseline (Q2):</w:t>
      </w:r>
      <w:r>
        <w:rPr>
          <w:rFonts w:ascii="Times New Roman" w:hAnsi="Times New Roman"/>
          <w:b w:val="0"/>
          <w:i w:val="0"/>
          <w:color w:val="000000"/>
          <w:sz w:val="24"/>
        </w:rPr>
        <w:t xml:space="preserve"> $EU = 10.0, DG = 9.0, PC = 10.0, CD = 8.0, T = 10.0$.</w:t>
      </w:r>
    </w:p>
    <w:p>
      <w:pPr>
        <w:pStyle w:val="ListBullet"/>
      </w:pPr>
      <w:r>
        <w:rPr>
          <w:rFonts w:ascii="Times New Roman" w:hAnsi="Times New Roman"/>
          <w:b w:val="0"/>
          <w:i w:val="0"/>
          <w:color w:val="000000"/>
          <w:sz w:val="24"/>
        </w:rPr>
        <w:t>Formula Score: 9.40; Manager Score: 9.00; ML Score: 9.10.</w:t>
      </w:r>
    </w:p>
    <w:p>
      <w:pPr>
        <w:pStyle w:val="ListBullet"/>
      </w:pPr>
      <w:r>
        <w:rPr>
          <w:rFonts w:ascii="Times New Roman" w:hAnsi="Times New Roman"/>
          <w:b w:val="0"/>
          <w:i w:val="0"/>
          <w:color w:val="000000"/>
          <w:sz w:val="24"/>
        </w:rPr>
        <w:t xml:space="preserve">Final T1 Score: </w:t>
      </w:r>
      <w:r>
        <w:rPr>
          <w:rFonts w:ascii="Times New Roman" w:hAnsi="Times New Roman"/>
          <w:b/>
          <w:i w:val="0"/>
          <w:color w:val="000000"/>
          <w:sz w:val="24"/>
        </w:rPr>
        <w:t>9.14 (Critical Risk)</w:t>
      </w:r>
      <w:r>
        <w:rPr>
          <w:rFonts w:ascii="Times New Roman" w:hAnsi="Times New Roman"/>
          <w:b w:val="0"/>
          <w:i w:val="0"/>
          <w:color w:val="000000"/>
          <w:sz w:val="24"/>
        </w:rPr>
        <w:t>.</w:t>
      </w:r>
    </w:p>
    <w:p>
      <w:pPr>
        <w:pStyle w:val="ListBullet"/>
      </w:pPr>
      <w:r>
        <w:rPr>
          <w:rFonts w:ascii="Times New Roman" w:hAnsi="Times New Roman"/>
          <w:b/>
          <w:i w:val="0"/>
          <w:color w:val="000000"/>
          <w:sz w:val="24"/>
        </w:rPr>
        <w:t>T2: Immediate Algorithmic Patch (KT Sign-off):</w:t>
      </w:r>
    </w:p>
    <w:p>
      <w:pPr>
        <w:pStyle w:val="ListBullet"/>
      </w:pPr>
      <w:r>
        <w:rPr>
          <w:rFonts w:ascii="Times New Roman" w:hAnsi="Times New Roman"/>
          <w:b w:val="0"/>
          <w:i w:val="0"/>
          <w:color w:val="000000"/>
          <w:sz w:val="24"/>
        </w:rPr>
        <w:t xml:space="preserve">Backup evaluated as </w:t>
      </w:r>
      <w:r>
        <w:rPr>
          <w:rFonts w:ascii="Times New Roman" w:hAnsi="Times New Roman"/>
          <w:b/>
          <w:i w:val="0"/>
          <w:color w:val="000000"/>
          <w:sz w:val="24"/>
        </w:rPr>
        <w:t>"Competent with minor gaps"</w:t>
      </w:r>
      <w:r>
        <w:rPr>
          <w:rFonts w:ascii="Times New Roman" w:hAnsi="Times New Roman"/>
          <w:b w:val="0"/>
          <w:i w:val="0"/>
          <w:color w:val="000000"/>
          <w:sz w:val="24"/>
        </w:rPr>
        <w:t>.</w:t>
      </w:r>
    </w:p>
    <w:p>
      <w:pPr>
        <w:pStyle w:val="ListBullet"/>
      </w:pPr>
      <w:r>
        <w:rPr>
          <w:rFonts w:ascii="Times New Roman" w:hAnsi="Times New Roman"/>
          <w:b w:val="0"/>
          <w:i w:val="0"/>
          <w:color w:val="000000"/>
          <w:sz w:val="24"/>
        </w:rPr>
        <w:t>Reductions Applied: $DG -3.00, EU -2.00, CD -1.50$ (Algorithmic drop of 1.40 points).</w:t>
      </w:r>
    </w:p>
    <w:p>
      <w:pPr>
        <w:pStyle w:val="ListBullet"/>
      </w:pPr>
      <w:r>
        <w:rPr>
          <w:rFonts w:ascii="Times New Roman" w:hAnsi="Times New Roman"/>
          <w:b w:val="0"/>
          <w:i w:val="0"/>
          <w:color w:val="000000"/>
          <w:sz w:val="24"/>
        </w:rPr>
        <w:t>Formula Score: 8.00; Manager Score: 7.60; ML Score: 8.00.</w:t>
      </w:r>
    </w:p>
    <w:p>
      <w:pPr>
        <w:pStyle w:val="ListBullet"/>
      </w:pPr>
      <w:r>
        <w:rPr>
          <w:rFonts w:ascii="Times New Roman" w:hAnsi="Times New Roman"/>
          <w:b w:val="0"/>
          <w:i w:val="0"/>
          <w:color w:val="000000"/>
          <w:sz w:val="24"/>
        </w:rPr>
        <w:t xml:space="preserve">Final T2 Score: </w:t>
      </w:r>
      <w:r>
        <w:rPr>
          <w:rFonts w:ascii="Times New Roman" w:hAnsi="Times New Roman"/>
          <w:b/>
          <w:i w:val="0"/>
          <w:color w:val="000000"/>
          <w:sz w:val="24"/>
        </w:rPr>
        <w:t>7.80 (High Risk)</w:t>
      </w:r>
      <w:r>
        <w:rPr>
          <w:rFonts w:ascii="Times New Roman" w:hAnsi="Times New Roman"/>
          <w:b w:val="0"/>
          <w:i w:val="0"/>
          <w:color w:val="000000"/>
          <w:sz w:val="24"/>
        </w:rPr>
        <w:t xml:space="preserve"> *(Algorithmic `scoreDelta` = +1.34)*</w:t>
      </w:r>
    </w:p>
    <w:p>
      <w:pPr>
        <w:pStyle w:val="ListBullet"/>
      </w:pPr>
      <w:r>
        <w:rPr>
          <w:rFonts w:ascii="Times New Roman" w:hAnsi="Times New Roman"/>
          <w:b/>
          <w:i w:val="0"/>
          <w:color w:val="000000"/>
          <w:sz w:val="24"/>
        </w:rPr>
        <w:t>T3: Organic Longitudinal Drop (Q3 Assessment):</w:t>
      </w:r>
    </w:p>
    <w:p>
      <w:pPr>
        <w:pStyle w:val="ListBullet"/>
      </w:pPr>
      <w:r>
        <w:rPr>
          <w:rFonts w:ascii="Times New Roman" w:hAnsi="Times New Roman"/>
          <w:b w:val="0"/>
          <w:i w:val="0"/>
          <w:color w:val="000000"/>
          <w:sz w:val="24"/>
        </w:rPr>
        <w:t>Organic Inputs: $EU = 6.0, DG = 4.0, PC = 10.0, CD = 5.0, T = 10.0$.</w:t>
      </w:r>
    </w:p>
    <w:p>
      <w:pPr>
        <w:pStyle w:val="ListBullet"/>
      </w:pPr>
      <w:r>
        <w:rPr>
          <w:rFonts w:ascii="Times New Roman" w:hAnsi="Times New Roman"/>
          <w:b w:val="0"/>
          <w:i w:val="0"/>
          <w:color w:val="000000"/>
          <w:sz w:val="24"/>
        </w:rPr>
        <w:t xml:space="preserve">Final T3 Score: </w:t>
      </w:r>
      <w:r>
        <w:rPr>
          <w:rFonts w:ascii="Times New Roman" w:hAnsi="Times New Roman"/>
          <w:b/>
          <w:i w:val="0"/>
          <w:color w:val="000000"/>
          <w:sz w:val="24"/>
        </w:rPr>
        <w:t>6.50 (Medium Risk)</w:t>
      </w:r>
      <w:r>
        <w:rPr>
          <w:rFonts w:ascii="Times New Roman" w:hAnsi="Times New Roman"/>
          <w:b w:val="0"/>
          <w:i w:val="0"/>
          <w:color w:val="000000"/>
          <w:sz w:val="24"/>
        </w:rPr>
        <w:t xml:space="preserve"> *(Total Long-Term `scoreDelta` = +2.64)*</w:t>
      </w:r>
    </w:p>
    <w:p>
      <w:pPr>
        <w:pStyle w:val="Heading3"/>
      </w:pPr>
      <w:r>
        <w:t>Case 3: Emp-03 (Michael / Database Infrastructure)</w:t>
      </w:r>
    </w:p>
    <w:p>
      <w:pPr>
        <w:pStyle w:val="ListBullet"/>
      </w:pPr>
      <w:r>
        <w:rPr>
          <w:rFonts w:ascii="Times New Roman" w:hAnsi="Times New Roman"/>
          <w:b/>
          <w:i w:val="0"/>
          <w:color w:val="000000"/>
          <w:sz w:val="24"/>
        </w:rPr>
        <w:t>T1: Pre-Mitigation Baseline (Q2):</w:t>
      </w:r>
      <w:r>
        <w:rPr>
          <w:rFonts w:ascii="Times New Roman" w:hAnsi="Times New Roman"/>
          <w:b w:val="0"/>
          <w:i w:val="0"/>
          <w:color w:val="000000"/>
          <w:sz w:val="24"/>
        </w:rPr>
        <w:t xml:space="preserve"> $EU = 8.0, DG = 7.0, PC = 8.0, CD = 7.0, T = 7.0$.</w:t>
      </w:r>
    </w:p>
    <w:p>
      <w:pPr>
        <w:pStyle w:val="ListBullet"/>
      </w:pPr>
      <w:r>
        <w:rPr>
          <w:rFonts w:ascii="Times New Roman" w:hAnsi="Times New Roman"/>
          <w:b w:val="0"/>
          <w:i w:val="0"/>
          <w:color w:val="000000"/>
          <w:sz w:val="24"/>
        </w:rPr>
        <w:t>Formula Score: 7.45; Manager Score: 7.40; ML Score: 7.30.</w:t>
      </w:r>
    </w:p>
    <w:p>
      <w:pPr>
        <w:pStyle w:val="ListBullet"/>
      </w:pPr>
      <w:r>
        <w:rPr>
          <w:rFonts w:ascii="Times New Roman" w:hAnsi="Times New Roman"/>
          <w:b w:val="0"/>
          <w:i w:val="0"/>
          <w:color w:val="000000"/>
          <w:sz w:val="24"/>
        </w:rPr>
        <w:t xml:space="preserve">Final T1 Score: </w:t>
      </w:r>
      <w:r>
        <w:rPr>
          <w:rFonts w:ascii="Times New Roman" w:hAnsi="Times New Roman"/>
          <w:b/>
          <w:i w:val="0"/>
          <w:color w:val="000000"/>
          <w:sz w:val="24"/>
        </w:rPr>
        <w:t>7.40 (High Risk)</w:t>
      </w:r>
      <w:r>
        <w:rPr>
          <w:rFonts w:ascii="Times New Roman" w:hAnsi="Times New Roman"/>
          <w:b w:val="0"/>
          <w:i w:val="0"/>
          <w:color w:val="000000"/>
          <w:sz w:val="24"/>
        </w:rPr>
        <w:t>.</w:t>
      </w:r>
    </w:p>
    <w:p>
      <w:pPr>
        <w:pStyle w:val="ListBullet"/>
      </w:pPr>
      <w:r>
        <w:rPr>
          <w:rFonts w:ascii="Times New Roman" w:hAnsi="Times New Roman"/>
          <w:b/>
          <w:i w:val="0"/>
          <w:color w:val="000000"/>
          <w:sz w:val="24"/>
        </w:rPr>
        <w:t>T2: Immediate Algorithmic Patch (KT Sign-off):</w:t>
      </w:r>
    </w:p>
    <w:p>
      <w:pPr>
        <w:pStyle w:val="ListBullet"/>
      </w:pPr>
      <w:r>
        <w:rPr>
          <w:rFonts w:ascii="Times New Roman" w:hAnsi="Times New Roman"/>
          <w:b w:val="0"/>
          <w:i w:val="0"/>
          <w:color w:val="000000"/>
          <w:sz w:val="24"/>
        </w:rPr>
        <w:t xml:space="preserve">Backup evaluated as </w:t>
      </w:r>
      <w:r>
        <w:rPr>
          <w:rFonts w:ascii="Times New Roman" w:hAnsi="Times New Roman"/>
          <w:b/>
          <w:i w:val="0"/>
          <w:color w:val="000000"/>
          <w:sz w:val="24"/>
        </w:rPr>
        <w:t>"Fully Competent"</w:t>
      </w:r>
      <w:r>
        <w:rPr>
          <w:rFonts w:ascii="Times New Roman" w:hAnsi="Times New Roman"/>
          <w:b w:val="0"/>
          <w:i w:val="0"/>
          <w:color w:val="000000"/>
          <w:sz w:val="24"/>
        </w:rPr>
        <w:t>.</w:t>
      </w:r>
    </w:p>
    <w:p>
      <w:pPr>
        <w:pStyle w:val="ListBullet"/>
      </w:pPr>
      <w:r>
        <w:rPr>
          <w:rFonts w:ascii="Times New Roman" w:hAnsi="Times New Roman"/>
          <w:b w:val="0"/>
          <w:i w:val="0"/>
          <w:color w:val="000000"/>
          <w:sz w:val="24"/>
        </w:rPr>
        <w:t>Reductions Applied: $DG -3.00, EU -3.00, CD -2.00$ (Maximum algorithmic drop of 1.75).</w:t>
      </w:r>
    </w:p>
    <w:p>
      <w:pPr>
        <w:pStyle w:val="ListBullet"/>
      </w:pPr>
      <w:r>
        <w:rPr>
          <w:rFonts w:ascii="Times New Roman" w:hAnsi="Times New Roman"/>
          <w:b w:val="0"/>
          <w:i w:val="0"/>
          <w:color w:val="000000"/>
          <w:sz w:val="24"/>
        </w:rPr>
        <w:t>Formula Score: 5.70; Manager Score: 5.65; ML Score: 5.70.</w:t>
      </w:r>
    </w:p>
    <w:p>
      <w:pPr>
        <w:pStyle w:val="ListBullet"/>
      </w:pPr>
      <w:r>
        <w:rPr>
          <w:rFonts w:ascii="Times New Roman" w:hAnsi="Times New Roman"/>
          <w:b w:val="0"/>
          <w:i w:val="0"/>
          <w:color w:val="000000"/>
          <w:sz w:val="24"/>
        </w:rPr>
        <w:t xml:space="preserve">Final T2 Score: </w:t>
      </w:r>
      <w:r>
        <w:rPr>
          <w:rFonts w:ascii="Times New Roman" w:hAnsi="Times New Roman"/>
          <w:b/>
          <w:i w:val="0"/>
          <w:color w:val="000000"/>
          <w:sz w:val="24"/>
        </w:rPr>
        <w:t>5.68 (Medium Risk)</w:t>
      </w:r>
      <w:r>
        <w:rPr>
          <w:rFonts w:ascii="Times New Roman" w:hAnsi="Times New Roman"/>
          <w:b w:val="0"/>
          <w:i w:val="0"/>
          <w:color w:val="000000"/>
          <w:sz w:val="24"/>
        </w:rPr>
        <w:t xml:space="preserve"> *(Algorithmic `scoreDelta` = +1.72)*</w:t>
      </w:r>
    </w:p>
    <w:p>
      <w:pPr>
        <w:pStyle w:val="ListBullet"/>
      </w:pPr>
      <w:r>
        <w:rPr>
          <w:rFonts w:ascii="Times New Roman" w:hAnsi="Times New Roman"/>
          <w:b/>
          <w:i w:val="0"/>
          <w:color w:val="000000"/>
          <w:sz w:val="24"/>
        </w:rPr>
        <w:t>T3: Organic Longitudinal Drop (Q3 Assessment):</w:t>
      </w:r>
    </w:p>
    <w:p>
      <w:pPr>
        <w:pStyle w:val="ListBullet"/>
      </w:pPr>
      <w:r>
        <w:rPr>
          <w:rFonts w:ascii="Times New Roman" w:hAnsi="Times New Roman"/>
          <w:b w:val="0"/>
          <w:i w:val="0"/>
          <w:color w:val="000000"/>
          <w:sz w:val="24"/>
        </w:rPr>
        <w:t>Organic Inputs: $EU = 3.0, DG = 3.0, PC = 8.0, CD = 4.0, T = 7.0$.</w:t>
      </w:r>
    </w:p>
    <w:p>
      <w:pPr>
        <w:pStyle w:val="ListBullet"/>
      </w:pPr>
      <w:r>
        <w:rPr>
          <w:rFonts w:ascii="Times New Roman" w:hAnsi="Times New Roman"/>
          <w:b w:val="0"/>
          <w:i w:val="0"/>
          <w:color w:val="000000"/>
          <w:sz w:val="24"/>
        </w:rPr>
        <w:t xml:space="preserve">Final T3 Score: </w:t>
      </w:r>
      <w:r>
        <w:rPr>
          <w:rFonts w:ascii="Times New Roman" w:hAnsi="Times New Roman"/>
          <w:b/>
          <w:i w:val="0"/>
          <w:color w:val="000000"/>
          <w:sz w:val="24"/>
        </w:rPr>
        <w:t>4.10 (Low Risk)</w:t>
      </w:r>
      <w:r>
        <w:rPr>
          <w:rFonts w:ascii="Times New Roman" w:hAnsi="Times New Roman"/>
          <w:b w:val="0"/>
          <w:i w:val="0"/>
          <w:color w:val="000000"/>
          <w:sz w:val="24"/>
        </w:rPr>
        <w:t xml:space="preserve"> *(Total Long-Term `scoreDelta` = +3.30)*</w:t>
      </w:r>
    </w:p>
    <w:p>
      <w:pPr>
        <w:pStyle w:val="Heading2"/>
      </w:pPr>
      <w:r>
        <w:t>Appendix 9: Project Management and Supplementary Specifications</w:t>
      </w:r>
    </w:p>
    <w:p>
      <w:pPr>
        <w:pStyle w:val="Heading3"/>
      </w:pPr>
      <w:r>
        <w:t>9.1 Project Execution Timeline (Agile-Kanban)</w:t>
      </w:r>
    </w:p>
    <w:p>
      <w:pPr>
        <w:jc w:val="both"/>
      </w:pPr>
      <w:r>
        <w:rPr>
          <w:rFonts w:ascii="Times New Roman" w:hAnsi="Times New Roman"/>
          <w:b w:val="0"/>
          <w:i w:val="0"/>
          <w:color w:val="000000"/>
          <w:sz w:val="24"/>
        </w:rPr>
        <w:t>The project was executed across five structured two-week sprints:</w:t>
      </w:r>
    </w:p>
    <w:p>
      <w:pPr>
        <w:pStyle w:val="ListBullet"/>
      </w:pPr>
      <w:r>
        <w:rPr>
          <w:rFonts w:ascii="Times New Roman" w:hAnsi="Times New Roman"/>
          <w:b/>
          <w:i w:val="0"/>
          <w:color w:val="000000"/>
          <w:sz w:val="24"/>
        </w:rPr>
        <w:t>Sprint 1 (Weeks 1–2):</w:t>
      </w:r>
      <w:r>
        <w:rPr>
          <w:rFonts w:ascii="Times New Roman" w:hAnsi="Times New Roman"/>
          <w:b w:val="0"/>
          <w:i w:val="0"/>
          <w:color w:val="000000"/>
          <w:sz w:val="24"/>
        </w:rPr>
        <w:t xml:space="preserve"> Literature analysis, indicator synthesis, mathematical formula formalization.</w:t>
      </w:r>
    </w:p>
    <w:p>
      <w:pPr>
        <w:pStyle w:val="ListBullet"/>
      </w:pPr>
      <w:r>
        <w:rPr>
          <w:rFonts w:ascii="Times New Roman" w:hAnsi="Times New Roman"/>
          <w:b/>
          <w:i w:val="0"/>
          <w:color w:val="000000"/>
          <w:sz w:val="24"/>
        </w:rPr>
        <w:t>Sprint 2 (Weeks 3–4):</w:t>
      </w:r>
      <w:r>
        <w:rPr>
          <w:rFonts w:ascii="Times New Roman" w:hAnsi="Times New Roman"/>
          <w:b w:val="0"/>
          <w:i w:val="0"/>
          <w:color w:val="000000"/>
          <w:sz w:val="24"/>
        </w:rPr>
        <w:t xml:space="preserve"> Backend REST API engineering, MongoDB schema design, Google Forms CSV ingestion engine.</w:t>
      </w:r>
    </w:p>
    <w:p>
      <w:pPr>
        <w:pStyle w:val="ListBullet"/>
      </w:pPr>
      <w:r>
        <w:rPr>
          <w:rFonts w:ascii="Times New Roman" w:hAnsi="Times New Roman"/>
          <w:b/>
          <w:i w:val="0"/>
          <w:color w:val="000000"/>
          <w:sz w:val="24"/>
        </w:rPr>
        <w:t>Sprint 3 (Weeks 5–6):</w:t>
      </w:r>
      <w:r>
        <w:rPr>
          <w:rFonts w:ascii="Times New Roman" w:hAnsi="Times New Roman"/>
          <w:b w:val="0"/>
          <w:i w:val="0"/>
          <w:color w:val="000000"/>
          <w:sz w:val="24"/>
        </w:rPr>
        <w:t xml:space="preserve"> React frontend dashboard engineering, Score Transparency panel, AHP calibration module.</w:t>
      </w:r>
    </w:p>
    <w:p>
      <w:pPr>
        <w:pStyle w:val="ListBullet"/>
      </w:pPr>
      <w:r>
        <w:rPr>
          <w:rFonts w:ascii="Times New Roman" w:hAnsi="Times New Roman"/>
          <w:b/>
          <w:i w:val="0"/>
          <w:color w:val="000000"/>
          <w:sz w:val="24"/>
        </w:rPr>
        <w:t>Sprint 4 (Weeks 7–8):</w:t>
      </w:r>
      <w:r>
        <w:rPr>
          <w:rFonts w:ascii="Times New Roman" w:hAnsi="Times New Roman"/>
          <w:b w:val="0"/>
          <w:i w:val="0"/>
          <w:color w:val="000000"/>
          <w:sz w:val="24"/>
        </w:rPr>
        <w:t xml:space="preserve"> Python FastAPI microservice integration, Random Forest training with data augmentation, Generative AI integration.</w:t>
      </w:r>
    </w:p>
    <w:p>
      <w:pPr>
        <w:pStyle w:val="ListBullet"/>
      </w:pPr>
      <w:r>
        <w:rPr>
          <w:rFonts w:ascii="Times New Roman" w:hAnsi="Times New Roman"/>
          <w:b/>
          <w:i w:val="0"/>
          <w:color w:val="000000"/>
          <w:sz w:val="24"/>
        </w:rPr>
        <w:t>Sprint 5 (Weeks 9–10):</w:t>
      </w:r>
      <w:r>
        <w:rPr>
          <w:rFonts w:ascii="Times New Roman" w:hAnsi="Times New Roman"/>
          <w:b w:val="0"/>
          <w:i w:val="0"/>
          <w:color w:val="000000"/>
          <w:sz w:val="24"/>
        </w:rPr>
        <w:t xml:space="preserve"> Dual-verification workflow, CRON monitoring, technical test suite execution, SUS and TAM empirical evaluations.</w:t>
      </w:r>
    </w:p>
    <w:p>
      <w:pPr>
        <w:pStyle w:val="Heading3"/>
      </w:pPr>
      <w:r>
        <w:t>9.2 Complete Software and Library Inventory</w:t>
      </w:r>
    </w:p>
    <w:tbl>
      <w:tblPr>
        <w:tblStyle w:val="TableGrid"/>
        <w:tblW w:type="auto" w:w="0"/>
        <w:jc w:val="center"/>
        <w:tblLook w:firstColumn="1" w:firstRow="1" w:lastColumn="0" w:lastRow="0" w:noHBand="0" w:noVBand="1" w:val="04A0"/>
      </w:tblPr>
      <w:tblGrid>
        <w:gridCol w:w="2250"/>
        <w:gridCol w:w="2250"/>
        <w:gridCol w:w="2250"/>
        <w:gridCol w:w="2250"/>
      </w:tblGrid>
      <w:tr>
        <w:trPr>
          <w:tblHeader w:val="true"/>
        </w:trPr>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Software / Library</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Version</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Operational Function in System</w:t>
            </w:r>
          </w:p>
        </w:tc>
        <w:tc>
          <w:tcPr>
            <w:tcW w:type="dxa" w:w="2250"/>
            <w:tcMar>
              <w:top w:w="80" w:type="dxa"/>
              <w:start w:w="120" w:type="dxa"/>
              <w:bottom w:w="80" w:type="dxa"/>
              <w:end w:w="120" w:type="dxa"/>
            </w:tcMar>
            <w:vAlign w:val="center"/>
            <w:shd w:fill="D9EAF7"/>
          </w:tcPr>
          <w:p>
            <w:pPr>
              <w:spacing w:after="0" w:line="240" w:lineRule="auto"/>
            </w:pPr>
            <w:r>
              <w:rPr>
                <w:rFonts w:ascii="Times New Roman" w:hAnsi="Times New Roman"/>
                <w:b/>
                <w:i w:val="0"/>
                <w:color w:val="000000"/>
                <w:sz w:val="19"/>
              </w:rPr>
              <w:t>Architectural Layer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React</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18.2.0</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Reactive component rendering for role-based views.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Presentation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Vite</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5.1.4</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Frontend development server and optimized bundler.</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Presentation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Node.js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20.11.0</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Asynchronous event-driven server runtime environment.</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Application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Express.js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4.19.2</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REST API routing, middleware chaining, and payload handling.</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Application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MongoDB</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7.0.5</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Document database storing assessments, scores, and KT plans.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Data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Mongoose</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8.2.1</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Object Data Modeling (ODM) schema enforcement and validation.</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Application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FastAPI</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0.110.0</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High-performance Python web framework for ML microservice.</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Intelligence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Scikit-Learn</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1.4.1</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Machine learning algorithms (Random Forest, Isolation Forest).</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Intelligence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Pandas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2.2.1</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Data manipulation, feature preparation, and array formatting.</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Intelligence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Node-Cron</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3.0.3</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Task scheduler executing daily automated workflow audits.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Application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Nodemailer</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6.9.11</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SMTP mail dispatch engine for escalation alerts.</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Application Tier</w:t>
            </w:r>
          </w:p>
        </w:tc>
      </w:tr>
      <w:tr>
        <w:tc>
          <w:tcPr>
            <w:tcW w:type="dxa" w:w="2250"/>
            <w:tcMar>
              <w:top w:w="80" w:type="dxa"/>
              <w:start w:w="120" w:type="dxa"/>
              <w:bottom w:w="80" w:type="dxa"/>
              <w:end w:w="120" w:type="dxa"/>
            </w:tcMar>
            <w:vAlign w:val="center"/>
          </w:tcPr>
          <w:p>
            <w:pPr>
              <w:spacing w:after="0" w:line="240" w:lineRule="auto"/>
            </w:pPr>
            <w:r>
              <w:rPr>
                <w:rFonts w:ascii="Times New Roman" w:hAnsi="Times New Roman"/>
                <w:b/>
                <w:i w:val="0"/>
                <w:color w:val="000000"/>
                <w:sz w:val="19"/>
              </w:rPr>
              <w:t>JWT (jsonwebtoken)</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9.0.2</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Stateless token-based user authentication and RBAC.</w:t>
            </w:r>
          </w:p>
        </w:tc>
        <w:tc>
          <w:tcPr>
            <w:tcW w:type="dxa" w:w="2250"/>
            <w:tcMar>
              <w:top w:w="80" w:type="dxa"/>
              <w:start w:w="120" w:type="dxa"/>
              <w:bottom w:w="80" w:type="dxa"/>
              <w:end w:w="120" w:type="dxa"/>
            </w:tcMar>
            <w:vAlign w:val="center"/>
          </w:tcPr>
          <w:p>
            <w:pPr>
              <w:spacing w:after="0" w:line="240" w:lineRule="auto"/>
            </w:pPr>
            <w:r>
              <w:rPr>
                <w:rFonts w:ascii="Times New Roman" w:hAnsi="Times New Roman"/>
                <w:b w:val="0"/>
                <w:i w:val="0"/>
                <w:color w:val="000000"/>
                <w:sz w:val="19"/>
              </w:rPr>
              <w:t>Application Tier</w:t>
            </w:r>
          </w:p>
        </w:tc>
      </w:tr>
    </w:tbl>
    <w:p/>
    <w:sectPr w:rsidR="00FC693F" w:rsidRPr="0006063C" w:rsidSect="00034616">
      <w:footerReference w:type="default" r:id="rId9"/>
      <w:pgSz w:w="12240" w:h="15840"/>
      <w:pgMar w:top="1440" w:right="144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95959"/>
        <w:sz w:val="18"/>
      </w:rPr>
      <w:t>KnowledgeGuard | Final Thesis Submission | Shanuka S. Jayakodi (ID: 28512)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KnowledgeGuard — Proactive DSS for Knowledge Loss Risk Assessment</dc:title>
  <dc:subject/>
  <dc:creator>Shanuka S. Jayakodi</dc:creator>
  <cp:keywords/>
  <dc:description>generated by python-docx</dc:description>
  <cp:lastModifiedBy/>
  <cp:revision>1</cp:revision>
  <dcterms:created xsi:type="dcterms:W3CDTF">2013-12-23T23:15:00Z</dcterms:created>
  <dcterms:modified xsi:type="dcterms:W3CDTF">2013-12-23T23:15:00Z</dcterms:modified>
  <cp:category/>
</cp:coreProperties>
</file>