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from industry colleagues and a separate generated Q1-Q4 workflow dataset. Ten system evaluators gave a mean System Usability Scale score of 89.50 (SD = 3.07); mean perceived usefulness, ease of use and behavioural intention were 4.43, 4.53 and 4.60. An exploratory aggregation of ten pairwise responses produced a consistent AHP group matrix (CR = 0.0822), but proposed weights different from the predefined baseline. The baseline remained active for all reported scoring demonstrations. These results support prototype functionality and favourable descriptive feedback, not predictive validity or measured reduction of knowledge loss.</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Conceptual map of the literature informing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Corrected AHP group result and unchanged live baseline</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w:t>
      </w:r>
    </w:p>
    <w:p w14:paraId="0CC1C154" w14:textId="77777777" w:rsidR="00C50885" w:rsidRDefault="00000000">
      <w:pPr>
        <w:ind w:firstLine="360"/>
      </w:pPr>
      <w:r>
        <w:t>Table 3.1</w:t>
      </w:r>
    </w:p>
    <w:p w14:paraId="00226785" w14:textId="77777777" w:rsidR="00C50885" w:rsidRDefault="00000000">
      <w:pPr>
        <w:ind w:firstLine="360"/>
      </w:pPr>
      <w:r>
        <w:t>Table 3.2</w:t>
      </w:r>
    </w:p>
    <w:p w14:paraId="42EA0F0A" w14:textId="77777777" w:rsidR="00C50885" w:rsidRDefault="00000000">
      <w:pPr>
        <w:ind w:firstLine="360"/>
      </w:pPr>
      <w:r>
        <w:t>Table 4.1</w:t>
      </w:r>
    </w:p>
    <w:p w14:paraId="284FD58B" w14:textId="77777777" w:rsidR="00C50885" w:rsidRDefault="00000000">
      <w:pPr>
        <w:ind w:firstLine="360"/>
      </w:pPr>
      <w:r>
        <w:t>Table 4.2</w:t>
      </w:r>
    </w:p>
    <w:p w14:paraId="19BFEE5F" w14:textId="77777777" w:rsidR="00C50885" w:rsidRDefault="00000000">
      <w:pPr>
        <w:ind w:firstLine="360"/>
      </w:pPr>
      <w:r>
        <w:t>Table 4.3</w:t>
      </w:r>
    </w:p>
    <w:p w14:paraId="732860D1" w14:textId="77777777" w:rsidR="00C50885" w:rsidRDefault="00000000">
      <w:pPr>
        <w:ind w:firstLine="360"/>
      </w:pPr>
      <w:r>
        <w:t>Table 4.4</w:t>
      </w:r>
    </w:p>
    <w:p w14:paraId="6F171581" w14:textId="77777777" w:rsidR="00C50885" w:rsidRDefault="00000000">
      <w:pPr>
        <w:ind w:firstLine="360"/>
      </w:pPr>
      <w:r>
        <w:t>Table 4.5</w:t>
      </w:r>
    </w:p>
    <w:p w14:paraId="63A0DF23" w14:textId="77777777" w:rsidR="00C50885" w:rsidRDefault="00000000">
      <w:pPr>
        <w:ind w:firstLine="360"/>
      </w:pPr>
      <w:r>
        <w:t>Table 4.6</w:t>
      </w:r>
    </w:p>
    <w:p w14:paraId="2D9D237F" w14:textId="77777777" w:rsidR="00C50885" w:rsidRDefault="00000000">
      <w:pPr>
        <w:ind w:firstLine="360"/>
      </w:pPr>
      <w:r>
        <w:t>Table 4.7</w:t>
      </w:r>
    </w:p>
    <w:p w14:paraId="00679A8E" w14:textId="77777777" w:rsidR="00C50885" w:rsidRDefault="00000000">
      <w:pPr>
        <w:ind w:firstLine="360"/>
      </w:pPr>
      <w:r>
        <w:t>Table 4.8</w:t>
      </w:r>
    </w:p>
    <w:p w14:paraId="21A0DDC7" w14:textId="77777777" w:rsidR="00C50885" w:rsidRDefault="00000000">
      <w:pPr>
        <w:ind w:firstLine="360"/>
      </w:pPr>
      <w:r>
        <w:t>Table 5.1</w:t>
      </w:r>
    </w:p>
    <w:p w14:paraId="3368EADF" w14:textId="77777777" w:rsidR="00C50885" w:rsidRDefault="00000000">
      <w:pPr>
        <w:ind w:firstLine="360"/>
      </w:pPr>
      <w:r>
        <w:t>Table 5.2</w:t>
      </w:r>
    </w:p>
    <w:p w14:paraId="5B072B20" w14:textId="77777777" w:rsidR="00C50885" w:rsidRDefault="00000000">
      <w:pPr>
        <w:ind w:firstLine="360"/>
      </w:pPr>
      <w:r>
        <w:t>Table 5.3</w:t>
      </w:r>
    </w:p>
    <w:p w14:paraId="3D0E5AB8" w14:textId="77777777" w:rsidR="00C50885" w:rsidRDefault="00000000">
      <w:pPr>
        <w:ind w:firstLine="360"/>
      </w:pPr>
      <w:r>
        <w:t>Table 5.4</w:t>
      </w:r>
    </w:p>
    <w:p w14:paraId="6ABB147E" w14:textId="77777777" w:rsidR="00C50885" w:rsidRDefault="00000000">
      <w:pPr>
        <w:ind w:firstLine="360"/>
      </w:pPr>
      <w:r>
        <w:t>Table 5.5</w:t>
      </w:r>
    </w:p>
    <w:p w14:paraId="260E02D6" w14:textId="77777777" w:rsidR="00C50885" w:rsidRDefault="00000000">
      <w:pPr>
        <w:ind w:firstLine="360"/>
      </w:pPr>
      <w:r>
        <w:t>Table 5.6</w:t>
      </w:r>
    </w:p>
    <w:p w14:paraId="028F9626" w14:textId="77777777" w:rsidR="00C50885" w:rsidRDefault="00000000">
      <w:pPr>
        <w:ind w:firstLine="360"/>
      </w:pPr>
      <w:r>
        <w:t>Table 5.7</w:t>
      </w:r>
    </w:p>
    <w:p w14:paraId="597FF171" w14:textId="77777777" w:rsidR="00C50885" w:rsidRDefault="00000000">
      <w:pPr>
        <w:ind w:firstLine="360"/>
      </w:pPr>
      <w:r>
        <w:t>Table A.1</w:t>
      </w:r>
    </w:p>
    <w:p>
      <w:r>
        <w:t>Table B.1</w:t>
      </w:r>
    </w:p>
    <w:p>
      <w:r>
        <w:t>Table B.2</w:t>
      </w:r>
    </w:p>
    <w:p w14:paraId="1C5E5A64" w14:textId="77777777" w:rsidR="00C50885" w:rsidRDefault="00000000">
      <w:pPr>
        <w:ind w:firstLine="360"/>
      </w:pPr>
      <w:r>
        <w:t>Table C.1</w:t>
      </w:r>
    </w:p>
    <w:p w14:paraId="6ABE6CBE" w14:textId="77777777" w:rsidR="00C50885" w:rsidRDefault="00000000">
      <w:pPr>
        <w:ind w:firstLine="360"/>
      </w:pPr>
      <w:r>
        <w:t>Table E.1</w:t>
      </w:r>
    </w:p>
    <w:p w14:paraId="265E9AA1" w14:textId="77777777" w:rsidR="00C50885" w:rsidRDefault="00000000">
      <w:pPr>
        <w:ind w:firstLine="360"/>
      </w:pPr>
      <w:r>
        <w:t>Table G.1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assessment of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lastRenderedPageBreak/>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lastRenderedPageBreak/>
        <w:t>evaluating an information-system artefact in response to a practical problem [5].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industry-colleague assessments, a separate generated Q1-Q4 workflow dataset, ten pairwise-comparison responses and ten system-evaluation responses. The prototype was deployed online for evaluator access, not a partner-organization field study. AHP provided an exploratory comparison with the predefined weights; it did not change the scoring configuration used in the evaluation.</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Exploratory AHP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keepNext/>
        <w:spacing w:before="0" w:after="0"/>
        <w:jc w:val="center"/>
        <w:rPr>
          <w:b/>
          <w:bCs/>
        </w:rPr>
      </w:pPr>
      <w:r>
        <w:drawing>
          <wp:inline xmlns:a="http://schemas.openxmlformats.org/drawingml/2006/main" xmlns:pic="http://schemas.openxmlformats.org/drawingml/2006/picture">
            <wp:extent cx="5577840" cy="3834765"/>
            <wp:docPr id="1975458119" name="Picture 1975458119"/>
            <wp:cNvGraphicFramePr>
              <a:graphicFrameLocks noChangeAspect="1"/>
            </wp:cNvGraphicFramePr>
            <a:graphic>
              <a:graphicData uri="http://schemas.openxmlformats.org/drawingml/2006/picture">
                <pic:pic>
                  <pic:nvPicPr>
                    <pic:cNvPr id="0" name="figure_1_1_revised.png"/>
                    <pic:cNvPicPr/>
                  </pic:nvPicPr>
                  <pic:blipFill>
                    <a:blip r:embed="rId21"/>
                    <a:stretch>
                      <a:fillRect/>
                    </a:stretch>
                  </pic:blipFill>
                  <pic:spPr>
                    <a:xfrm>
                      <a:off x="0" y="0"/>
                      <a:ext cx="5577840" cy="3834765"/>
                    </a:xfrm>
                    <a:prstGeom prst="rect"/>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general objective of this study was to design, develop, and evaluate KnowledgeGuard, a decision support prototype that assesses employee-level knowledge-loss risk during organizational transitions and supports structured knowledge-transfer decisions.</w:t>
      </w:r>
    </w:p>
    <w:p w14:paraId="4529E63F" w14:textId="77777777" w:rsidR="00C50885" w:rsidRDefault="00000000">
      <w:pPr>
        <w:ind w:firstLine="360"/>
        <w:jc w:val="both"/>
      </w:pPr>
      <w:r>
        <w:t>The intended contribution was an accountable decision-support workflow rather than an autonomous personnel-decision tool. KnowledgeGuard was therefore designed to make its assessment inputs and risk information visible to a manager, link eligible cases to knowledge-transfer activities, and retain a record of review and approval. The evaluation asks whether this prototype workflow can be implemented and demonstrated within the available evidence setting; it does not claim to establish that the system predicts employee departure or eliminates organizational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Objective 1. To identify literature-informed indicators of employee-level knowledge-loss risk and operationalize them in a structured assessment that flags potentially low-quality response patterns for managerial review.</w:t>
      </w:r>
      <w:r w:rsidR="00645A18"/>
      <w:r/>
    </w:p>
    <w:p w14:paraId="7879FB1E" w14:textId="7825A4DE" w:rsidR="00C50885" w:rsidRDefault="00000000" w:rsidP="00645A18">
      <w:pPr>
        <w:pStyle w:val="ListParagraph"/>
        <w:numPr>
          <w:ilvl w:val="0"/>
          <w:numId w:val="10"/>
        </w:numPr>
        <w:jc w:val="both"/>
      </w:pPr>
      <w:r>
        <w:t>Objective 2. To derive and justify the prototype’s design requirements from relevant knowledge-management, risk-assessment, and decision-support research.</w:t>
      </w:r>
      <w:r w:rsidR="00645A18"/>
      <w:r/>
    </w:p>
    <w:p w14:paraId="7AA3B451" w14:textId="285CBD92" w:rsidR="00C50885" w:rsidRDefault="00000000" w:rsidP="00645A18">
      <w:pPr>
        <w:pStyle w:val="ListParagraph"/>
        <w:numPr>
          <w:ilvl w:val="0"/>
          <w:numId w:val="10"/>
        </w:numPr>
        <w:jc w:val="both"/>
      </w:pPr>
      <w:r>
        <w:t>Objective 3. To design and implement an integrated workflow that combines transparent indicator scoring, manager validation, a supporting machine-learning score, risk classification, and knowledge-transfer planning, task review, and sign-off.</w:t>
      </w:r>
      <w:r w:rsidR="00645A18"/>
      <w:r/>
    </w:p>
    <w:p w14:paraId="75498288" w14:textId="6D9CCDA5" w:rsidR="00C50885" w:rsidRDefault="00000000" w:rsidP="00645A18">
      <w:pPr>
        <w:pStyle w:val="ListParagraph"/>
        <w:numPr>
          <w:ilvl w:val="0"/>
          <w:numId w:val="10"/>
        </w:numPr>
        <w:jc w:val="both"/>
      </w:pPr>
      <w:r>
        <w:t>Objective 4. To evaluate the prototype’s assessment and knowledge-transfer functions through functional testing and to describe perceived usability and acceptance from system-evaluation responses.</w:t>
      </w:r>
      <w:r w:rsidR="00645A18"/>
      <w:r/>
    </w:p>
    <w:p w14:paraId="2F027F84" w14:textId="77777777" w:rsidR="00C50885" w:rsidRDefault="00000000">
      <w:r>
        <w:br w:type="page"/>
      </w:r>
    </w:p>
    <w:p w14:paraId="0DE2B74F" w14:textId="77777777" w:rsidR="00C50885" w:rsidRPr="00645A18" w:rsidRDefault="00000000">
      <w:pPr>
        <w:pStyle w:val="Heading1"/>
        <w:rPr>
          <w:bCs w:val="0"/>
        </w:rPr>
      </w:pPr>
      <w:r>
        <w:t>3. LITERATURE REVIEW</w:t>
      </w:r>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14:paraId="2952F3B8" w14:textId="751B559B" w:rsidR="002765BD" w:rsidRDefault="002765BD">
      <w:pPr>
        <w:pStyle w:val="KGCaption"/>
        <w:jc w:val="center"/>
        <w:rPr>
          <w:b/>
        </w:rPr>
      </w:pPr>
      <w:r>
        <w:rPr>
          <w:b/>
          <w:noProof/>
        </w:rPr>
        <w:lastRenderedPageBreak/>
        <w:drawing>
          <wp:inline distT="0" distB="0" distL="0" distR="0" wp14:anchorId="34B0131F" wp14:editId="0F5B69D9">
            <wp:extent cx="5486411" cy="7772416"/>
            <wp:effectExtent l="0" t="0" r="0" b="0"/>
            <wp:docPr id="178852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7549" name="Picture 1788527549"/>
                    <pic:cNvPicPr/>
                  </pic:nvPicPr>
                  <pic:blipFill>
                    <a:blip r:embed="rId10"/>
                    <a:stretch>
                      <a:fillRect/>
                    </a:stretch>
                  </pic:blipFill>
                  <pic:spPr>
                    <a:xfrm>
                      <a:off x="0" y="0"/>
                      <a:ext cx="5486411" cy="7772416"/>
                    </a:xfrm>
                    <a:prstGeom prst="rect">
                      <a:avLst/>
                    </a:prstGeom>
                  </pic:spPr>
                </pic:pic>
              </a:graphicData>
            </a:graphic>
          </wp:inline>
        </w:drawing>
      </w:r>
    </w:p>
    <w:p w14:paraId="19BF60E7" w14:textId="45C81ED0" w:rsidR="00C50885" w:rsidRPr="00645A18" w:rsidRDefault="00000000">
      <w:pPr>
        <w:pStyle w:val="KGCaption"/>
        <w:jc w:val="center"/>
        <w:rPr>
          <w:b/>
        </w:rPr>
      </w:pPr>
      <w:r w:rsidRPr="00645A18">
        <w:rPr>
          <w:b/>
        </w:rPr>
        <w:t>Figure 3.1: Conceptual map of the literature informing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14:paraId="4072006C" w14:textId="77777777" w:rsidR="00C50885" w:rsidRDefault="00000000">
      <w:pPr>
        <w:ind w:firstLine="360"/>
        <w:jc w:val="both"/>
      </w:pPr>
      <w: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 xml:space="preserve">Table 3.1 compares selected systems and frameworks with the specific problem addressed by KnowledgeGuard. This is not a hands-on product benchmark. It compares </w:t>
      </w:r>
      <w:r w:rsidRPr="00645A18">
        <w:rPr>
          <w:bCs/>
        </w:rPr>
        <w:t>documented or implemented functions only.</w:t>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documents; no employee risk-assessment workflow evaluated</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KT notes and process knowledge; no product test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Related continuity and backup planning; product not tested</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[9],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 of loss depends on the work and services affected [4], [11]</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Length of service may provide context about accumulated experience but does not prove unique expertise [8]</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contextual service-length information with a lower initial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because managers should be able to understand why a case receives a particular risk tier.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14:paraId="5F0918BB" w14:textId="77777777" w:rsidR="00C50885" w:rsidRDefault="00000000">
      <w:pPr>
        <w:ind w:firstLine="360"/>
        <w:jc w:val="both"/>
      </w:pPr>
      <w:r>
        <w:t>AHP provides a structured method for proposing indicator weights through pairwise comparisons and a consistency ratio (CR) that assesses coherence [20]. KnowledgeGuard uses AHP as optional calibration, not as a per-employee calculation. This study compares an aggregated expert-response matrix with the predefined baseline but does not apply its proposed weights. CR below 0.10 indicates acceptable group-matrix consistency; it does not establish that every respondent was consistent or that the weights predict organizational outcomes.</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In KnowledgeGuard, it flags unusual patterns in an employee's risk-score history when sufficient history exists. An alert prompts review; it does not establish the cause of the change or show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KnowledgeGuard uses an external generative-AI service for plain-language risk explanations, KT interview questions, improvement suggestions and manager questions about team risk [23]. In the implemented chat interface, the service may also return a proposed KT plan or assessment validation. The manager sees the proposed action and must select an execution button; the application's ordinary authorization and eligibility routes then process the request. Generated responses can be wrong or incomplete, so they require review. These functions support discussion and workflow rather than independent evidence that risk has decreased.</w:t>
      </w:r>
    </w:p>
    <w:p w14:paraId="4DCC70BC" w14:textId="77777777" w:rsidR="00C50885" w:rsidRDefault="00000000">
      <w:pPr>
        <w:ind w:firstLine="360"/>
        <w:jc w:val="both"/>
      </w:pPr>
      <w:r>
        <w:lastRenderedPageBreak/>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14:paraId="3BAA9C1A" w14:textId="77777777" w:rsidR="00C50885" w:rsidRDefault="00000000">
      <w:pPr>
        <w:ind w:firstLine="360"/>
        <w:jc w:val="both"/>
      </w:pPr>
      <w: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14:paraId="1B336E6F" w14:textId="77777777" w:rsidR="00C50885" w:rsidRDefault="00000000">
      <w:pPr>
        <w:ind w:firstLine="360"/>
        <w:jc w:val="both"/>
      </w:pPr>
      <w:r>
        <w:lastRenderedPageBreak/>
        <w:t>The research gap is therefore an integration and evaluation opportunity, not a claim that no similar technology exists. KnowledgeGuard addresses it by implementing these components in one web-based, manager-reviewed decision-support prototype. Its contribution is not a new ML algorithm, universal indicator weights, or proof of organizational knowledge retention. It is the design, implementation, and limited evaluation of an integrated workflow.</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Four separate evidence sources were used. First, 30 anonymised standalone Q1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mapping to four survey-derived indicators. Each colleague manually supplied an employment start date for the prototype tenure calculation. The responses were not supplied by a partner organization and are not a representative employee cohort.</w:t>
      </w:r>
    </w:p>
    <w:p w14:paraId="53E2E960" w14:textId="77777777" w:rsidR="006F10DC" w:rsidRDefault="006F10DC" w:rsidP="006F10DC">
      <w:pPr>
        <w:ind w:firstLine="360"/>
        <w:jc w:val="both"/>
      </w:pPr>
      <w:r>
        <w:t>Second, a separate generated dataset contains 30 fictional employee identities in each of Q1, Q2, Q3 and Q4: 120 generated assessment rows in total. The same fictional identities link the four test quarters for import and history demonstrations. None is linked to the 30 real colleague responses. These controlled scenarios test score history, manager validation and KT workflow; they are not observed employee follow-up.</w:t>
      </w:r>
    </w:p>
    <w:p w14:paraId="431FD87F" w14:textId="77777777" w:rsidR="006F10DC" w:rsidRDefault="006F10DC" w:rsidP="006F10DC">
      <w:pPr>
        <w:ind w:firstLine="360"/>
        <w:jc w:val="both"/>
      </w:pPr>
      <w:r>
        <w:t>Third, ten working professionals with HR, management, technical or organizational-process experience used the deployed prototype and completed SUS and acceptance items; exact role counts and affiliations were not recorded. Fourth, saved synthetic ML metrics provide implementation evidence. Separately, ten pairwise-comparison responses were collected for exploratory AHP analysis. The corrected importer converts the form's 1-left, 5-equal, 9-right scale to reciprocal ratios before taking geometric means across responses. This comparison was not used to replace the baseline weights during evaluation.</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r>
              <w:t>Q1-Q4</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acceptance ratings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Synthetic ML training records and saved metrics</w:t>
            </w:r>
          </w:p>
        </w:tc>
        <w:tc>
          <w:tcPr>
            <w:tcW w:w="3000" w:type="dxa"/>
            <w:tcBorders>
              <w:top w:val="single" w:sz="4" w:space="0" w:color="000000"/>
              <w:left w:val="single" w:sz="4" w:space="0" w:color="000000"/>
              <w:bottom w:val="single" w:sz="4" w:space="0" w:color="000000"/>
              <w:right w:val="single" w:sz="4" w:space="0" w:color="000000"/>
            </w:tcBorders>
            <w:vAlign w:val="center"/>
          </w:tcPr>
          <w:p>
            <w:r>
              <w:t>500 generated training profiles</w:t>
            </w:r>
          </w:p>
        </w:tc>
        <w:tc>
          <w:tcPr>
            <w:tcW w:w="3000" w:type="dxa"/>
            <w:tcBorders>
              <w:top w:val="single" w:sz="4" w:space="0" w:color="000000"/>
              <w:left w:val="single" w:sz="4" w:space="0" w:color="000000"/>
              <w:bottom w:val="single" w:sz="4" w:space="0" w:color="000000"/>
              <w:right w:val="single" w:sz="4" w:space="0" w:color="000000"/>
            </w:tcBorders>
            <w:vAlign w:val="center"/>
          </w:tcPr>
          <w:p>
            <w:r>
              <w:t>Supporting ML implementation evidence; not real-world prediction validation</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application stakeholders are employees providing assessments, managers reviewing risk and transfer, HR users inspecting authorized results, and backup employees participating in transfer. These roles are distinct from research respondents. The study reports aggregate questionnaire results and uses generated identities for workflow screenshots.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EAFD36A" w14:textId="77777777" w:rsidR="006F10DC" w:rsidRDefault="006F10DC" w:rsidP="008E032A">
            <w:pPr>
              <w:spacing w:after="0"/>
            </w:pPr>
            <w:r>
              <w:rPr>
                <w:sz w:val="21"/>
              </w:rPr>
              <w:t>HR or research user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E4707" w14:textId="77777777" w:rsidR="006F10DC" w:rsidRDefault="006F10DC" w:rsidP="008E032A">
            <w:pPr>
              <w:spacing w:after="0"/>
            </w:pPr>
            <w:r>
              <w:rPr>
                <w:sz w:val="21"/>
              </w:rPr>
              <w:t>Import responses and review risk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8078FE4" w14:textId="77777777" w:rsidR="006F10DC" w:rsidRDefault="006F10DC" w:rsidP="008E032A">
            <w:pPr>
              <w:spacing w:after="0"/>
            </w:pPr>
            <w:r>
              <w:rPr>
                <w:sz w:val="21"/>
              </w:rPr>
              <w:t>Assessment records and dashboard summaries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KT planning requires a High or Critical holder, an eligible backup, task evidence and confirmations, competence review, and manager sign-off before recalculation. The interface uses knowledge-tag overlap to suggest backups and knowledge areas; overlap is guidance, not proof of suitability. The backend checks distinct employee accounts, the manager's team boundary, and the backup's risk tier. It rejects a High or Critical backup even if the interface is bypassed. An unscored backup is not automatically classified as high risk, which limits this safeguard.</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r>
        <w:tc>
          <w:tcPr>
            <w:tcW w:type="dxa" w:w="3000"/>
          </w:tcPr>
          <w:p>
            <w:r>
              <w:t>FR07 Manager assistance</w:t>
            </w:r>
          </w:p>
        </w:tc>
        <w:tc>
          <w:tcPr>
            <w:tcW w:type="dxa" w:w="3000"/>
          </w:tcPr>
          <w:p>
            <w:r>
              <w:t>Show manager-scoped team risk answers and proposed actions requiring confirmation</w:t>
            </w:r>
          </w:p>
        </w:tc>
        <w:tc>
          <w:tcPr>
            <w:tcW w:type="dxa" w:w="3000"/>
          </w:tcPr>
          <w:p>
            <w:r>
              <w:t>Inspect manager chat, confirmation controls and backend role checks</w:t>
            </w:r>
          </w:p>
        </w:tc>
      </w:tr>
      <w:tr>
        <w:tc>
          <w:tcPr>
            <w:tcW w:type="dxa" w:w="3000"/>
          </w:tcPr>
          <w:p>
            <w:r>
              <w:t>FR08 Notifications</w:t>
            </w:r>
          </w:p>
        </w:tc>
        <w:tc>
          <w:tcPr>
            <w:tcW w:type="dxa" w:w="3000"/>
          </w:tcPr>
          <w:p>
            <w:r>
              <w:t>Show in-app workflow alerts; send email when configured</w:t>
            </w:r>
          </w:p>
        </w:tc>
        <w:tc>
          <w:tcPr>
            <w:tcW w:type="dxa" w:w="3000"/>
          </w:tcPr>
          <w:p>
            <w:r>
              <w:t>Inspect alert triggers and email service; record delivery only if observed</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t>Non-functional priorities were role-based access, visible scoring rules, continued formula scoring when ML is unavailable, usable manager review, and maintainable separation of the interface, application server, database and ML service. The evaluation used anonymised or generated inputs. The chatbot sends current team summaries to an external AI provider, and email delivery can include an employee name and risk tier. Organizational use would therefore require approved data sharing, access controls and retention rules. No penetration, load or organizational privacy audit was completed.</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ind w:firstLine="360"/>
        <w:jc w:val="both"/>
      </w:pPr>
      <w:r>
        <w:rPr>
          <w:noProof/>
        </w:rPr>
        <w:lastRenderedPageBreak/>
        <w:drawing>
          <wp:inline distT="0" distB="0" distL="0" distR="0" wp14:anchorId="6DFDD8C7" wp14:editId="4E76AA70">
            <wp:extent cx="5715000" cy="5029200"/>
            <wp:effectExtent l="0" t="0" r="0" b="0"/>
            <wp:docPr id="1798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ind w:firstLine="360"/>
        <w:jc w:val="both"/>
      </w:pPr>
      <w:r>
        <w:rPr>
          <w:noProof/>
        </w:rPr>
        <w:lastRenderedPageBreak/>
        <w:drawing>
          <wp:inline distT="0" distB="0" distL="0" distR="0" wp14:anchorId="66ABD96A" wp14:editId="127CBBD5">
            <wp:extent cx="5124450" cy="7688580"/>
            <wp:effectExtent l="0" t="0" r="0" b="7620"/>
            <wp:docPr id="1058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rsidRPr="00FB4DBC">
        <w:rPr>
          <w:b/>
          <w:bCs/>
        </w:rPr>
        <w:t>Figure 4.2: Class diagram and principal data relationships in KnowledgeGuard.</w:t>
      </w:r>
      <w:r w:rsidR="006F10DC" w:rsidRPr="00FB4DBC">
        <w:rPr>
          <w:b/>
          <w:bCs/>
        </w:rPr>
        <w:t>.</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jc w:val="center"/>
      </w:pPr>
      <w:r>
        <w:rPr>
          <w:noProof/>
        </w:rPr>
        <w:lastRenderedPageBreak/>
        <w:drawing>
          <wp:inline distT="0" distB="0" distL="0" distR="0" wp14:anchorId="5A611E08" wp14:editId="568F47B8">
            <wp:extent cx="4741545" cy="7802880"/>
            <wp:effectExtent l="0" t="0" r="1905" b="7620"/>
            <wp:docPr id="12959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jc w:val="center"/>
      </w:pPr>
      <w:r>
        <w:rPr>
          <w:noProof/>
        </w:rPr>
        <w:lastRenderedPageBreak/>
        <w:drawing>
          <wp:inline distT="0" distB="0" distL="0" distR="0" wp14:anchorId="0E15C0B1" wp14:editId="6FFE4A23">
            <wp:extent cx="7725703" cy="5761987"/>
            <wp:effectExtent l="0" t="8573" r="318" b="31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4"/>
                    <a:stretch>
                      <a:fillRect/>
                    </a:stretch>
                  </pic:blipFill>
                  <pic:spPr>
                    <a:xfrm rot="16200000">
                      <a:off x="0" y="0"/>
                      <a:ext cx="7764281" cy="5790759"/>
                    </a:xfrm>
                    <a:prstGeom prst="rect">
                      <a:avLst/>
                    </a:prstGeom>
                  </pic:spPr>
                </pic:pic>
              </a:graphicData>
            </a:graphic>
          </wp:inline>
        </w:drawing>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lastRenderedPageBreak/>
        <w:t>Figure 4.4 shows the chronological workflow and separates human responsibilities from automated processing. It begins with assessment input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t>The baseline weights are transparent researcher-defined prototype settings informed by literature, not estimated effects. Expertise uniqueness receives 0.25 because concentrated specialist knowledge is difficult to replace [9], [10]. Documentation gap, project criticality and collaboration dependency each receive 0.20 because they represent distinct exposures without evidence for a stronger ordering [1], [2], [11]. Tenure receives 0.15 as context rather than proof of irreplaceability. The percentages sum to 1.00. The later exploratory AHP group result differs from this baseline; it was reported, not applied, so all evaluated scores retain the predefined configuration.</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The system offers AHP calibration of five indicator weights [20]. For raw form responses, the importer maps answers 1-9 to left/right ratios 9, 7, 5, 3, 1, 1/3, 1/5, 1/7 and 1/9, respectively; it then takes the geometric mean for each of ten named comparisons and forms a reciprocal 5 x 5 matrix. The component derives proposed weights from column-normalized row means, estimates lambda_max and calculates CI = (lambda_max - 5)/4 and CR = CI/1.12. The interface permits Apply only for CR &lt; 0.10, and the API independently rejects CR at or above 0.10 without changing settings. A consistent proposal is not applied automatically. The study retained the baseline for scoring comparisons, and group consistency was not treated as predictive validation.</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5B2237B" w14:textId="77777777" w:rsidR="006F10DC" w:rsidRDefault="006F10DC" w:rsidP="008E032A">
            <w:pPr>
              <w:spacing w:after="0"/>
            </w:pPr>
            <w:r>
              <w:rPr>
                <w:sz w:val="21"/>
              </w:rP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8018B" w14:textId="77777777" w:rsidR="006F10DC" w:rsidRDefault="006F10DC" w:rsidP="008E032A">
            <w:pPr>
              <w:spacing w:after="0"/>
            </w:pPr>
            <w:r>
              <w:rPr>
                <w:sz w:val="21"/>
              </w:rPr>
              <w:t>F1 = 0.8526 +/- 0.0487 on synthetic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743025DB" w14:textId="77777777" w:rsidR="006F10DC" w:rsidRDefault="006F10DC" w:rsidP="008E032A">
            <w:pPr>
              <w:spacing w:after="0"/>
            </w:pPr>
            <w:r>
              <w:rPr>
                <w:sz w:val="21"/>
              </w:rPr>
              <w:t>An 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18C23" w14:textId="77777777" w:rsidR="006F10DC" w:rsidRDefault="006F10DC" w:rsidP="008E032A">
            <w:pPr>
              <w:spacing w:after="0"/>
            </w:pPr>
            <w:r>
              <w:rPr>
                <w:sz w:val="21"/>
              </w:rPr>
              <w:t>Feature-importance values: EU .2849, DG .2101, PC .1799, CD .2463, tenure .0788</w:t>
            </w:r>
          </w:p>
        </w:tc>
        <w:tc>
          <w:tcPr>
            <w:tcW w:w="2250" w:type="dxa"/>
            <w:tcBorders>
              <w:top w:val="single" w:sz="4" w:space="0" w:color="000000"/>
              <w:left w:val="single" w:sz="4" w:space="0" w:color="000000"/>
              <w:bottom w:val="single" w:sz="4" w:space="0" w:color="000000"/>
              <w:right w:val="single" w:sz="4" w:space="0" w:color="000000"/>
            </w:tcBorders>
            <w:vAlign w:val="center"/>
          </w:tcPr>
          <w:p w14:paraId="2049DA68" w14:textId="77777777" w:rsidR="006F10DC" w:rsidRDefault="006F10DC" w:rsidP="008E032A">
            <w:pPr>
              <w:spacing w:after="0"/>
            </w:pPr>
            <w:r>
              <w:rPr>
                <w:sz w:val="21"/>
              </w:rPr>
              <w:t>Metrics endpoint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4C8A64" w14:textId="77777777" w:rsidR="006F10DC" w:rsidRDefault="006F10DC" w:rsidP="008E032A">
            <w:pPr>
              <w:spacing w:after="0"/>
            </w:pPr>
            <w:r>
              <w:rPr>
                <w:sz w:val="21"/>
              </w:rP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r>
        <w:t>The saved model evaluated here was trained on 500 synthetic profiles. Each label was a tier calculated from the baseline formula, so the classifier's measured performance shows how well it reproduces that configured rule. KnowledgeGuard can also retrain from real manager-validated assessment records: the route extracts the same five features, creates a label from the manager-scored formula, and ordinarily requires at least ten usable records from at least two tiers. This capability was not used for the reported model. Manager-derived labels remain assessment judgements; independent observed continuity outcomes would be needed to test prediction of actual knowledge loss.</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jc w:val="center"/>
      </w:pPr>
      <w:r>
        <w:rPr>
          <w:noProof/>
        </w:rPr>
        <w:drawing>
          <wp:inline distT="0" distB="0" distL="0" distR="0" wp14:anchorId="53A710D4" wp14:editId="63C07C6C">
            <wp:extent cx="6050280" cy="3230880"/>
            <wp:effectExtent l="0" t="0" r="7620" b="7620"/>
            <wp:docPr id="633810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jc w:val="center"/>
        <w:rPr>
          <w:b/>
          <w:bCs/>
        </w:rPr>
      </w:pPr>
      <w:r>
        <w:rPr>
          <w:b/>
          <w:bCs/>
          <w:noProof/>
        </w:rPr>
        <w:drawing>
          <wp:inline distT="0" distB="0" distL="0" distR="0" wp14:anchorId="73018567" wp14:editId="7DD7EC93">
            <wp:extent cx="6523485" cy="5029606"/>
            <wp:effectExtent l="4128" t="0" r="0" b="0"/>
            <wp:docPr id="197545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holder, the manager selects a backup, knowledge areas, priority and deadline. Tags pre-populate areas and rank candidates, but an eligible candidate without overlap can still be selected. The backend rejects a High or Critical backup. It requests AI interview questions and falls back to default questions if necessary. The plan creates five tasks: documentation, shadowing, structured interview, independent backup practice with competence rating, and sign-off. Participants confirm sessions; the manager reviews evidence. Sign-off requires prior tasks to be complete. Recorded completion does not establish lasting competence.</w:t>
      </w:r>
    </w:p>
    <w:p>
      <w:r>
        <w:t>A manager-facing chat assistant can answer questions about the manager's active team using current risk summaries and propose a KT plan or validation change. The interface displays an action proposal and waits for the manager to select Execute or Validate. The backend still enforces role, holder and backup rules. In-app alerts notify users about risk-tier changes, assessments needing validation and KT task review. Email templates support risk alerts and reminders when Gmail credentials are configured; delivery was not measured in this study. These supporting functions were not separate outcomes in the SUS/TAM protocol.</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At sign-off, approved evidence can reduce DG by up to 3 points, EU by up to 3 according to backup competence, and CD by up to 2 when shadowing and interview requirements are met. Reductions apply to employee and available manager scores, with a floor of 1; PC and tenure do not change. The formula component can fall by at most 0.25(3) + 0.20(3) + 0.20(2) = 1.75 points before bounds. The final blended score can differ because manager and ML components are recalculated. Sign-off does not create a later-quarter assessment.</w:t>
      </w:r>
    </w:p>
    <w:p w14:paraId="1A1966CA" w14:textId="36EC68A6" w:rsidR="008F5B1C" w:rsidRDefault="008F5B1C" w:rsidP="006F10DC">
      <w:pPr>
        <w:pStyle w:val="KGCaption"/>
        <w:jc w:val="center"/>
        <w:rPr>
          <w:b/>
          <w:bCs/>
        </w:rPr>
      </w:pPr>
      <w:r>
        <w:rPr>
          <w:b/>
          <w:bCs/>
          <w:noProof/>
        </w:rPr>
        <w:drawing>
          <wp:inline distT="0" distB="0" distL="0" distR="0" wp14:anchorId="267781EC" wp14:editId="6AC9BDB6">
            <wp:extent cx="5715000" cy="5758815"/>
            <wp:effectExtent l="0" t="0" r="0" b="0"/>
            <wp:docPr id="45479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lastRenderedPageBreak/>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the questionnaire import and indicator mapping, then added transparent scoring and manager review. A separate Python service supplied classifier and history-anomaly functions. KT planning added eligibility, evidence, confirmations, competence review and sign-off. Manager chat and notifications were added as supporting ways to inspect and act on these records. The system stores scores and task states so a case can be followed across these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Evaluation followed the four objectives. For O1, collected colleague responses were checked for indicator mapping, tenure-based scoring and quality warnings. Ten pairwise responses were converted and aggregated for an exploratory AHP comparison; the group's CR and proposed weights were reported separately from the baseline configuration. Controlled matrices tested whether an inconsistent proposal leaves stored settings unchanged. The generated Q1-Q4 records checked repeated import and score history without representing follow-up of the colleagues. Neither the exploratory AHP result nor the controlled safeguard changed the scoring weights used in the other demonstrations.</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Aspect</w:t>
            </w:r>
          </w:p>
        </w:tc>
        <w:tc>
          <w:tcPr>
            <w:tcW w:w="3000" w:type="dxa"/>
            <w:tcBorders>
              <w:top w:val="single" w:sz="4" w:space="0" w:color="000000"/>
              <w:left w:val="single" w:sz="4" w:space="0" w:color="000000"/>
              <w:bottom w:val="single" w:sz="4" w:space="0" w:color="000000"/>
              <w:right w:val="single" w:sz="4" w:space="0" w:color="000000"/>
            </w:tcBorders>
            <w:vAlign w:val="center"/>
          </w:tcPr>
          <w:p>
            <w: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CR safeguard for a submitted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Configuration screen and implementation test; not baseline-weight validation</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SUS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calculation and n = 10</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t>A KT example reports scoreDelta as final score minus previous score. A later-quarter value requires a separate generated assessment import. These outputs verify workflow arithmetic, not reduced organizational disruption. The study had no independent departure or retention labels for predictive validation. Non-functional qualities are reported only where a corresponding check exists.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standalone colleague responses and start dates for Q1 mapping, and separate generated Q1-Q4 records for workflow demonstration. Questionnaire results are reported in aggregate. Manager chat sends team names, identifiers, tags and risk summaries to the configured external AI provider; email templates can contain names and risk tiers. The demonstration used fictional identities. Real organizational deployment would require consent or another appropriate basis, data minimization, provider review and retention controls before these functions process employee information. Risk tiers support continuity preparation, not employment decisions.</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14:paraId="449776AB" w14:textId="45FB83CB" w:rsidR="00C50885" w:rsidRDefault="00000000">
      <w:pPr>
        <w:pStyle w:val="Heading1"/>
      </w:pPr>
      <w:bookmarkStart w:id="52" w:name="_Toc241869543"/>
      <w:r>
        <w:rPr>
          <w:rFonts w:ascii="Times New Roman" w:hAnsi="Times New Roman"/>
          <w:b w:val="0"/>
        </w:rPr>
        <w:lastRenderedPageBreak/>
        <w:t>5</w:t>
      </w:r>
      <w:r w:rsidR="008F5B1C">
        <w:rPr>
          <w:rFonts w:ascii="Times New Roman" w:hAnsi="Times New Roman"/>
          <w:b w:val="0"/>
        </w:rPr>
        <w:t>.</w:t>
      </w:r>
      <w:r>
        <w:rPr>
          <w:rFonts w:ascii="Times New Roman" w:hAnsi="Times New Roman"/>
          <w:b w:val="0"/>
        </w:rPr>
        <w:t xml:space="preserve"> RESULTS</w:t>
      </w:r>
      <w:bookmarkEnd w:id="52"/>
    </w:p>
    <w:p w14:paraId="01B0466E" w14:textId="77777777" w:rsidR="00C50885" w:rsidRDefault="00000000">
      <w:pPr>
        <w:pStyle w:val="Heading2"/>
      </w:pPr>
      <w:bookmarkStart w:id="53" w:name="_Toc241869544"/>
      <w:r>
        <w:rPr>
          <w:rFonts w:ascii="Times New Roman" w:hAnsi="Times New Roman"/>
          <w:b w:val="0"/>
        </w:rPr>
        <w:t>5.1 Chapter overview</w:t>
      </w:r>
      <w:bookmarkEnd w:id="53"/>
    </w:p>
    <w:p w14:paraId="628AA84D" w14:textId="77777777" w:rsidR="00C50885" w:rsidRDefault="00000000">
      <w:pPr>
        <w:ind w:firstLine="360"/>
        <w:jc w:val="both"/>
      </w:pPr>
      <w: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14:paraId="7C67709B" w14:textId="77777777" w:rsidR="00C50885" w:rsidRDefault="00000000">
      <w:pPr>
        <w:pStyle w:val="Heading2"/>
      </w:pPr>
      <w:bookmarkStart w:id="54" w:name="_Toc241869545"/>
      <w:r>
        <w:rPr>
          <w:rFonts w:ascii="Times New Roman" w:hAnsi="Times New Roman"/>
          <w:b w:val="0"/>
        </w:rPr>
        <w:t>5.2 Final data and evaluation setting</w:t>
      </w:r>
      <w:bookmarkEnd w:id="54"/>
    </w:p>
    <w:p w14:paraId="2757EAF6" w14:textId="77777777" w:rsidR="00C50885" w:rsidRDefault="00000000">
      <w:pPr>
        <w:ind w:firstLine="360"/>
        <w:jc w:val="both"/>
      </w:pPr>
      <w:r>
        <w:t>The results draw on five distinct sources: 30 standalone colleague Q1 responses with manually supplied start dates for input mapping; 120 generated Q1-Q4 records for 30 fictional identities for workflow tests; ten deployed-prototype SUS/TAM evaluations; saved synthetic ML metrics; and ten pairwise responses for exploratory AHP analysis. Real colleague responses and generated identities were never joined. Online evaluator access was not a partner-organization field study. The AHP group result did not alter the baseline weights used for the system demonstrations.</w:t>
      </w:r>
    </w:p>
    <w:p w14:paraId="72DDB48F" w14:textId="77777777" w:rsidR="00C50885" w:rsidRDefault="00000000">
      <w:pPr>
        <w:pStyle w:val="KGCaption"/>
      </w:pPr>
      <w:r>
        <w:t>Table 5.1: Final evaluation setting</w:t>
      </w:r>
    </w:p>
    <w:tbl>
      <w:tblPr>
        <w:tblStyle w:val="TableGrid"/>
        <w:tblW w:w="0" w:type="auto"/>
        <w:jc w:val="center"/>
        <w:tblLook w:val="04A0" w:firstRow="1" w:lastRow="0" w:firstColumn="1" w:lastColumn="0" w:noHBand="0" w:noVBand="1"/>
      </w:tblPr>
      <w:tblGrid>
        <w:gridCol w:w="3000"/>
        <w:gridCol w:w="3000"/>
        <w:gridCol w:w="3000"/>
      </w:tblGrid>
      <w:tr w:rsidR="00C50885" w14:paraId="3B08AD1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w:t>
            </w:r>
          </w:p>
        </w:tc>
        <w:tc>
          <w:tcPr>
            <w:tcW w:w="3000" w:type="dxa"/>
            <w:tcBorders>
              <w:top w:val="single" w:sz="4" w:space="0" w:color="000000"/>
              <w:left w:val="single" w:sz="4" w:space="0" w:color="000000"/>
              <w:bottom w:val="single" w:sz="4" w:space="0" w:color="000000"/>
              <w:right w:val="single" w:sz="4" w:space="0" w:color="000000"/>
            </w:tcBorders>
            <w:vAlign w:val="center"/>
          </w:tcPr>
          <w:p>
            <w:r>
              <w:t>Permitted result</w:t>
            </w:r>
          </w:p>
        </w:tc>
      </w:tr>
      <w:tr w:rsidR="00C50885" w14:paraId="27AE4F4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industry-colleague responses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Response-to-indicator mapping, descriptive prototype input and tenure calculation</w:t>
            </w:r>
          </w:p>
        </w:tc>
      </w:tr>
      <w:tr w:rsidR="00C50885" w14:paraId="3550B7E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generated Q1-Q4 test records</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Q1-Q4 scenario sequence</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import, score-history and workflow demonstration only; separate from colleague responses</w:t>
            </w:r>
          </w:p>
        </w:tc>
      </w:tr>
      <w:tr w:rsidR="00C50885" w14:paraId="47FB10B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TAM findings</w:t>
            </w:r>
          </w:p>
        </w:tc>
      </w:tr>
      <w:tr w:rsidR="00C50885" w14:paraId="4766D51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Saved 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ML configuration and saved-model evidence only</w:t>
            </w:r>
          </w:p>
        </w:tc>
      </w:tr>
    </w:tbl>
    <w:p w14:paraId="4F09E145" w14:textId="77777777" w:rsidR="00C50885" w:rsidRDefault="00C50885">
      <w:pPr>
        <w:spacing w:after="60"/>
      </w:pPr>
    </w:p>
    <w:p w14:paraId="4913EEF4" w14:textId="77777777" w:rsidR="00C50885" w:rsidRDefault="00000000">
      <w:pPr>
        <w:pStyle w:val="Heading2"/>
      </w:pPr>
      <w:bookmarkStart w:id="55" w:name="_Toc241869546"/>
      <w:r>
        <w:rPr>
          <w:rFonts w:ascii="Times New Roman" w:hAnsi="Times New Roman"/>
          <w:b w:val="0"/>
        </w:rPr>
        <w:t>5.3 Developed artefact and analytical outputs</w:t>
      </w:r>
      <w:bookmarkEnd w:id="55"/>
    </w:p>
    <w:p w14:paraId="1CC2ED25" w14:textId="77777777" w:rsidR="00C50885" w:rsidRDefault="00000000">
      <w:pPr>
        <w:ind w:firstLine="360"/>
        <w:jc w:val="both"/>
      </w:pPr>
      <w:r>
        <w:t>The artefact connects CSV assessment import, transparent scores, manager validation, eligible KT planning, five transfer tasks, sign-off and score history. Knowledge tags suggest backups, while the backend blocks a high- or critical-risk backup. A supporting manager chat can explain team risk and propose a plan or validation for the manager to confirm. In-app alerts and conditionally configured email draw attention to pending risk and KT work. The chatbot and email functions are implementation features; the evaluation questionnaire did not isolate their usability or effectiveness.</w:t>
      </w:r>
    </w:p>
    <w:p w14:paraId="7D106A7F"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5.1: synthetic preliminary risk profile before manager validation.]</w:t>
      </w:r>
    </w:p>
    <w:p w14:paraId="79D283F8" w14:textId="77777777" w:rsidR="00C50885" w:rsidRDefault="00000000">
      <w:pPr>
        <w:pStyle w:val="KGCaption"/>
        <w:jc w:val="center"/>
      </w:pPr>
      <w:r>
        <w:t>Figure 5.1: Preliminary assessment of a synthetic demonstration record before manager validation, showing indicator-based formula scoring, supporting machine-learning output, and pending human review.</w:t>
      </w:r>
    </w:p>
    <w:p w14:paraId="1C1DA86C"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5.2: same synthetic profile after manager validation.]</w:t>
      </w:r>
    </w:p>
    <w:p w14:paraId="38D2FD4B" w14:textId="77777777" w:rsidR="00C50885" w:rsidRDefault="00000000">
      <w:pPr>
        <w:pStyle w:val="KGCaption"/>
        <w:jc w:val="center"/>
      </w:pPr>
      <w:r>
        <w:t>Figure 5.2: Manager validation of the same synthetic demonstration assessment, showing recorded human review and the resulting validated risk classification.</w:t>
      </w:r>
    </w:p>
    <w:p w14:paraId="114BF9B8"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5.3: synthetic KT plan creation and backup safeguards.]</w:t>
      </w:r>
    </w:p>
    <w:p w14:paraId="2AB7C8A9" w14:textId="77777777" w:rsidR="00C50885" w:rsidRDefault="00000000">
      <w:pPr>
        <w:pStyle w:val="KGCaption"/>
        <w:jc w:val="center"/>
      </w:pPr>
      <w:r>
        <w:t>Figure 5.3: Knowledge-transfer plan creation for a synthetic validated-risk case, showing knowledge-tag guidance and risk-based backup-selection safeguards.</w:t>
      </w:r>
    </w:p>
    <w:p w14:paraId="6799B370"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5.4: five-stage KT task states.]</w:t>
      </w:r>
    </w:p>
    <w:p w14:paraId="0E85CACC" w14:textId="77777777" w:rsidR="00C50885" w:rsidRDefault="00000000">
      <w:pPr>
        <w:pStyle w:val="KGCaption"/>
        <w:jc w:val="center"/>
      </w:pPr>
      <w:r>
        <w:t>Figure 5.4: Five-stage knowledge-transfer workflow for a synthetic High- or Critical-risk demonstration case.</w:t>
      </w:r>
    </w:p>
    <w:p w14:paraId="3DC1B84B"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5.5: re-import the ten expert responses with the corrected raw-form importer; show CR 0.0822, proposed weights, and the unchanged baseline in Current Live Formula. Do not reuse the old CR 0.2000 screenshot as the expert result.]</w:t>
      </w:r>
    </w:p>
    <w:p w14:paraId="4BC7FA53" w14:textId="77777777" w:rsidR="00C50885" w:rsidRDefault="00000000">
      <w:pPr>
        <w:pStyle w:val="KGCaption"/>
        <w:jc w:val="center"/>
      </w:pPr>
      <w:r>
        <w:t>Figure 5.5: Corrected AHP group result from ten pairwise responses, with proposed weights not applied to the live baseline.</w:t>
      </w:r>
    </w:p>
    <w:p w14:paraId="51DB1D4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5.6: generated Q1-Q4 score history.]</w:t>
      </w:r>
    </w:p>
    <w:p w14:paraId="5DFE8EBF" w14:textId="77777777" w:rsidR="00C50885" w:rsidRDefault="00000000">
      <w:pPr>
        <w:pStyle w:val="KGCaption"/>
        <w:jc w:val="center"/>
      </w:pPr>
      <w:r>
        <w:t>Figure 5.6: Quarterly score-history demonstration using a separate generated dataset; it does not represent real employee longitudinal observations.</w:t>
      </w:r>
    </w:p>
    <w:p w14:paraId="09B71573" w14:textId="77777777" w:rsidR="00C50885" w:rsidRDefault="00000000">
      <w:pPr>
        <w:ind w:firstLine="360"/>
        <w:jc w:val="both"/>
      </w:pPr>
      <w: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14:paraId="4FBE8B02" w14:textId="77777777" w:rsidR="00C50885" w:rsidRDefault="00000000">
      <w:pPr>
        <w:pStyle w:val="Heading3"/>
      </w:pPr>
      <w:bookmarkStart w:id="56" w:name="_Toc241869547"/>
      <w:r>
        <w:rPr>
          <w:rFonts w:ascii="Times New Roman" w:hAnsi="Times New Roman"/>
          <w:b w:val="0"/>
        </w:rPr>
        <w:t>5.3.1 Simulated knowledge-transfer trace</w:t>
      </w:r>
      <w:bookmarkEnd w:id="56"/>
    </w:p>
    <w:p w14:paraId="5BE7A856" w14:textId="77777777" w:rsidR="00C50885" w:rsidRDefault="00000000">
      <w:pPr>
        <w:ind w:firstLine="360"/>
        <w:jc w:val="both"/>
      </w:pPr>
      <w: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14:paraId="56594C5B" w14:textId="77777777" w:rsidR="00EC3DAD" w:rsidRDefault="00EC3DAD">
      <w:pPr>
        <w:ind w:firstLine="360"/>
        <w:jc w:val="both"/>
      </w:pPr>
    </w:p>
    <w:p w14:paraId="530F7774" w14:textId="77777777" w:rsidR="00EC3DAD" w:rsidRDefault="00EC3DAD">
      <w:pPr>
        <w:ind w:firstLine="360"/>
        <w:jc w:val="both"/>
      </w:pPr>
    </w:p>
    <w:p w14:paraId="5E9B9996" w14:textId="77777777" w:rsidR="00EC3DAD" w:rsidRDefault="00EC3DAD">
      <w:pPr>
        <w:ind w:firstLine="360"/>
        <w:jc w:val="both"/>
      </w:pPr>
    </w:p>
    <w:p w14:paraId="046D54B8" w14:textId="77777777" w:rsidR="00EC3DAD" w:rsidRDefault="00EC3DAD">
      <w:pPr>
        <w:ind w:firstLine="360"/>
        <w:jc w:val="both"/>
      </w:pPr>
    </w:p>
    <w:p w14:paraId="6131D890" w14:textId="77777777" w:rsidR="00C50885" w:rsidRDefault="00000000">
      <w:pPr>
        <w:pStyle w:val="KGCaption"/>
      </w:pPr>
      <w:r>
        <w:lastRenderedPageBreak/>
        <w:t>Table 5.2: Simulated knowledge-transfer score trace</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50885" w14:paraId="3ACC7F75"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04DE6AD" w14:textId="77777777" w:rsidR="00C50885" w:rsidRDefault="00000000">
            <w:pPr>
              <w:jc w:val="center"/>
            </w:pPr>
            <w:r>
              <w:rPr>
                <w:b/>
                <w:sz w:val="22"/>
              </w:rPr>
              <w:t>Stage</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756EF" w14:textId="77777777" w:rsidR="00C50885" w:rsidRDefault="00000000">
            <w:pPr>
              <w:jc w:val="center"/>
            </w:pPr>
            <w:r>
              <w:rPr>
                <w:b/>
                <w:sz w:val="22"/>
              </w:rPr>
              <w:t>EU, DG, PC, CD, T</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F1BA" w14:textId="77777777" w:rsidR="00C50885" w:rsidRDefault="00000000">
            <w:pPr>
              <w:jc w:val="center"/>
            </w:pPr>
            <w:r>
              <w:rPr>
                <w:b/>
                <w:sz w:val="22"/>
              </w:rPr>
              <w:t>Formula component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60BC63C8" w14:textId="77777777" w:rsidR="00C50885" w:rsidRDefault="00000000">
            <w:pPr>
              <w:jc w:val="center"/>
            </w:pPr>
            <w:r>
              <w:rPr>
                <w:b/>
                <w:sz w:val="22"/>
              </w:rPr>
              <w:t>Observed or derived system state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CC91F" w14:textId="77777777" w:rsidR="00C50885" w:rsidRDefault="00000000">
            <w:pPr>
              <w:jc w:val="center"/>
            </w:pPr>
            <w:r>
              <w:rPr>
                <w:b/>
                <w:sz w:val="22"/>
              </w:rPr>
              <w:t>Evidence boundary</w:t>
            </w:r>
          </w:p>
        </w:tc>
      </w:tr>
      <w:tr w:rsidR="00C50885" w14:paraId="1F9C8536"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427322" w14:textId="77777777" w:rsidR="00C50885" w:rsidRDefault="00000000">
            <w:pPr>
              <w:spacing w:after="0"/>
            </w:pPr>
            <w:r>
              <w:rPr>
                <w:sz w:val="21"/>
              </w:rPr>
              <w:t>Before KT sign-off</w:t>
            </w:r>
          </w:p>
        </w:tc>
        <w:tc>
          <w:tcPr>
            <w:tcW w:w="1800" w:type="dxa"/>
            <w:tcBorders>
              <w:top w:val="single" w:sz="4" w:space="0" w:color="000000"/>
              <w:left w:val="single" w:sz="4" w:space="0" w:color="000000"/>
              <w:bottom w:val="single" w:sz="4" w:space="0" w:color="000000"/>
              <w:right w:val="single" w:sz="4" w:space="0" w:color="000000"/>
            </w:tcBorders>
            <w:vAlign w:val="center"/>
          </w:tcPr>
          <w:p w14:paraId="5A47D211" w14:textId="77777777" w:rsidR="00C50885" w:rsidRDefault="00000000">
            <w:pPr>
              <w:spacing w:after="0"/>
            </w:pPr>
            <w:r>
              <w:rPr>
                <w:sz w:val="21"/>
              </w:rPr>
              <w:t>9, 8, 9, 7, 10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052B38A" w14:textId="77777777" w:rsidR="00C50885" w:rsidRDefault="00000000">
            <w:pPr>
              <w:spacing w:after="0"/>
            </w:pPr>
            <w:r>
              <w:rPr>
                <w:sz w:val="21"/>
              </w:rPr>
              <w:t>8.55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BE750C" w14:textId="77777777" w:rsidR="00C50885" w:rsidRDefault="00000000">
            <w:pPr>
              <w:spacing w:after="0"/>
            </w:pPr>
            <w:r>
              <w:rPr>
                <w:sz w:val="21"/>
              </w:rPr>
              <w:t>Arithmetic worked case: formula 8.55; manager 8.50; ML 6.50 maximum; final 8.12, high</w:t>
            </w:r>
          </w:p>
        </w:tc>
        <w:tc>
          <w:tcPr>
            <w:tcW w:w="1800" w:type="dxa"/>
            <w:tcBorders>
              <w:top w:val="single" w:sz="4" w:space="0" w:color="000000"/>
              <w:left w:val="single" w:sz="4" w:space="0" w:color="000000"/>
              <w:bottom w:val="single" w:sz="4" w:space="0" w:color="000000"/>
              <w:right w:val="single" w:sz="4" w:space="0" w:color="000000"/>
            </w:tcBorders>
            <w:vAlign w:val="center"/>
          </w:tcPr>
          <w:p w14:paraId="589D24E0" w14:textId="77777777" w:rsidR="00C50885" w:rsidRDefault="00000000">
            <w:pPr>
              <w:spacing w:after="0"/>
            </w:pPr>
            <w:r>
              <w:rPr>
                <w:sz w:val="21"/>
              </w:rPr>
              <w:t>Arithmetic check using the implemented formula and blend</w:t>
            </w:r>
          </w:p>
        </w:tc>
      </w:tr>
      <w:tr w:rsidR="00C50885" w14:paraId="4B8730F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AF284E" w14:textId="77777777" w:rsidR="00C50885" w:rsidRDefault="00000000">
            <w:pPr>
              <w:spacing w:after="0"/>
            </w:pPr>
            <w:r>
              <w:rPr>
                <w:sz w:val="21"/>
              </w:rPr>
              <w:t>After approved documentation, shadowing, interview and fully competent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AA2150" w14:textId="77777777" w:rsidR="00C50885" w:rsidRDefault="00000000">
            <w:pPr>
              <w:spacing w:after="0"/>
            </w:pPr>
            <w:r>
              <w:rPr>
                <w:sz w:val="21"/>
              </w:rPr>
              <w:t>6, 5, 9, 5, 10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CBFE6" w14:textId="77777777" w:rsidR="00C50885" w:rsidRDefault="00000000">
            <w:pPr>
              <w:spacing w:after="0"/>
            </w:pPr>
            <w:r>
              <w:rPr>
                <w:sz w:val="21"/>
              </w:rPr>
              <w:t>6.80</w:t>
            </w:r>
          </w:p>
        </w:tc>
        <w:tc>
          <w:tcPr>
            <w:tcW w:w="1800" w:type="dxa"/>
            <w:tcBorders>
              <w:top w:val="single" w:sz="4" w:space="0" w:color="000000"/>
              <w:left w:val="single" w:sz="4" w:space="0" w:color="000000"/>
              <w:bottom w:val="single" w:sz="4" w:space="0" w:color="000000"/>
              <w:right w:val="single" w:sz="4" w:space="0" w:color="000000"/>
            </w:tcBorders>
            <w:vAlign w:val="center"/>
          </w:tcPr>
          <w:p w14:paraId="22EA991F" w14:textId="77777777" w:rsidR="00C50885" w:rsidRDefault="00000000">
            <w:pPr>
              <w:spacing w:after="0"/>
            </w:pPr>
            <w:r>
              <w:rPr>
                <w:sz w:val="21"/>
              </w:rPr>
              <w:t>KT service applies EU -3, DG -3 and CD -2; manager and ML components are re-queried</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10771" w14:textId="77777777" w:rsidR="00C50885" w:rsidRDefault="00000000">
            <w:pPr>
              <w:spacing w:after="0"/>
            </w:pPr>
            <w:r>
              <w:rPr>
                <w:sz w:val="21"/>
              </w:rPr>
              <w:t>Simulated code-path trace, not a real knowledge-retention result</w:t>
            </w:r>
          </w:p>
        </w:tc>
      </w:tr>
      <w:tr w:rsidR="00C50885" w14:paraId="39E1B18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C6E9FC5" w14:textId="77777777" w:rsidR="00C50885" w:rsidRDefault="00000000">
            <w:pPr>
              <w:spacing w:after="0"/>
            </w:pPr>
            <w:r>
              <w:rPr>
                <w:sz w:val="21"/>
              </w:rPr>
              <w:t>Later assessment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5AF3FDD7" w14:textId="77777777" w:rsidR="00C50885" w:rsidRDefault="00000000">
            <w:pPr>
              <w:spacing w:after="0"/>
            </w:pPr>
            <w:r>
              <w:rPr>
                <w:sz w:val="21"/>
              </w:rPr>
              <w:t>Separately imported record from the Q1-Q4 test dataset</w:t>
            </w:r>
          </w:p>
        </w:tc>
        <w:tc>
          <w:tcPr>
            <w:tcW w:w="1800" w:type="dxa"/>
            <w:tcBorders>
              <w:top w:val="single" w:sz="4" w:space="0" w:color="000000"/>
              <w:left w:val="single" w:sz="4" w:space="0" w:color="000000"/>
              <w:bottom w:val="single" w:sz="4" w:space="0" w:color="000000"/>
              <w:right w:val="single" w:sz="4" w:space="0" w:color="000000"/>
            </w:tcBorders>
            <w:vAlign w:val="center"/>
          </w:tcPr>
          <w:p w14:paraId="5D5E0090" w14:textId="77777777" w:rsidR="00C50885" w:rsidRDefault="00000000">
            <w:pPr>
              <w:spacing w:after="0"/>
            </w:pPr>
            <w:r>
              <w:rPr>
                <w:sz w:val="21"/>
              </w:rPr>
              <w:t>Calculated from that record</w:t>
            </w:r>
          </w:p>
        </w:tc>
        <w:tc>
          <w:tcPr>
            <w:tcW w:w="1800" w:type="dxa"/>
            <w:tcBorders>
              <w:top w:val="single" w:sz="4" w:space="0" w:color="000000"/>
              <w:left w:val="single" w:sz="4" w:space="0" w:color="000000"/>
              <w:bottom w:val="single" w:sz="4" w:space="0" w:color="000000"/>
              <w:right w:val="single" w:sz="4" w:space="0" w:color="000000"/>
            </w:tcBorders>
            <w:vAlign w:val="center"/>
          </w:tcPr>
          <w:p w14:paraId="7A487DE2" w14:textId="77777777" w:rsidR="00C50885" w:rsidRDefault="00000000">
            <w:pPr>
              <w:spacing w:after="0"/>
            </w:pPr>
            <w:r>
              <w:rPr>
                <w:sz w:val="21"/>
              </w:rPr>
              <w:t>Creates a new score-history observation and delta</w:t>
            </w:r>
          </w:p>
        </w:tc>
        <w:tc>
          <w:tcPr>
            <w:tcW w:w="1800" w:type="dxa"/>
            <w:tcBorders>
              <w:top w:val="single" w:sz="4" w:space="0" w:color="000000"/>
              <w:left w:val="single" w:sz="4" w:space="0" w:color="000000"/>
              <w:bottom w:val="single" w:sz="4" w:space="0" w:color="000000"/>
              <w:right w:val="single" w:sz="4" w:space="0" w:color="000000"/>
            </w:tcBorders>
            <w:vAlign w:val="center"/>
          </w:tcPr>
          <w:p w14:paraId="4A1244AE" w14:textId="77777777" w:rsidR="00C50885" w:rsidRDefault="00000000">
            <w:pPr>
              <w:spacing w:after="0"/>
            </w:pPr>
            <w:r>
              <w:rPr>
                <w:sz w:val="21"/>
              </w:rPr>
              <w:t>Generated demonstration data only</w:t>
            </w:r>
          </w:p>
        </w:tc>
      </w:tr>
    </w:tbl>
    <w:p w14:paraId="2264A4F2" w14:textId="77777777" w:rsidR="00C50885" w:rsidRDefault="00C50885">
      <w:pPr>
        <w:spacing w:after="60"/>
      </w:pPr>
    </w:p>
    <w:p w14:paraId="0A189908" w14:textId="77777777" w:rsidR="00C50885" w:rsidRDefault="00000000">
      <w:pPr>
        <w:pStyle w:val="Heading2"/>
      </w:pPr>
      <w:r>
        <w:t>5.4 Core functional test results and implementation evidence</w:t>
      </w:r>
    </w:p>
    <w:p w14:paraId="6CB37576" w14:textId="77777777" w:rsidR="00C50885" w:rsidRDefault="00000000">
      <w:pPr>
        <w:ind w:firstLine="360"/>
        <w:jc w:val="both"/>
      </w:pPr>
      <w:r>
        <w:t>Table 5.3 records the principal functional checks for KnowledgeGuard. Results supported by interface screenshots, controlled test data or executed unit tests are identified separately from implementation inspection. An implementation-inspection result shows that the rule is present in the supplied code but is not presented as a live end-to-end test.</w:t>
      </w:r>
    </w:p>
    <w:p w14:paraId="4A01211F" w14:textId="77777777" w:rsidR="00671153" w:rsidRDefault="00671153">
      <w:pPr>
        <w:ind w:firstLine="360"/>
        <w:jc w:val="both"/>
      </w:pPr>
    </w:p>
    <w:p w14:paraId="1B34C436" w14:textId="77777777" w:rsidR="00671153" w:rsidRDefault="00671153">
      <w:pPr>
        <w:ind w:firstLine="360"/>
        <w:jc w:val="both"/>
      </w:pPr>
    </w:p>
    <w:p w14:paraId="16B0D892" w14:textId="77777777" w:rsidR="00671153" w:rsidRDefault="00671153">
      <w:pPr>
        <w:ind w:firstLine="360"/>
        <w:jc w:val="both"/>
      </w:pPr>
    </w:p>
    <w:p w14:paraId="3BAE1A7E" w14:textId="77777777" w:rsidR="00C50885" w:rsidRDefault="00000000">
      <w:pPr>
        <w:pStyle w:val="KGCaption"/>
      </w:pPr>
      <w:r>
        <w:t>Table 5.3: Core functional test results and implementation evidence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after="0"/>
            </w:pPr>
            <w:r>
              <w:t>Test ID</w:t>
            </w:r>
          </w:p>
        </w:tc>
        <w:tc>
          <w:tcPr>
            <w:tcW w:type="dxa" w:w="1500"/>
          </w:tcPr>
          <w:p>
            <w:pPr>
              <w:spacing w:after="0"/>
            </w:pPr>
            <w:r>
              <w:t>Functional requirement</w:t>
            </w:r>
          </w:p>
        </w:tc>
        <w:tc>
          <w:tcPr>
            <w:tcW w:type="dxa" w:w="1500"/>
          </w:tcPr>
          <w:p>
            <w:pPr>
              <w:spacing w:after="0"/>
            </w:pPr>
            <w:r>
              <w:t>Test action</w:t>
            </w:r>
          </w:p>
        </w:tc>
        <w:tc>
          <w:tcPr>
            <w:tcW w:type="dxa" w:w="1500"/>
          </w:tcPr>
          <w:p>
            <w:pPr>
              <w:spacing w:after="0"/>
            </w:pPr>
            <w:r>
              <w:t>Expected result</w:t>
            </w:r>
          </w:p>
        </w:tc>
        <w:tc>
          <w:tcPr>
            <w:tcW w:type="dxa" w:w="1500"/>
          </w:tcPr>
          <w:p>
            <w:pPr>
              <w:spacing w:after="0"/>
            </w:pPr>
            <w:r>
              <w:t>Actual result</w:t>
            </w:r>
          </w:p>
        </w:tc>
        <w:tc>
          <w:tcPr>
            <w:tcW w:type="dxa" w:w="1500"/>
          </w:tcPr>
          <w:p>
            <w:pPr>
              <w:spacing w:after="0"/>
            </w:pPr>
            <w:r>
              <w:t>Status</w:t>
            </w:r>
          </w:p>
        </w:tc>
      </w:tr>
      <w:tr>
        <w:tc>
          <w:tcPr>
            <w:tcW w:type="dxa" w:w="1500"/>
          </w:tcPr>
          <w:p>
            <w:pPr>
              <w:spacing w:after="0"/>
            </w:pPr>
            <w:r>
              <w:t>FT01</w:t>
            </w:r>
          </w:p>
        </w:tc>
        <w:tc>
          <w:tcPr>
            <w:tcW w:type="dxa" w:w="1500"/>
          </w:tcPr>
          <w:p>
            <w:pPr>
              <w:spacing w:after="0"/>
            </w:pPr>
            <w:r>
              <w:t>Assessment import and mapping</w:t>
            </w:r>
          </w:p>
        </w:tc>
        <w:tc>
          <w:tcPr>
            <w:tcW w:type="dxa" w:w="1500"/>
          </w:tcPr>
          <w:p>
            <w:pPr>
              <w:spacing w:after="0"/>
            </w:pPr>
            <w:r>
              <w:t>Import valid authorised assessment CSV</w:t>
            </w:r>
          </w:p>
        </w:tc>
        <w:tc>
          <w:tcPr>
            <w:tcW w:type="dxa" w:w="1500"/>
          </w:tcPr>
          <w:p>
            <w:pPr>
              <w:spacing w:after="0"/>
            </w:pPr>
            <w:r>
              <w:t>Responses map to EU, DG, PC and CD; tenure is derived from Start Date.</w:t>
            </w:r>
          </w:p>
        </w:tc>
        <w:tc>
          <w:tcPr>
            <w:tcW w:type="dxa" w:w="1500"/>
          </w:tcPr>
          <w:p>
            <w:pPr>
              <w:spacing w:after="0"/>
            </w:pPr>
            <w:r>
              <w:t>The supplied standalone Q1 responses and separate generated Q1-Q4 records were mapped to the four survey-derived indicators. Tenure was calculated from the recorded start date.</w:t>
            </w:r>
          </w:p>
        </w:tc>
        <w:tc>
          <w:tcPr>
            <w:tcW w:type="dxa" w:w="1500"/>
          </w:tcPr>
          <w:p>
            <w:pPr>
              <w:spacing w:after="0"/>
            </w:pPr>
            <w:r>
              <w:t>Pass - controlled-data evidence</w:t>
            </w:r>
          </w:p>
        </w:tc>
      </w:tr>
      <w:tr>
        <w:tc>
          <w:tcPr>
            <w:tcW w:type="dxa" w:w="1500"/>
          </w:tcPr>
          <w:p>
            <w:pPr>
              <w:spacing w:after="0"/>
            </w:pPr>
            <w:r>
              <w:t>FT02</w:t>
            </w:r>
          </w:p>
        </w:tc>
        <w:tc>
          <w:tcPr>
            <w:tcW w:type="dxa" w:w="1500"/>
          </w:tcPr>
          <w:p>
            <w:pPr>
              <w:spacing w:after="0"/>
            </w:pPr>
            <w:r>
              <w:t>Transparent scoring</w:t>
            </w:r>
          </w:p>
        </w:tc>
        <w:tc>
          <w:tcPr>
            <w:tcW w:type="dxa" w:w="1500"/>
          </w:tcPr>
          <w:p>
            <w:pPr>
              <w:spacing w:after="0"/>
            </w:pPr>
            <w:r>
              <w:t>Open a preliminary profile with known indicator values</w:t>
            </w:r>
          </w:p>
        </w:tc>
        <w:tc>
          <w:tcPr>
            <w:tcW w:type="dxa" w:w="1500"/>
          </w:tcPr>
          <w:p>
            <w:pPr>
              <w:spacing w:after="0"/>
            </w:pPr>
            <w:r>
              <w:t>Formula score and risk tier match the configured calculation.</w:t>
            </w:r>
          </w:p>
        </w:tc>
        <w:tc>
          <w:tcPr>
            <w:tcW w:type="dxa" w:w="1500"/>
          </w:tcPr>
          <w:p>
            <w:pPr>
              <w:spacing w:after="0"/>
            </w:pPr>
            <w:r>
              <w:t>The preliminary profile displayed five indicator values, the formula score, supporting ML score, preliminary final score and High-risk classification before manager validation.</w:t>
            </w:r>
          </w:p>
        </w:tc>
        <w:tc>
          <w:tcPr>
            <w:tcW w:type="dxa" w:w="1500"/>
          </w:tcPr>
          <w:p>
            <w:pPr>
              <w:spacing w:after="0"/>
            </w:pPr>
            <w:r>
              <w:t>Pass - Figure 5.1</w:t>
            </w:r>
          </w:p>
        </w:tc>
      </w:tr>
      <w:tr>
        <w:tc>
          <w:tcPr>
            <w:tcW w:type="dxa" w:w="1500"/>
          </w:tcPr>
          <w:p>
            <w:pPr>
              <w:spacing w:after="0"/>
            </w:pPr>
            <w:r>
              <w:t>FT03</w:t>
            </w:r>
          </w:p>
        </w:tc>
        <w:tc>
          <w:tcPr>
            <w:tcW w:type="dxa" w:w="1500"/>
          </w:tcPr>
          <w:p>
            <w:pPr>
              <w:spacing w:after="0"/>
            </w:pPr>
            <w:r>
              <w:t>Manager validation</w:t>
            </w:r>
          </w:p>
        </w:tc>
        <w:tc>
          <w:tcPr>
            <w:tcW w:type="dxa" w:w="1500"/>
          </w:tcPr>
          <w:p>
            <w:pPr>
              <w:spacing w:after="0"/>
            </w:pPr>
            <w:r>
              <w:t>Submit manager validation values and a note</w:t>
            </w:r>
          </w:p>
        </w:tc>
        <w:tc>
          <w:tcPr>
            <w:tcW w:type="dxa" w:w="1500"/>
          </w:tcPr>
          <w:p>
            <w:pPr>
              <w:spacing w:after="0"/>
            </w:pPr>
            <w:r>
              <w:t>Validation is stored; final score and tier are recalculated.</w:t>
            </w:r>
          </w:p>
        </w:tc>
        <w:tc>
          <w:tcPr>
            <w:tcW w:type="dxa" w:w="1500"/>
          </w:tcPr>
          <w:p>
            <w:pPr>
              <w:spacing w:after="0"/>
            </w:pPr>
            <w:r>
              <w:t>The manager validation interface recorded validation status and a note, then displayed the recalculated final weighted score and risk classification.</w:t>
            </w:r>
          </w:p>
        </w:tc>
        <w:tc>
          <w:tcPr>
            <w:tcW w:type="dxa" w:w="1500"/>
          </w:tcPr>
          <w:p>
            <w:pPr>
              <w:spacing w:after="0"/>
            </w:pPr>
            <w:r>
              <w:t>Pass - Figure 5.2</w:t>
            </w:r>
          </w:p>
        </w:tc>
      </w:tr>
      <w:tr>
        <w:tc>
          <w:tcPr>
            <w:tcW w:type="dxa" w:w="1500"/>
          </w:tcPr>
          <w:p>
            <w:pPr>
              <w:spacing w:after="0"/>
            </w:pPr>
            <w:r>
              <w:t>FT04</w:t>
            </w:r>
          </w:p>
        </w:tc>
        <w:tc>
          <w:tcPr>
            <w:tcW w:type="dxa" w:w="1500"/>
          </w:tcPr>
          <w:p>
            <w:pPr>
              <w:spacing w:after="0"/>
            </w:pPr>
            <w:r>
              <w:t>AHP consistency safeguard</w:t>
            </w:r>
          </w:p>
        </w:tc>
        <w:tc>
          <w:tcPr>
            <w:tcW w:type="dxa" w:w="1500"/>
          </w:tcPr>
          <w:p>
            <w:r>
              <w:t>Submit the reciprocal matrix used in the negative unit test, which produces CR = 0.2000.</w:t>
            </w:r>
          </w:p>
        </w:tc>
        <w:tc>
          <w:tcPr>
            <w:tcW w:type="dxa" w:w="1500"/>
          </w:tcPr>
          <w:p>
            <w:r>
              <w:t>Apply is disabled; the backend rejects an inconsistent matrix.</w:t>
            </w:r>
          </w:p>
        </w:tc>
        <w:tc>
          <w:tcPr>
            <w:tcW w:type="dxa" w:w="1500"/>
          </w:tcPr>
          <w:p>
            <w:r>
              <w:t>The interface showed the safeguard for this numeric input. Three unit tests covered consistent, inconsistent and invalid matrices. This input is not analysed as a valid result from the pairwise survey.</w:t>
            </w:r>
          </w:p>
        </w:tc>
        <w:tc>
          <w:tcPr>
            <w:tcW w:type="dxa" w:w="1500"/>
          </w:tcPr>
          <w:p>
            <w:r>
              <w:t>Pass - control demonstration and unit tests</w:t>
            </w:r>
          </w:p>
        </w:tc>
      </w:tr>
      <w:tr>
        <w:tc>
          <w:tcPr>
            <w:tcW w:type="dxa" w:w="1500"/>
          </w:tcPr>
          <w:p>
            <w:pPr>
              <w:spacing w:after="0"/>
            </w:pPr>
            <w:r>
              <w:t>FT05</w:t>
            </w:r>
          </w:p>
        </w:tc>
        <w:tc>
          <w:tcPr>
            <w:tcW w:type="dxa" w:w="1500"/>
          </w:tcPr>
          <w:p>
            <w:pPr>
              <w:spacing w:after="0"/>
            </w:pPr>
            <w:r>
              <w:t>KT holder eligibility</w:t>
            </w:r>
          </w:p>
        </w:tc>
        <w:tc>
          <w:tcPr>
            <w:tcW w:type="dxa" w:w="1500"/>
          </w:tcPr>
          <w:p>
            <w:pPr>
              <w:spacing w:after="0"/>
            </w:pPr>
            <w:r>
              <w:t>Attempt KT-plan creation for a Low/Medium holder</w:t>
            </w:r>
          </w:p>
        </w:tc>
        <w:tc>
          <w:tcPr>
            <w:tcW w:type="dxa" w:w="1500"/>
          </w:tcPr>
          <w:p>
            <w:pPr>
              <w:spacing w:after="0"/>
            </w:pPr>
            <w:r>
              <w:t>Only a High/Critical holder can proceed to KT planning.</w:t>
            </w:r>
          </w:p>
        </w:tc>
        <w:tc>
          <w:tcPr>
            <w:tcW w:type="dxa" w:w="1500"/>
          </w:tcPr>
          <w:p>
            <w:pPr>
              <w:spacing w:after="0"/>
            </w:pPr>
            <w:r>
              <w:t>The KT-plan creation route checks the holder's latest tier and returns an error unless it is High or Critical.</w:t>
            </w:r>
          </w:p>
        </w:tc>
        <w:tc>
          <w:tcPr>
            <w:tcW w:type="dxa" w:w="1500"/>
          </w:tcPr>
          <w:p>
            <w:pPr>
              <w:spacing w:after="0"/>
            </w:pPr>
            <w:r>
              <w:t>Implementation inspection</w:t>
            </w:r>
          </w:p>
        </w:tc>
      </w:tr>
      <w:tr>
        <w:tc>
          <w:tcPr>
            <w:tcW w:type="dxa" w:w="1500"/>
          </w:tcPr>
          <w:p>
            <w:pPr>
              <w:spacing w:after="0"/>
            </w:pPr>
            <w:r>
              <w:t>FT06</w:t>
            </w:r>
          </w:p>
        </w:tc>
        <w:tc>
          <w:tcPr>
            <w:tcW w:type="dxa" w:w="1500"/>
          </w:tcPr>
          <w:p>
            <w:pPr>
              <w:spacing w:after="0"/>
            </w:pPr>
            <w:r>
              <w:t>Backup safeguard</w:t>
            </w:r>
          </w:p>
        </w:tc>
        <w:tc>
          <w:tcPr>
            <w:tcW w:type="dxa" w:w="1500"/>
          </w:tcPr>
          <w:p>
            <w:pPr>
              <w:spacing w:after="0"/>
            </w:pPr>
            <w:r>
              <w:t>Attempt to select a High/Critical employee as backup</w:t>
            </w:r>
          </w:p>
        </w:tc>
        <w:tc>
          <w:tcPr>
            <w:tcW w:type="dxa" w:w="1500"/>
          </w:tcPr>
          <w:p>
            <w:pPr>
              <w:spacing w:after="0"/>
            </w:pPr>
            <w:r>
              <w:t>System prevents that employee from being selected as backup.</w:t>
            </w:r>
          </w:p>
        </w:tc>
        <w:tc>
          <w:tcPr>
            <w:tcW w:type="dxa" w:w="1500"/>
          </w:tcPr>
          <w:p>
            <w:pPr>
              <w:spacing w:after="0"/>
            </w:pPr>
            <w:r>
              <w:t>The client identifies High/Critical candidates and the backend independently rejects a backup whose latest tier is High or Critical.</w:t>
            </w:r>
          </w:p>
        </w:tc>
        <w:tc>
          <w:tcPr>
            <w:tcW w:type="dxa" w:w="1500"/>
          </w:tcPr>
          <w:p>
            <w:pPr>
              <w:spacing w:after="0"/>
            </w:pPr>
            <w:r>
              <w:t>Implementation inspection</w:t>
            </w:r>
          </w:p>
        </w:tc>
      </w:tr>
      <w:tr>
        <w:tc>
          <w:tcPr>
            <w:tcW w:type="dxa" w:w="1500"/>
          </w:tcPr>
          <w:p>
            <w:pPr>
              <w:spacing w:after="0"/>
            </w:pPr>
            <w:r>
              <w:t>FT07</w:t>
            </w:r>
          </w:p>
        </w:tc>
        <w:tc>
          <w:tcPr>
            <w:tcW w:type="dxa" w:w="1500"/>
          </w:tcPr>
          <w:p>
            <w:pPr>
              <w:spacing w:after="0"/>
            </w:pPr>
            <w:r>
              <w:t>Five-stage KT plan</w:t>
            </w:r>
          </w:p>
        </w:tc>
        <w:tc>
          <w:tcPr>
            <w:tcW w:type="dxa" w:w="1500"/>
          </w:tcPr>
          <w:p>
            <w:pPr>
              <w:spacing w:after="0"/>
            </w:pPr>
            <w:r>
              <w:t>Create a plan for an eligible employee</w:t>
            </w:r>
          </w:p>
        </w:tc>
        <w:tc>
          <w:tcPr>
            <w:tcW w:type="dxa" w:w="1500"/>
          </w:tcPr>
          <w:p>
            <w:pPr>
              <w:spacing w:after="0"/>
            </w:pPr>
            <w:r>
              <w:t>Documentation, shadowing, interview, validation and sign-off tasks are created.</w:t>
            </w:r>
          </w:p>
        </w:tc>
        <w:tc>
          <w:tcPr>
            <w:tcW w:type="dxa" w:w="1500"/>
          </w:tcPr>
          <w:p>
            <w:pPr>
              <w:spacing w:after="0"/>
            </w:pPr>
            <w:r>
              <w:t>The active KT plan displayed the five required stages: documentation, shadowing, structured interview, backup competence validation and manager sign-off.</w:t>
            </w:r>
          </w:p>
        </w:tc>
        <w:tc>
          <w:tcPr>
            <w:tcW w:type="dxa" w:w="1500"/>
          </w:tcPr>
          <w:p>
            <w:pPr>
              <w:spacing w:after="0"/>
            </w:pPr>
            <w:r>
              <w:t>Pass - Figure 5.4</w:t>
            </w:r>
          </w:p>
        </w:tc>
      </w:tr>
      <w:tr>
        <w:tc>
          <w:tcPr>
            <w:tcW w:type="dxa" w:w="1500"/>
          </w:tcPr>
          <w:p>
            <w:pPr>
              <w:spacing w:after="0"/>
            </w:pPr>
            <w:r>
              <w:t>FT08</w:t>
            </w:r>
          </w:p>
        </w:tc>
        <w:tc>
          <w:tcPr>
            <w:tcW w:type="dxa" w:w="1500"/>
          </w:tcPr>
          <w:p>
            <w:pPr>
              <w:spacing w:after="0"/>
            </w:pPr>
            <w:r>
              <w:t>Completion and mitigation control</w:t>
            </w:r>
          </w:p>
        </w:tc>
        <w:tc>
          <w:tcPr>
            <w:tcW w:type="dxa" w:w="1500"/>
          </w:tcPr>
          <w:p>
            <w:pPr>
              <w:spacing w:after="0"/>
            </w:pPr>
            <w:r>
              <w:t>Attempt early sign-off; then complete valid plan</w:t>
            </w:r>
          </w:p>
        </w:tc>
        <w:tc>
          <w:tcPr>
            <w:tcW w:type="dxa" w:w="1500"/>
          </w:tcPr>
          <w:p>
            <w:pPr>
              <w:spacing w:after="0"/>
            </w:pPr>
            <w:r>
              <w:t>Early sign-off is blocked; valid sign-off updates eligible indicators only.</w:t>
            </w:r>
          </w:p>
        </w:tc>
        <w:tc>
          <w:tcPr>
            <w:tcW w:type="dxa" w:w="1500"/>
          </w:tcPr>
          <w:p>
            <w:pPr>
              <w:spacing w:after="0"/>
            </w:pPr>
            <w:r>
              <w:t>The sign-off route checks that all non-sign-off tasks are complete before closure and applies the configured mitigation update only after valid sign-off.</w:t>
            </w:r>
          </w:p>
        </w:tc>
        <w:tc>
          <w:tcPr>
            <w:tcW w:type="dxa" w:w="1500"/>
          </w:tcPr>
          <w:p>
            <w:pPr>
              <w:spacing w:after="0"/>
            </w:pPr>
            <w:r>
              <w:t>Implementation inspection</w:t>
            </w:r>
          </w:p>
        </w:tc>
      </w:tr>
      <w:tr>
        <w:tc>
          <w:tcPr>
            <w:tcW w:type="dxa" w:w="1500"/>
          </w:tcPr>
          <w:p>
            <w:pPr>
              <w:spacing w:after="0"/>
            </w:pPr>
            <w:r>
              <w:t>FT09</w:t>
            </w:r>
          </w:p>
        </w:tc>
        <w:tc>
          <w:tcPr>
            <w:tcW w:type="dxa" w:w="1500"/>
          </w:tcPr>
          <w:p>
            <w:pPr>
              <w:spacing w:after="0"/>
            </w:pPr>
            <w:r>
              <w:t>ML service fallback</w:t>
            </w:r>
          </w:p>
        </w:tc>
        <w:tc>
          <w:tcPr>
            <w:tcW w:type="dxa" w:w="1500"/>
          </w:tcPr>
          <w:p>
            <w:pPr>
              <w:spacing w:after="0"/>
            </w:pPr>
            <w:r>
              <w:t>Process assessment while ML service is unavailable</w:t>
            </w:r>
          </w:p>
        </w:tc>
        <w:tc>
          <w:tcPr>
            <w:tcW w:type="dxa" w:w="1500"/>
          </w:tcPr>
          <w:p>
            <w:pPr>
              <w:spacing w:after="0"/>
            </w:pPr>
            <w:r>
              <w:t>Formula fallback keeps the risk profile available.</w:t>
            </w:r>
          </w:p>
        </w:tc>
        <w:tc>
          <w:tcPr>
            <w:tcW w:type="dxa" w:w="1500"/>
          </w:tcPr>
          <w:p>
            <w:pPr>
              <w:spacing w:after="0"/>
            </w:pPr>
            <w:r>
              <w:t>The scoring engine substitutes the formula score when the ML prediction call returns no result, preserving a risk profile.</w:t>
            </w:r>
          </w:p>
        </w:tc>
        <w:tc>
          <w:tcPr>
            <w:tcW w:type="dxa" w:w="1500"/>
          </w:tcPr>
          <w:p>
            <w:pPr>
              <w:spacing w:after="0"/>
            </w:pPr>
            <w:r>
              <w:t>Implementation inspection</w:t>
            </w:r>
          </w:p>
        </w:tc>
      </w:tr>
      <w:tr>
        <w:tc>
          <w:tcPr>
            <w:tcW w:type="dxa" w:w="1500"/>
          </w:tcPr>
          <w:p>
            <w:r>
              <w:t>FT10</w:t>
            </w:r>
          </w:p>
        </w:tc>
        <w:tc>
          <w:tcPr>
            <w:tcW w:type="dxa" w:w="1500"/>
          </w:tcPr>
          <w:p>
            <w:r>
              <w:t>Manager assistance</w:t>
            </w:r>
          </w:p>
        </w:tc>
        <w:tc>
          <w:tcPr>
            <w:tcW w:type="dxa" w:w="1500"/>
          </w:tcPr>
          <w:p>
            <w:r>
              <w:t>Inspect chat response and action proposal path</w:t>
            </w:r>
          </w:p>
        </w:tc>
        <w:tc>
          <w:tcPr>
            <w:tcW w:type="dxa" w:w="1500"/>
          </w:tcPr>
          <w:p>
            <w:r>
              <w:t>Manager confirmation is required before KT or validation API action</w:t>
            </w:r>
          </w:p>
        </w:tc>
        <w:tc>
          <w:tcPr>
            <w:tcW w:type="dxa" w:w="1500"/>
          </w:tcPr>
          <w:p>
            <w:r>
              <w:t>Chat interface contains explicit Execute and Validate buttons; backend routes enforce role and workflow rules.</w:t>
            </w:r>
          </w:p>
        </w:tc>
        <w:tc>
          <w:tcPr>
            <w:tcW w:type="dxa" w:w="1500"/>
          </w:tcPr>
          <w:p>
            <w:r>
              <w:t>Implementation inspection</w:t>
            </w:r>
          </w:p>
        </w:tc>
      </w:tr>
      <w:tr>
        <w:tc>
          <w:tcPr>
            <w:tcW w:type="dxa" w:w="1500"/>
          </w:tcPr>
          <w:p>
            <w:r>
              <w:t>FT11</w:t>
            </w:r>
          </w:p>
        </w:tc>
        <w:tc>
          <w:tcPr>
            <w:tcW w:type="dxa" w:w="1500"/>
          </w:tcPr>
          <w:p>
            <w:r>
              <w:t>Notifications</w:t>
            </w:r>
          </w:p>
        </w:tc>
        <w:tc>
          <w:tcPr>
            <w:tcW w:type="dxa" w:w="1500"/>
          </w:tcPr>
          <w:p>
            <w:r>
              <w:t>Inspect risk and KT alert triggers and email path</w:t>
            </w:r>
          </w:p>
        </w:tc>
        <w:tc>
          <w:tcPr>
            <w:tcW w:type="dxa" w:w="1500"/>
          </w:tcPr>
          <w:p>
            <w:r>
              <w:t>Relevant in-app alert is created; email is attempted when configured</w:t>
            </w:r>
          </w:p>
        </w:tc>
        <w:tc>
          <w:tcPr>
            <w:tcW w:type="dxa" w:w="1500"/>
          </w:tcPr>
          <w:p>
            <w:r>
              <w:t>Alert service stores and pushes events; email service uses optional Gmail credentials. Delivery was not independently verified.</w:t>
            </w:r>
          </w:p>
        </w:tc>
        <w:tc>
          <w:tcPr>
            <w:tcW w:type="dxa" w:w="1500"/>
          </w:tcPr>
          <w:p>
            <w:r>
              <w:t>Implementation inspection</w:t>
            </w:r>
          </w:p>
        </w:tc>
      </w:tr>
    </w:tbl>
    <w:p w14:paraId="1C9BEEEB" w14:textId="77777777" w:rsidR="00C50885" w:rsidRDefault="00C50885">
      <w:pPr>
        <w:spacing w:after="60"/>
      </w:pPr>
    </w:p>
    <w:p w14:paraId="2529638C" w14:textId="77777777" w:rsidR="00C50885" w:rsidRDefault="00000000">
      <w:pPr>
        <w:pStyle w:val="Heading2"/>
      </w:pPr>
      <w:bookmarkStart w:id="58" w:name="_Toc241869549"/>
      <w:r>
        <w:rPr>
          <w:rFonts w:ascii="Times New Roman" w:hAnsi="Times New Roman"/>
          <w:b w:val="0"/>
        </w:rPr>
        <w:lastRenderedPageBreak/>
        <w:t>5.5 Evaluation results</w:t>
      </w:r>
      <w:bookmarkEnd w:id="58"/>
    </w:p>
    <w:p w14:paraId="3FDCB1D9" w14:textId="77777777" w:rsidR="00C50885" w:rsidRDefault="00000000">
      <w:pPr>
        <w:ind w:firstLine="360"/>
        <w:jc w:val="both"/>
      </w:pPr>
      <w:r>
        <w:t>After converting the form's left-equal-right responses to reciprocal AHP ratios and aggregating ten responses by geometric mean, the group matrix gave lambda_max = 5.3682 and CR = 0.0822. Because CR &lt; 0.10, its proposed weights were eligible for optional application: EU 0.5177, DG 0.1272, PC 0.1478, CD 0.1505 and T 0.0567. The result describes the coherence of the aggregated matrix, not each respondent's consistency, predictive validity or universal priorities. The proposed weights differ substantially from the predefined baseline. They were not applied: all reported risk scores and KT demonstrations use EU 0.25, DG 0.20, PC 0.20, CD 0.20 and T 0.15. A separate controlled matrix with CR = 0.2000 demonstrates rejection of an inconsistent proposal; that value is not the expert-survey result.</w:t>
      </w:r>
    </w:p>
    <w:p w14:paraId="109FB052" w14:textId="77777777" w:rsidR="00C50885" w:rsidRDefault="00000000">
      <w:pPr>
        <w:pStyle w:val="KGCaption"/>
      </w:pPr>
      <w:r>
        <w:t>Table 5.4: Baseline and exploratory AHP group weights for the five indicators.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66F2272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r>
              <w:t>Predefined baseline</w:t>
            </w:r>
          </w:p>
        </w:tc>
        <w:tc>
          <w:tcPr>
            <w:tcW w:w="2250" w:type="dxa"/>
            <w:tcBorders>
              <w:top w:val="single" w:sz="4" w:space="0" w:color="000000"/>
              <w:left w:val="single" w:sz="4" w:space="0" w:color="000000"/>
              <w:bottom w:val="single" w:sz="4" w:space="0" w:color="000000"/>
              <w:right w:val="single" w:sz="4" w:space="0" w:color="000000"/>
            </w:tcBorders>
            <w:vAlign w:val="center"/>
          </w:tcPr>
          <w:p>
            <w:r>
              <w:t>Proposed group AHP weight</w:t>
            </w:r>
          </w:p>
        </w:tc>
        <w:tc>
          <w:tcPr>
            <w:tcW w:w="2250" w:type="dxa"/>
            <w:tcBorders>
              <w:top w:val="single" w:sz="4" w:space="0" w:color="000000"/>
              <w:left w:val="single" w:sz="4" w:space="0" w:color="000000"/>
              <w:bottom w:val="single" w:sz="4" w:space="0" w:color="000000"/>
              <w:right w:val="single" w:sz="4" w:space="0" w:color="000000"/>
            </w:tcBorders>
            <w:vAlign w:val="center"/>
          </w:tcPr>
          <w:p>
            <w:r>
              <w:t>Difference in percentage points</w:t>
            </w:r>
          </w:p>
        </w:tc>
      </w:tr>
      <w:tr w:rsidR="00C50885" w14:paraId="7E9C89B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Expertise uniqueness (EU)</w:t>
            </w:r>
          </w:p>
        </w:tc>
        <w:tc>
          <w:tcPr>
            <w:tcW w:w="2250" w:type="dxa"/>
            <w:tcBorders>
              <w:top w:val="single" w:sz="4" w:space="0" w:color="000000"/>
              <w:left w:val="single" w:sz="4" w:space="0" w:color="000000"/>
              <w:bottom w:val="single" w:sz="4" w:space="0" w:color="000000"/>
              <w:right w:val="single" w:sz="4" w:space="0" w:color="000000"/>
            </w:tcBorders>
            <w:vAlign w:val="center"/>
          </w:tcPr>
          <w:p>
            <w:r>
              <w:t>25.00%</w:t>
            </w:r>
          </w:p>
        </w:tc>
        <w:tc>
          <w:tcPr>
            <w:tcW w:w="2250" w:type="dxa"/>
            <w:tcBorders>
              <w:top w:val="single" w:sz="4" w:space="0" w:color="000000"/>
              <w:left w:val="single" w:sz="4" w:space="0" w:color="000000"/>
              <w:bottom w:val="single" w:sz="4" w:space="0" w:color="000000"/>
              <w:right w:val="single" w:sz="4" w:space="0" w:color="000000"/>
            </w:tcBorders>
            <w:vAlign w:val="center"/>
          </w:tcPr>
          <w:p>
            <w:r>
              <w:t>51.77%</w:t>
            </w:r>
          </w:p>
        </w:tc>
        <w:tc>
          <w:tcPr>
            <w:tcW w:w="2250" w:type="dxa"/>
            <w:tcBorders>
              <w:top w:val="single" w:sz="4" w:space="0" w:color="000000"/>
              <w:left w:val="single" w:sz="4" w:space="0" w:color="000000"/>
              <w:bottom w:val="single" w:sz="4" w:space="0" w:color="000000"/>
              <w:right w:val="single" w:sz="4" w:space="0" w:color="000000"/>
            </w:tcBorders>
            <w:vAlign w:val="center"/>
          </w:tcPr>
          <w:p>
            <w:r>
              <w:t>+26.77</w:t>
            </w:r>
          </w:p>
        </w:tc>
      </w:tr>
      <w:tr w:rsidR="00C50885" w14:paraId="08909697"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Documentation gap (DG)</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12.72%</w:t>
            </w:r>
          </w:p>
        </w:tc>
        <w:tc>
          <w:tcPr>
            <w:tcW w:w="2250" w:type="dxa"/>
            <w:tcBorders>
              <w:top w:val="single" w:sz="4" w:space="0" w:color="000000"/>
              <w:left w:val="single" w:sz="4" w:space="0" w:color="000000"/>
              <w:bottom w:val="single" w:sz="4" w:space="0" w:color="000000"/>
              <w:right w:val="single" w:sz="4" w:space="0" w:color="000000"/>
            </w:tcBorders>
            <w:vAlign w:val="center"/>
          </w:tcPr>
          <w:p>
            <w:r>
              <w:t>-7.28</w:t>
            </w:r>
          </w:p>
        </w:tc>
      </w:tr>
      <w:tr w:rsidR="00C50885" w14:paraId="7C28C86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Project criticality (PC)</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14.78%</w:t>
            </w:r>
          </w:p>
        </w:tc>
        <w:tc>
          <w:tcPr>
            <w:tcW w:w="2250" w:type="dxa"/>
            <w:tcBorders>
              <w:top w:val="single" w:sz="4" w:space="0" w:color="000000"/>
              <w:left w:val="single" w:sz="4" w:space="0" w:color="000000"/>
              <w:bottom w:val="single" w:sz="4" w:space="0" w:color="000000"/>
              <w:right w:val="single" w:sz="4" w:space="0" w:color="000000"/>
            </w:tcBorders>
            <w:vAlign w:val="center"/>
          </w:tcPr>
          <w:p>
            <w:r>
              <w:t>-5.22</w:t>
            </w:r>
          </w:p>
        </w:tc>
      </w:tr>
      <w:tr>
        <w:tc>
          <w:tcPr>
            <w:tcW w:type="dxa" w:w="2250"/>
          </w:tcPr>
          <w:p>
            <w:r>
              <w:t>Collaboration dependency (CD)</w:t>
            </w:r>
          </w:p>
        </w:tc>
        <w:tc>
          <w:tcPr>
            <w:tcW w:type="dxa" w:w="2250"/>
          </w:tcPr>
          <w:p>
            <w:r>
              <w:t>20.00%</w:t>
            </w:r>
          </w:p>
        </w:tc>
        <w:tc>
          <w:tcPr>
            <w:tcW w:type="dxa" w:w="2250"/>
          </w:tcPr>
          <w:p>
            <w:r>
              <w:t>15.05%</w:t>
            </w:r>
          </w:p>
        </w:tc>
        <w:tc>
          <w:tcPr>
            <w:tcW w:type="dxa" w:w="2250"/>
          </w:tcPr>
          <w:p>
            <w:r>
              <w:t>-4.95</w:t>
            </w:r>
          </w:p>
        </w:tc>
      </w:tr>
      <w:tr>
        <w:tc>
          <w:tcPr>
            <w:tcW w:type="dxa" w:w="2250"/>
          </w:tcPr>
          <w:p>
            <w:r>
              <w:t>Tenure (T)</w:t>
            </w:r>
          </w:p>
        </w:tc>
        <w:tc>
          <w:tcPr>
            <w:tcW w:type="dxa" w:w="2250"/>
          </w:tcPr>
          <w:p>
            <w:r>
              <w:t>15.00%</w:t>
            </w:r>
          </w:p>
        </w:tc>
        <w:tc>
          <w:tcPr>
            <w:tcW w:type="dxa" w:w="2250"/>
          </w:tcPr>
          <w:p>
            <w:r>
              <w:t>5.67%</w:t>
            </w:r>
          </w:p>
        </w:tc>
        <w:tc>
          <w:tcPr>
            <w:tcW w:type="dxa" w:w="2250"/>
          </w:tcPr>
          <w:p>
            <w:r>
              <w:t>-9.33</w:t>
            </w:r>
          </w:p>
        </w:tc>
      </w:tr>
    </w:tbl>
    <w:p w14:paraId="467DB2B2" w14:textId="77777777" w:rsidR="00C50885" w:rsidRDefault="00C50885">
      <w:pPr>
        <w:spacing w:after="60"/>
      </w:pPr>
    </w:p>
    <w:p w14:paraId="5F3D2C88" w14:textId="77777777" w:rsidR="00C50885" w:rsidRDefault="00000000">
      <w:pPr>
        <w:ind w:firstLine="360"/>
        <w:jc w:val="both"/>
      </w:pPr>
      <w:r>
        <w:t>For the ten evaluators, the mean SUS score was 89.50, the sample standard deviation was 3.07, and the range was 85.0 to 95.0. These aggregate values describe perceived usability in this small group; they are not a population estimate.</w:t>
      </w:r>
    </w:p>
    <w:p w14:paraId="48E23D6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5.7: aggregate SUS chart showing mean 89.50, SD 3.07 and n = 10.]</w:t>
      </w:r>
    </w:p>
    <w:p w14:paraId="2A59F2F5" w14:textId="77777777" w:rsidR="00C50885" w:rsidRDefault="00000000">
      <w:pPr>
        <w:pStyle w:val="KGCaption"/>
        <w:jc w:val="center"/>
      </w:pPr>
      <w:r>
        <w:t>Figure 5.7: Aggregate System Usability Scale result for ten evaluators.</w:t>
      </w:r>
    </w:p>
    <w:p w14:paraId="57CA5B5F" w14:textId="77777777" w:rsidR="00C50885" w:rsidRDefault="00000000">
      <w:pPr>
        <w:ind w:firstLine="360"/>
        <w:jc w:val="both"/>
      </w:pPr>
      <w:r>
        <w:t xml:space="preserve">TAM results showed mean perceived usefulness of 4.43, perceived ease of use of 4.53 and behavioural intention of 4.60 on five-point response scales. Behavioural intention was </w:t>
      </w:r>
      <w:r>
        <w:lastRenderedPageBreak/>
        <w:t>the highest of the three descriptive means. These figures indicate favourable evaluator responses but do not demonstrate organizational adoption.</w:t>
      </w:r>
    </w:p>
    <w:p w14:paraId="09203876" w14:textId="77777777" w:rsidR="00C50885" w:rsidRDefault="00000000">
      <w:pPr>
        <w:pStyle w:val="KGCaption"/>
      </w:pPr>
      <w:r>
        <w:t>Table 5.5: System-evaluation questionnaire summaries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695469E"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422BE64"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33EECCA8" w14:textId="77777777" w:rsidR="00C50885" w:rsidRDefault="00000000">
            <w:pPr>
              <w:jc w:val="center"/>
            </w:pPr>
            <w:r>
              <w:rPr>
                <w:b/>
                <w:sz w:val="22"/>
              </w:rPr>
              <w:t>n</w:t>
            </w:r>
          </w:p>
        </w:tc>
        <w:tc>
          <w:tcPr>
            <w:tcW w:w="2250" w:type="dxa"/>
            <w:tcBorders>
              <w:top w:val="single" w:sz="4" w:space="0" w:color="000000"/>
              <w:left w:val="single" w:sz="4" w:space="0" w:color="000000"/>
              <w:bottom w:val="single" w:sz="4" w:space="0" w:color="000000"/>
              <w:right w:val="single" w:sz="4" w:space="0" w:color="000000"/>
            </w:tcBorders>
            <w:vAlign w:val="center"/>
          </w:tcPr>
          <w:p w14:paraId="6B2E2A10" w14:textId="77777777" w:rsidR="00C50885" w:rsidRDefault="00000000">
            <w:pPr>
              <w:jc w:val="center"/>
            </w:pPr>
            <w:r>
              <w:rPr>
                <w:b/>
                <w:sz w:val="22"/>
              </w:rPr>
              <w:t>Result</w:t>
            </w:r>
          </w:p>
        </w:tc>
        <w:tc>
          <w:tcPr>
            <w:tcW w:w="2250" w:type="dxa"/>
            <w:tcBorders>
              <w:top w:val="single" w:sz="4" w:space="0" w:color="000000"/>
              <w:left w:val="single" w:sz="4" w:space="0" w:color="000000"/>
              <w:bottom w:val="single" w:sz="4" w:space="0" w:color="000000"/>
              <w:right w:val="single" w:sz="4" w:space="0" w:color="000000"/>
            </w:tcBorders>
            <w:vAlign w:val="center"/>
          </w:tcPr>
          <w:p w14:paraId="65108A44" w14:textId="77777777" w:rsidR="00C50885" w:rsidRDefault="00000000">
            <w:pPr>
              <w:jc w:val="center"/>
            </w:pPr>
            <w:r>
              <w:rPr>
                <w:b/>
                <w:sz w:val="22"/>
              </w:rPr>
              <w:t>Interpretation boundary</w:t>
            </w:r>
          </w:p>
        </w:tc>
      </w:tr>
      <w:tr w:rsidR="00C50885" w14:paraId="3EA9393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C2F529" w14:textId="77777777" w:rsidR="00C50885" w:rsidRDefault="00000000">
            <w:pPr>
              <w:spacing w:after="0"/>
            </w:pPr>
            <w:r>
              <w:rPr>
                <w:sz w:val="21"/>
              </w:rPr>
              <w:t>SUS</w:t>
            </w:r>
          </w:p>
        </w:tc>
        <w:tc>
          <w:tcPr>
            <w:tcW w:w="2250" w:type="dxa"/>
            <w:tcBorders>
              <w:top w:val="single" w:sz="4" w:space="0" w:color="000000"/>
              <w:left w:val="single" w:sz="4" w:space="0" w:color="000000"/>
              <w:bottom w:val="single" w:sz="4" w:space="0" w:color="000000"/>
              <w:right w:val="single" w:sz="4" w:space="0" w:color="000000"/>
            </w:tcBorders>
            <w:vAlign w:val="center"/>
          </w:tcPr>
          <w:p w14:paraId="3D4416F6"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831B8E0" w14:textId="77777777" w:rsidR="00C50885" w:rsidRDefault="00000000">
            <w:pPr>
              <w:spacing w:after="0"/>
            </w:pPr>
            <w:r>
              <w:rPr>
                <w:sz w:val="21"/>
              </w:rPr>
              <w:t>Mean 89.50; SD 3.07</w:t>
            </w:r>
          </w:p>
        </w:tc>
        <w:tc>
          <w:tcPr>
            <w:tcW w:w="2250" w:type="dxa"/>
            <w:tcBorders>
              <w:top w:val="single" w:sz="4" w:space="0" w:color="000000"/>
              <w:left w:val="single" w:sz="4" w:space="0" w:color="000000"/>
              <w:bottom w:val="single" w:sz="4" w:space="0" w:color="000000"/>
              <w:right w:val="single" w:sz="4" w:space="0" w:color="000000"/>
            </w:tcBorders>
            <w:vAlign w:val="center"/>
          </w:tcPr>
          <w:p w14:paraId="268E5D97" w14:textId="77777777" w:rsidR="00C50885" w:rsidRDefault="00000000">
            <w:pPr>
              <w:spacing w:after="0"/>
            </w:pPr>
            <w:r>
              <w:rPr>
                <w:sz w:val="21"/>
              </w:rPr>
              <w:t>Describes this evaluator group only</w:t>
            </w:r>
          </w:p>
        </w:tc>
      </w:tr>
      <w:tr w:rsidR="00C50885" w14:paraId="391C2BC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046770" w14:textId="77777777" w:rsidR="00C50885" w:rsidRDefault="00000000">
            <w:pPr>
              <w:spacing w:after="0"/>
            </w:pPr>
            <w:r>
              <w:rPr>
                <w:sz w:val="21"/>
              </w:rPr>
              <w:t>Perceived usefulness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0134F1"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2258C1C4" w14:textId="77777777" w:rsidR="00C50885" w:rsidRDefault="00000000">
            <w:pPr>
              <w:spacing w:after="0"/>
            </w:pPr>
            <w:r>
              <w:rPr>
                <w:sz w:val="21"/>
              </w:rPr>
              <w:t>Mean 4.43/5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0E493B" w14:textId="77777777" w:rsidR="00C50885" w:rsidRDefault="00000000">
            <w:pPr>
              <w:spacing w:after="0"/>
            </w:pPr>
            <w:r>
              <w:rPr>
                <w:sz w:val="21"/>
              </w:rPr>
              <w:t>Not a population estimate</w:t>
            </w:r>
          </w:p>
        </w:tc>
      </w:tr>
      <w:tr w:rsidR="00C50885" w14:paraId="05FD04E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8C87F36" w14:textId="77777777" w:rsidR="00C50885" w:rsidRDefault="00000000">
            <w:pPr>
              <w:spacing w:after="0"/>
            </w:pPr>
            <w:r>
              <w:rPr>
                <w:sz w:val="21"/>
              </w:rPr>
              <w:t>Perceived ease of use</w:t>
            </w:r>
          </w:p>
        </w:tc>
        <w:tc>
          <w:tcPr>
            <w:tcW w:w="2250" w:type="dxa"/>
            <w:tcBorders>
              <w:top w:val="single" w:sz="4" w:space="0" w:color="000000"/>
              <w:left w:val="single" w:sz="4" w:space="0" w:color="000000"/>
              <w:bottom w:val="single" w:sz="4" w:space="0" w:color="000000"/>
              <w:right w:val="single" w:sz="4" w:space="0" w:color="000000"/>
            </w:tcBorders>
            <w:vAlign w:val="center"/>
          </w:tcPr>
          <w:p w14:paraId="0EC4EF25"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34171E95" w14:textId="77777777" w:rsidR="00C50885" w:rsidRDefault="00000000">
            <w:pPr>
              <w:spacing w:after="0"/>
            </w:pPr>
            <w:r>
              <w:rPr>
                <w:sz w:val="21"/>
              </w:rPr>
              <w:t>Mean 4.53/5</w:t>
            </w:r>
          </w:p>
        </w:tc>
        <w:tc>
          <w:tcPr>
            <w:tcW w:w="2250" w:type="dxa"/>
            <w:tcBorders>
              <w:top w:val="single" w:sz="4" w:space="0" w:color="000000"/>
              <w:left w:val="single" w:sz="4" w:space="0" w:color="000000"/>
              <w:bottom w:val="single" w:sz="4" w:space="0" w:color="000000"/>
              <w:right w:val="single" w:sz="4" w:space="0" w:color="000000"/>
            </w:tcBorders>
            <w:vAlign w:val="center"/>
          </w:tcPr>
          <w:p w14:paraId="75FD002F" w14:textId="77777777" w:rsidR="00C50885" w:rsidRDefault="00000000">
            <w:pPr>
              <w:spacing w:after="0"/>
            </w:pPr>
            <w:r>
              <w:rPr>
                <w:sz w:val="21"/>
              </w:rPr>
              <w:t>Not evidence of adoption</w:t>
            </w:r>
          </w:p>
        </w:tc>
      </w:tr>
      <w:tr w:rsidR="00C50885" w14:paraId="7177016C"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B21F9B" w14:textId="77777777" w:rsidR="00C50885" w:rsidRDefault="00000000">
            <w:pPr>
              <w:spacing w:after="0"/>
            </w:pPr>
            <w:r>
              <w:rPr>
                <w:sz w:val="21"/>
              </w:rPr>
              <w:t>Behavioural intention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0A7369A9"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08A91E89" w14:textId="77777777" w:rsidR="00C50885" w:rsidRDefault="00000000">
            <w:pPr>
              <w:spacing w:after="0"/>
            </w:pPr>
            <w:r>
              <w:rPr>
                <w:sz w:val="21"/>
              </w:rPr>
              <w:t>Mean 4.60/5</w:t>
            </w:r>
          </w:p>
        </w:tc>
        <w:tc>
          <w:tcPr>
            <w:tcW w:w="2250" w:type="dxa"/>
            <w:tcBorders>
              <w:top w:val="single" w:sz="4" w:space="0" w:color="000000"/>
              <w:left w:val="single" w:sz="4" w:space="0" w:color="000000"/>
              <w:bottom w:val="single" w:sz="4" w:space="0" w:color="000000"/>
              <w:right w:val="single" w:sz="4" w:space="0" w:color="000000"/>
            </w:tcBorders>
            <w:vAlign w:val="center"/>
          </w:tcPr>
          <w:p w14:paraId="5B0532B4" w14:textId="77777777" w:rsidR="00C50885" w:rsidRDefault="00000000">
            <w:pPr>
              <w:spacing w:after="0"/>
            </w:pPr>
            <w:r>
              <w:rPr>
                <w:sz w:val="21"/>
              </w:rPr>
              <w:t>Not evidence of actual use over time</w:t>
            </w:r>
          </w:p>
        </w:tc>
      </w:tr>
    </w:tbl>
    <w:p w14:paraId="7D7E8ADC" w14:textId="77777777" w:rsidR="00C50885" w:rsidRDefault="00C50885">
      <w:pPr>
        <w:spacing w:after="60"/>
      </w:pPr>
    </w:p>
    <w:p w14:paraId="7AA21939"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5.8: TAM construct means, n = 10.]</w:t>
      </w:r>
    </w:p>
    <w:p w14:paraId="37AE90ED" w14:textId="77777777" w:rsidR="00C50885" w:rsidRDefault="00000000">
      <w:pPr>
        <w:pStyle w:val="KGCaption"/>
        <w:jc w:val="center"/>
      </w:pPr>
      <w:r>
        <w:t>Figure 5.8: Technology Acceptance Model construct means.</w:t>
      </w:r>
    </w:p>
    <w:p w14:paraId="3EFA9942" w14:textId="77777777" w:rsidR="00C50885" w:rsidRDefault="00000000">
      <w:pPr>
        <w:ind w:firstLine="360"/>
        <w:jc w:val="both"/>
      </w:pPr>
      <w:r>
        <w:t>The saved ML model was trained on 500 synthetic, formula-labelled profiles. Its saved metrics report training accuracy 0.9780, weighted F1 0.9781, and mean stratified cross-validation F1 0.8526 (SD 0.0487). The model contains low, medium and high classes, but no critical class. These values measure reproduction of generated risk-tier labels, not predictive accuracy for real knowledge loss. The separate history-anomaly function needs at least three scores and was not validated against observed organizational events.</w:t>
      </w:r>
    </w:p>
    <w:p w14:paraId="2ED6458E" w14:textId="77777777" w:rsidR="00C50885" w:rsidRDefault="00000000">
      <w:pPr>
        <w:ind w:firstLine="360"/>
        <w:jc w:val="both"/>
      </w:pPr>
      <w:r>
        <w:t>The real-data training route is implemented, but no real-data-trained model result is reported. Its labels come from manager-scored indicators, not independently observed knowledge-retention outcomes.</w:t>
      </w:r>
    </w:p>
    <w:p w14:paraId="6D37247C" w14:textId="77777777" w:rsidR="00C50885" w:rsidRDefault="00000000">
      <w:pPr>
        <w:pStyle w:val="KGCaption"/>
      </w:pPr>
      <w:r>
        <w:t>Table 5.6: Saved machine-learning metrics and interpretation</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9905D1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77FA952" w14:textId="77777777" w:rsidR="00C50885" w:rsidRDefault="00000000">
            <w:pPr>
              <w:jc w:val="center"/>
            </w:pPr>
            <w:r>
              <w:rPr>
                <w:b/>
                <w:sz w:val="22"/>
              </w:rPr>
              <w:t>Metric</w:t>
            </w:r>
          </w:p>
        </w:tc>
        <w:tc>
          <w:tcPr>
            <w:tcW w:w="2250" w:type="dxa"/>
            <w:tcBorders>
              <w:top w:val="single" w:sz="4" w:space="0" w:color="000000"/>
              <w:left w:val="single" w:sz="4" w:space="0" w:color="000000"/>
              <w:bottom w:val="single" w:sz="4" w:space="0" w:color="000000"/>
              <w:right w:val="single" w:sz="4" w:space="0" w:color="000000"/>
            </w:tcBorders>
            <w:vAlign w:val="center"/>
          </w:tcPr>
          <w:p w14:paraId="778FADCA" w14:textId="77777777" w:rsidR="00C50885" w:rsidRDefault="00000000">
            <w:pPr>
              <w:jc w:val="center"/>
            </w:pPr>
            <w:r>
              <w:rPr>
                <w:b/>
                <w:sz w:val="22"/>
              </w:rPr>
              <w:t>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B1A17" w14:textId="77777777" w:rsidR="00C50885" w:rsidRDefault="00000000">
            <w:pPr>
              <w:jc w:val="center"/>
            </w:pPr>
            <w:r>
              <w:rPr>
                <w:b/>
                <w:sz w:val="22"/>
              </w:rPr>
              <w:t>Data basis</w:t>
            </w:r>
          </w:p>
        </w:tc>
        <w:tc>
          <w:tcPr>
            <w:tcW w:w="2250" w:type="dxa"/>
            <w:tcBorders>
              <w:top w:val="single" w:sz="4" w:space="0" w:color="000000"/>
              <w:left w:val="single" w:sz="4" w:space="0" w:color="000000"/>
              <w:bottom w:val="single" w:sz="4" w:space="0" w:color="000000"/>
              <w:right w:val="single" w:sz="4" w:space="0" w:color="000000"/>
            </w:tcBorders>
            <w:vAlign w:val="center"/>
          </w:tcPr>
          <w:p w14:paraId="6AF4B9FF" w14:textId="77777777" w:rsidR="00C50885" w:rsidRDefault="00000000">
            <w:pPr>
              <w:jc w:val="center"/>
            </w:pPr>
            <w:r>
              <w:rPr>
                <w:b/>
                <w:sz w:val="22"/>
              </w:rPr>
              <w:t>Permitted interpretation</w:t>
            </w:r>
          </w:p>
        </w:tc>
      </w:tr>
      <w:tr w:rsidR="00C50885" w14:paraId="40F3E13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24FA268" w14:textId="77777777" w:rsidR="00C50885" w:rsidRDefault="00000000">
            <w:pPr>
              <w:spacing w:after="0"/>
            </w:pPr>
            <w:r>
              <w:rPr>
                <w:sz w:val="21"/>
              </w:rPr>
              <w:t>Training accuracy</w:t>
            </w:r>
          </w:p>
        </w:tc>
        <w:tc>
          <w:tcPr>
            <w:tcW w:w="2250" w:type="dxa"/>
            <w:tcBorders>
              <w:top w:val="single" w:sz="4" w:space="0" w:color="000000"/>
              <w:left w:val="single" w:sz="4" w:space="0" w:color="000000"/>
              <w:bottom w:val="single" w:sz="4" w:space="0" w:color="000000"/>
              <w:right w:val="single" w:sz="4" w:space="0" w:color="000000"/>
            </w:tcBorders>
            <w:vAlign w:val="center"/>
          </w:tcPr>
          <w:p w14:paraId="041636F8" w14:textId="77777777" w:rsidR="00C50885" w:rsidRDefault="00000000">
            <w:pPr>
              <w:spacing w:after="0"/>
            </w:pPr>
            <w:r>
              <w:rPr>
                <w:sz w:val="21"/>
              </w:rPr>
              <w:t>0.9780</w:t>
            </w:r>
          </w:p>
        </w:tc>
        <w:tc>
          <w:tcPr>
            <w:tcW w:w="2250" w:type="dxa"/>
            <w:tcBorders>
              <w:top w:val="single" w:sz="4" w:space="0" w:color="000000"/>
              <w:left w:val="single" w:sz="4" w:space="0" w:color="000000"/>
              <w:bottom w:val="single" w:sz="4" w:space="0" w:color="000000"/>
              <w:right w:val="single" w:sz="4" w:space="0" w:color="000000"/>
            </w:tcBorders>
            <w:vAlign w:val="center"/>
          </w:tcPr>
          <w:p w14:paraId="63476AA2" w14:textId="77777777" w:rsidR="00C50885" w:rsidRDefault="00000000">
            <w:pPr>
              <w:spacing w:after="0"/>
            </w:pPr>
            <w:r>
              <w:rPr>
                <w:sz w:val="21"/>
              </w:rPr>
              <w:t>500 synthetic, formula-labelled profiles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5D2BEF0" w14:textId="77777777" w:rsidR="00C50885" w:rsidRDefault="00000000">
            <w:pPr>
              <w:spacing w:after="0"/>
            </w:pPr>
            <w:r>
              <w:rPr>
                <w:sz w:val="21"/>
              </w:rPr>
              <w:t>Rule-reproduction performance only</w:t>
            </w:r>
          </w:p>
        </w:tc>
      </w:tr>
      <w:tr w:rsidR="00C50885" w14:paraId="7518C13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13E7A0" w14:textId="77777777" w:rsidR="00C50885" w:rsidRDefault="00000000">
            <w:pPr>
              <w:spacing w:after="0"/>
            </w:pPr>
            <w:r>
              <w:rPr>
                <w:sz w:val="21"/>
              </w:rPr>
              <w:t>Weighted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A9CD81" w14:textId="77777777" w:rsidR="00C50885" w:rsidRDefault="00000000">
            <w:pPr>
              <w:spacing w:after="0"/>
            </w:pPr>
            <w:r>
              <w:rPr>
                <w:sz w:val="21"/>
              </w:rPr>
              <w:t>0.9781</w:t>
            </w:r>
          </w:p>
        </w:tc>
        <w:tc>
          <w:tcPr>
            <w:tcW w:w="2250" w:type="dxa"/>
            <w:tcBorders>
              <w:top w:val="single" w:sz="4" w:space="0" w:color="000000"/>
              <w:left w:val="single" w:sz="4" w:space="0" w:color="000000"/>
              <w:bottom w:val="single" w:sz="4" w:space="0" w:color="000000"/>
              <w:right w:val="single" w:sz="4" w:space="0" w:color="000000"/>
            </w:tcBorders>
            <w:vAlign w:val="center"/>
          </w:tcPr>
          <w:p w14:paraId="6A3D8250" w14:textId="77777777" w:rsidR="00C50885" w:rsidRDefault="00000000">
            <w:pPr>
              <w:spacing w:after="0"/>
            </w:pPr>
            <w:r>
              <w:rPr>
                <w:sz w:val="21"/>
              </w:rPr>
              <w:t>Same synthetic dataset</w:t>
            </w:r>
          </w:p>
        </w:tc>
        <w:tc>
          <w:tcPr>
            <w:tcW w:w="2250" w:type="dxa"/>
            <w:tcBorders>
              <w:top w:val="single" w:sz="4" w:space="0" w:color="000000"/>
              <w:left w:val="single" w:sz="4" w:space="0" w:color="000000"/>
              <w:bottom w:val="single" w:sz="4" w:space="0" w:color="000000"/>
              <w:right w:val="single" w:sz="4" w:space="0" w:color="000000"/>
            </w:tcBorders>
            <w:vAlign w:val="center"/>
          </w:tcPr>
          <w:p w14:paraId="54BD1699" w14:textId="77777777" w:rsidR="00C50885" w:rsidRDefault="00000000">
            <w:pPr>
              <w:spacing w:after="0"/>
            </w:pPr>
            <w:r>
              <w:rPr>
                <w:sz w:val="21"/>
              </w:rPr>
              <w:t>Not organizational predictive validity</w:t>
            </w:r>
          </w:p>
        </w:tc>
      </w:tr>
      <w:tr w:rsidR="00C50885" w14:paraId="41E807A2"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1B99926" w14:textId="77777777" w:rsidR="00C50885" w:rsidRDefault="00000000">
            <w:pPr>
              <w:spacing w:after="0"/>
            </w:pPr>
            <w:r>
              <w:rPr>
                <w:sz w:val="21"/>
              </w:rPr>
              <w:t>Cross-validation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583520F1" w14:textId="77777777" w:rsidR="00C50885" w:rsidRDefault="00000000">
            <w:pPr>
              <w:spacing w:after="0"/>
            </w:pPr>
            <w:r>
              <w:rPr>
                <w:sz w:val="21"/>
              </w:rPr>
              <w:t>0.8526 +/- 0.0487</w:t>
            </w:r>
          </w:p>
        </w:tc>
        <w:tc>
          <w:tcPr>
            <w:tcW w:w="2250" w:type="dxa"/>
            <w:tcBorders>
              <w:top w:val="single" w:sz="4" w:space="0" w:color="000000"/>
              <w:left w:val="single" w:sz="4" w:space="0" w:color="000000"/>
              <w:bottom w:val="single" w:sz="4" w:space="0" w:color="000000"/>
              <w:right w:val="single" w:sz="4" w:space="0" w:color="000000"/>
            </w:tcBorders>
            <w:vAlign w:val="center"/>
          </w:tcPr>
          <w:p w14:paraId="093DAB1A" w14:textId="77777777" w:rsidR="00C50885" w:rsidRDefault="00000000">
            <w:pPr>
              <w:spacing w:after="0"/>
            </w:pPr>
            <w:r>
              <w:rPr>
                <w:sz w:val="21"/>
              </w:rPr>
              <w:t>Five-fold stratified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1DD9A6FD" w14:textId="77777777" w:rsidR="00C50885" w:rsidRDefault="00000000">
            <w:pPr>
              <w:spacing w:after="0"/>
            </w:pPr>
            <w:r>
              <w:rPr>
                <w:sz w:val="21"/>
              </w:rPr>
              <w:t>Internal estimate on synthetic labels</w:t>
            </w:r>
          </w:p>
        </w:tc>
      </w:tr>
      <w:tr w:rsidR="00C50885" w14:paraId="4D5CEF2A"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79B5E1" w14:textId="77777777" w:rsidR="00C50885" w:rsidRDefault="00000000">
            <w:pPr>
              <w:spacing w:after="0"/>
            </w:pPr>
            <w:r>
              <w:rPr>
                <w:sz w:val="21"/>
              </w:rPr>
              <w:t>Class coverage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436562" w14:textId="77777777" w:rsidR="00C50885" w:rsidRDefault="00000000">
            <w:pPr>
              <w:spacing w:after="0"/>
            </w:pPr>
            <w:r>
              <w:rPr>
                <w:sz w:val="21"/>
              </w:rPr>
              <w:t>Low, medium and high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51954920" w14:textId="77777777" w:rsidR="00C50885" w:rsidRDefault="00000000">
            <w:pPr>
              <w:spacing w:after="0"/>
            </w:pPr>
            <w:r>
              <w:rPr>
                <w:sz w:val="21"/>
              </w:rPr>
              <w:t>Saved model metrics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3395F" w14:textId="77777777" w:rsidR="00C50885" w:rsidRDefault="00000000">
            <w:pPr>
              <w:spacing w:after="0"/>
            </w:pPr>
            <w:r>
              <w:rPr>
                <w:sz w:val="21"/>
              </w:rPr>
              <w:t>Critical tier was not represented</w:t>
            </w:r>
          </w:p>
        </w:tc>
      </w:tr>
    </w:tbl>
    <w:p w14:paraId="01500F8E" w14:textId="77777777" w:rsidR="00C50885" w:rsidRDefault="00C50885">
      <w:pPr>
        <w:spacing w:after="60"/>
      </w:pPr>
    </w:p>
    <w:p w14:paraId="77716046" w14:textId="77777777" w:rsidR="00C50885" w:rsidRDefault="00000000">
      <w:pPr>
        <w:pStyle w:val="Heading2"/>
      </w:pPr>
      <w:bookmarkStart w:id="59" w:name="_Toc241869550"/>
      <w:r>
        <w:rPr>
          <w:rFonts w:ascii="Times New Roman" w:hAnsi="Times New Roman"/>
          <w:b w:val="0"/>
        </w:rPr>
        <w:t>5.6 Results by objective</w:t>
      </w:r>
      <w:bookmarkEnd w:id="59"/>
    </w:p>
    <w:p w14:paraId="53874548" w14:textId="77777777" w:rsidR="00C50885" w:rsidRDefault="00000000">
      <w:pPr>
        <w:ind w:firstLine="360"/>
        <w:jc w:val="both"/>
      </w:pPr>
      <w:r>
        <w:t>Table 5.7 links each objective to the result available in this study. It avoids treating a design feature as proof of organizational impact.</w:t>
      </w:r>
    </w:p>
    <w:p w14:paraId="0779B719" w14:textId="77777777" w:rsidR="00C50885" w:rsidRDefault="00000000">
      <w:pPr>
        <w:pStyle w:val="KGCaption"/>
      </w:pPr>
      <w:r>
        <w:t>Table 5.7: Results by objective</w:t>
      </w:r>
    </w:p>
    <w:tbl>
      <w:tblPr>
        <w:tblStyle w:val="TableGrid"/>
        <w:tblW w:w="0" w:type="auto"/>
        <w:jc w:val="center"/>
        <w:tblLook w:val="04A0" w:firstRow="1" w:lastRow="0" w:firstColumn="1" w:lastColumn="0" w:noHBand="0" w:noVBand="1"/>
      </w:tblPr>
      <w:tblGrid>
        <w:gridCol w:w="3000"/>
        <w:gridCol w:w="3000"/>
        <w:gridCol w:w="3000"/>
      </w:tblGrid>
      <w:tr w:rsidR="00C50885" w14:paraId="737B3A3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Observed result</w:t>
            </w:r>
          </w:p>
        </w:tc>
        <w:tc>
          <w:tcPr>
            <w:tcW w:w="3000" w:type="dxa"/>
            <w:tcBorders>
              <w:top w:val="single" w:sz="4" w:space="0" w:color="000000"/>
              <w:left w:val="single" w:sz="4" w:space="0" w:color="000000"/>
              <w:bottom w:val="single" w:sz="4" w:space="0" w:color="000000"/>
              <w:right w:val="single" w:sz="4" w:space="0" w:color="000000"/>
            </w:tcBorders>
            <w:vAlign w:val="center"/>
          </w:tcPr>
          <w:p>
            <w:r>
              <w:t>Conclusion supported</w:t>
            </w:r>
          </w:p>
        </w:tc>
      </w:tr>
      <w:tr w:rsidR="00C50885" w14:paraId="26A9B71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mapped responses, quality flags and an AHP configuration safeguard were implemented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assessment design can be demonstrated; baseline weights are transparent prototype settings, not population-validated weights</w:t>
            </w:r>
          </w:p>
        </w:tc>
      </w:tr>
      <w:tr w:rsidR="00C50885" w14:paraId="4B521F7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w:t>
            </w:r>
          </w:p>
        </w:tc>
        <w:tc>
          <w:tcPr>
            <w:tcW w:w="3000" w:type="dxa"/>
            <w:tcBorders>
              <w:top w:val="single" w:sz="4" w:space="0" w:color="000000"/>
              <w:left w:val="single" w:sz="4" w:space="0" w:color="000000"/>
              <w:bottom w:val="single" w:sz="4" w:space="0" w:color="000000"/>
              <w:right w:val="single" w:sz="4" w:space="0" w:color="000000"/>
            </w:tcBorders>
            <w:vAlign w:val="center"/>
          </w:tcPr>
          <w:p>
            <w:r>
              <w:t>Literature-informed requirements, indicator selection, manager review and KT stages were documented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design requirements and rationale are explicit and traceable</w:t>
            </w:r>
          </w:p>
        </w:tc>
      </w:tr>
      <w:tr w:rsidR="00C50885" w14:paraId="2E9E744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w:t>
            </w:r>
          </w:p>
        </w:tc>
        <w:tc>
          <w:tcPr>
            <w:tcW w:w="3000" w:type="dxa"/>
            <w:tcBorders>
              <w:top w:val="single" w:sz="4" w:space="0" w:color="000000"/>
              <w:left w:val="single" w:sz="4" w:space="0" w:color="000000"/>
              <w:bottom w:val="single" w:sz="4" w:space="0" w:color="000000"/>
              <w:right w:val="single" w:sz="4" w:space="0" w:color="000000"/>
            </w:tcBorders>
            <w:vAlign w:val="center"/>
          </w:tcPr>
          <w:p>
            <w:r>
              <w:t>The artefact connects import, scoring, manager review, KT tasks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r>
              <w:t>The integrated workflow is implemented as a prototype</w:t>
            </w:r>
          </w:p>
        </w:tc>
      </w:tr>
      <w:tr w:rsidR="00C50885" w14:paraId="0CD524F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summaries from ten evaluators are positive</w:t>
            </w:r>
          </w:p>
        </w:tc>
        <w:tc>
          <w:tcPr>
            <w:tcW w:w="3000" w:type="dxa"/>
            <w:tcBorders>
              <w:top w:val="single" w:sz="4" w:space="0" w:color="000000"/>
              <w:left w:val="single" w:sz="4" w:space="0" w:color="000000"/>
              <w:bottom w:val="single" w:sz="4" w:space="0" w:color="000000"/>
              <w:right w:val="single" w:sz="4" w:space="0" w:color="000000"/>
            </w:tcBorders>
            <w:vAlign w:val="center"/>
          </w:tcPr>
          <w:p>
            <w:r>
              <w:t>The prototype received favourable descriptive feedback from this group</w:t>
            </w:r>
          </w:p>
        </w:tc>
      </w:tr>
    </w:tbl>
    <w:p w14:paraId="67F7CBBB" w14:textId="77777777" w:rsidR="00C50885" w:rsidRDefault="00C50885">
      <w:pPr>
        <w:spacing w:after="60"/>
      </w:pPr>
    </w:p>
    <w:p w14:paraId="284FA106" w14:textId="77777777" w:rsidR="00C50885" w:rsidRDefault="00000000">
      <w:pPr>
        <w:ind w:firstLine="360"/>
        <w:jc w:val="both"/>
      </w:pPr>
      <w:r>
        <w:t>These sources answer different questions: collected-response mapping, generated workflow behaviour, exploratory AHP priorities, configuration safeguards, synthetic ML performance and descriptive evaluator feedback. None establishes actual organizational knowledge retention.</w:t>
      </w:r>
    </w:p>
    <w:p w14:paraId="11E11FBA" w14:textId="77777777" w:rsidR="00C50885" w:rsidRDefault="00000000">
      <w:pPr>
        <w:pStyle w:val="Heading2"/>
      </w:pPr>
      <w:bookmarkStart w:id="60" w:name="_Toc241869551"/>
      <w:r>
        <w:rPr>
          <w:rFonts w:ascii="Times New Roman" w:hAnsi="Times New Roman"/>
          <w:b w:val="0"/>
        </w:rPr>
        <w:t>5.7 Chapter summary</w:t>
      </w:r>
      <w:bookmarkEnd w:id="60"/>
    </w:p>
    <w:p w14:paraId="048ACD0F" w14:textId="77777777" w:rsidR="00C50885" w:rsidRDefault="00000000">
      <w:pPr>
        <w:ind w:firstLine="360"/>
        <w:jc w:val="both"/>
      </w:pPr>
      <w:r>
        <w:t>KnowledgeGuard produced an assessment-to-transfer prototype with mapped input from 30 industry-colleague responses, a transparent predefined formula, an exploratory AHP group comparison and favourable descriptive SUS/TAM feedback from ten evaluators. The separate generated Q1-Q4 and synthetic ML data demonstrate behaviour, not outcomes after a real employee transition. Chapter 6 interprets these bounded findings.</w:t>
      </w:r>
    </w:p>
    <w:p w14:paraId="5BE96B8D" w14:textId="77777777" w:rsidR="00C50885" w:rsidRDefault="00000000">
      <w:r>
        <w:br w:type="page"/>
      </w:r>
    </w:p>
    <w:p w14:paraId="24CFD56B" w14:textId="5347D02B" w:rsidR="00C50885" w:rsidRPr="00E72D5D" w:rsidRDefault="00000000">
      <w:pPr>
        <w:pStyle w:val="Heading1"/>
        <w:rPr>
          <w:bCs w:val="0"/>
        </w:rPr>
      </w:pPr>
      <w:bookmarkStart w:id="61" w:name="_Toc241869552"/>
      <w:r w:rsidRPr="00E72D5D">
        <w:rPr>
          <w:rFonts w:ascii="Times New Roman" w:hAnsi="Times New Roman"/>
          <w:bCs w:val="0"/>
        </w:rPr>
        <w:lastRenderedPageBreak/>
        <w:t>6</w:t>
      </w:r>
      <w:r w:rsidR="00E72D5D" w:rsidRPr="00E72D5D">
        <w:rPr>
          <w:rFonts w:ascii="Times New Roman" w:hAnsi="Times New Roman"/>
          <w:bCs w:val="0"/>
        </w:rPr>
        <w:t>.</w:t>
      </w:r>
      <w:r w:rsidRPr="00E72D5D">
        <w:rPr>
          <w:rFonts w:ascii="Times New Roman" w:hAnsi="Times New Roman"/>
          <w:bCs w:val="0"/>
        </w:rPr>
        <w:t xml:space="preserve"> DISCUSSION AND CONCLUSIONS</w:t>
      </w:r>
      <w:bookmarkEnd w:id="61"/>
    </w:p>
    <w:p w14:paraId="543B3180" w14:textId="77777777" w:rsidR="00C50885" w:rsidRPr="00E72D5D" w:rsidRDefault="00000000">
      <w:pPr>
        <w:pStyle w:val="Heading2"/>
        <w:rPr>
          <w:bCs w:val="0"/>
        </w:rPr>
      </w:pPr>
      <w:bookmarkStart w:id="62" w:name="_Toc241869553"/>
      <w:r w:rsidRPr="00E72D5D">
        <w:rPr>
          <w:rFonts w:ascii="Times New Roman" w:hAnsi="Times New Roman"/>
          <w:bCs w:val="0"/>
        </w:rPr>
        <w:t>6.1 Discussion of key findings</w:t>
      </w:r>
      <w:bookmarkEnd w:id="62"/>
    </w:p>
    <w:p w14:paraId="7DE6EE36" w14:textId="77777777" w:rsidR="00C50885" w:rsidRDefault="00000000">
      <w:pPr>
        <w:ind w:firstLine="360"/>
        <w:jc w:val="both"/>
      </w:pPr>
      <w: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14:paraId="1F4D9158" w14:textId="77777777" w:rsidR="00C50885" w:rsidRPr="00E72D5D" w:rsidRDefault="00000000">
      <w:pPr>
        <w:pStyle w:val="Heading3"/>
        <w:rPr>
          <w:bCs w:val="0"/>
        </w:rPr>
      </w:pPr>
      <w:bookmarkStart w:id="63" w:name="_Toc241869554"/>
      <w:r w:rsidRPr="00E72D5D">
        <w:rPr>
          <w:rFonts w:ascii="Times New Roman" w:hAnsi="Times New Roman"/>
          <w:bCs w:val="0"/>
        </w:rPr>
        <w:t>6.1.1 Answers to the research questions</w:t>
      </w:r>
      <w:bookmarkEnd w:id="63"/>
    </w:p>
    <w:p w14:paraId="7DCD9D07" w14:textId="77777777" w:rsidR="00C50885" w:rsidRDefault="00000000">
      <w:pPr>
        <w:ind w:firstLine="360"/>
        <w:jc w:val="both"/>
      </w:pPr>
      <w: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14:paraId="540E215C" w14:textId="77777777" w:rsidR="00C50885" w:rsidRDefault="00000000">
      <w:pPr>
        <w:ind w:firstLine="360"/>
        <w:jc w:val="both"/>
      </w:pPr>
      <w: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14:paraId="3D229E2A" w14:textId="77777777" w:rsidR="00C50885" w:rsidRDefault="00000000">
      <w:pPr>
        <w:ind w:firstLine="360"/>
        <w:jc w:val="both"/>
      </w:pPr>
      <w: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14:paraId="741A7FA1" w14:textId="77777777" w:rsidR="00C50885" w:rsidRDefault="00000000">
      <w:pPr>
        <w:ind w:firstLine="360"/>
        <w:jc w:val="both"/>
      </w:pPr>
      <w: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14:paraId="379F438B" w14:textId="77777777" w:rsidR="00C50885" w:rsidRDefault="00000000">
      <w:pPr>
        <w:ind w:firstLine="360"/>
        <w:jc w:val="both"/>
      </w:pPr>
      <w:r>
        <w:t>The baseline formula is a transparent, literature-informed prototype configuration, not a claim of optimal weights. The exploratory AHP group matrix was acceptably consistent (CR 0.0822) but placed much greater weight on expertise uniqueness (51.77% versus 25%) and less on tenure (5.67% versus 15%). This difference shows why organizational priorities and sensitivity to weights need further study. The proposed weights were not applied because the prototype evaluation used its predefined configuration throughout; post hoc adoption would change the reported risk classifications without outcome evidence or organizational approval. Consistency alone does not validate either set against actual knowledge-loss outcomes.</w:t>
      </w:r>
    </w:p>
    <w:p w14:paraId="73EEEF4E" w14:textId="77777777" w:rsidR="00C50885" w:rsidRDefault="00000000">
      <w:pPr>
        <w:ind w:firstLine="360"/>
        <w:jc w:val="both"/>
      </w:pPr>
      <w:r>
        <w:t>The ten evaluators gave favourable SUS and TAM responses. Their small, incompletely documented convenience group supports descriptive feedback only; it does not establish organization-wide adoption.</w:t>
      </w:r>
    </w:p>
    <w:p w14:paraId="305F6BF0" w14:textId="77777777" w:rsidR="00C50885" w:rsidRPr="00E72D5D" w:rsidRDefault="00000000">
      <w:pPr>
        <w:pStyle w:val="Heading2"/>
        <w:rPr>
          <w:bCs w:val="0"/>
        </w:rPr>
      </w:pPr>
      <w:bookmarkStart w:id="64" w:name="_Toc241869555"/>
      <w:r w:rsidRPr="00E72D5D">
        <w:rPr>
          <w:rFonts w:ascii="Times New Roman" w:hAnsi="Times New Roman"/>
          <w:bCs w:val="0"/>
        </w:rPr>
        <w:t>6.2 Comparison with literature</w:t>
      </w:r>
      <w:bookmarkEnd w:id="64"/>
    </w:p>
    <w:p w14:paraId="57BC9F8B" w14:textId="77777777" w:rsidR="00C50885" w:rsidRDefault="00000000">
      <w:pPr>
        <w:ind w:firstLine="360"/>
        <w:jc w:val="both"/>
      </w:pPr>
      <w:r>
        <w:t>The design follows literature distinguishing explicit from tacit knowledge and showing that transfer requires more than storing documents [1], [2], [18]. Documentation, shadowing, interview and backup practice create different opportunities to pass on knowledge. The evaluation confirms the workflow can be recorded; it does not show that a backup performs effectively after an actual transition [19].</w:t>
      </w:r>
    </w:p>
    <w:p w14:paraId="7A416AAA" w14:textId="77777777" w:rsidR="00C50885" w:rsidRDefault="00000000">
      <w:pPr>
        <w:ind w:firstLine="360"/>
        <w:jc w:val="both"/>
      </w:pPr>
      <w:r>
        <w:t>The choice to screen low-variation and contradictory questionnaire responses follows the principle that survey-quality indicators should trigger review rather than act as proof of dishonesty [17].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14:paraId="3AA5ED6D" w14:textId="77777777" w:rsidR="00C50885" w:rsidRPr="00E72D5D" w:rsidRDefault="00000000">
      <w:pPr>
        <w:pStyle w:val="Heading2"/>
        <w:rPr>
          <w:bCs w:val="0"/>
        </w:rPr>
      </w:pPr>
      <w:bookmarkStart w:id="65" w:name="_Toc241869556"/>
      <w:r w:rsidRPr="00E72D5D">
        <w:rPr>
          <w:rFonts w:ascii="Times New Roman" w:hAnsi="Times New Roman"/>
          <w:bCs w:val="0"/>
        </w:rPr>
        <w:t>6.3 Contribution and practical implications</w:t>
      </w:r>
      <w:bookmarkEnd w:id="65"/>
    </w:p>
    <w:p w14:paraId="0A923735" w14:textId="77777777" w:rsidR="00C50885" w:rsidRDefault="00000000">
      <w:pPr>
        <w:ind w:firstLine="360"/>
        <w:jc w:val="both"/>
      </w:pPr>
      <w:r>
        <w:t xml:space="preserve">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w:t>
      </w:r>
      <w:r>
        <w:lastRenderedPageBreak/>
        <w:t>confirmations, competence review and sign-off. This design may help an organization discuss where knowledge is concentrated before a transition creates disruption.</w:t>
      </w:r>
    </w:p>
    <w:p w14:paraId="265CA01B" w14:textId="77777777" w:rsidR="00C50885" w:rsidRDefault="00000000">
      <w:pPr>
        <w:ind w:firstLine="360"/>
        <w:jc w:val="both"/>
      </w:pPr>
      <w: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14:paraId="4A76F9F5" w14:textId="77777777" w:rsidR="00C50885" w:rsidRDefault="00000000">
      <w:pPr>
        <w:ind w:firstLine="360"/>
        <w:jc w:val="both"/>
      </w:pPr>
      <w:r>
        <w:t>The evidence supports an inspectable prototype from assessment to manager-reviewed transfer. Chat proposals and alerts can direct attention to records, but their effect on decisions or continuity was not evaluated separately. Organizational use would require local testing of the weights, data quality, privacy controls and backup performance after a transition.</w:t>
      </w:r>
    </w:p>
    <w:p w14:paraId="51601727" w14:textId="77777777" w:rsidR="00C50885" w:rsidRPr="00E72D5D" w:rsidRDefault="00000000">
      <w:pPr>
        <w:pStyle w:val="Heading2"/>
        <w:rPr>
          <w:bCs w:val="0"/>
        </w:rPr>
      </w:pPr>
      <w:bookmarkStart w:id="66" w:name="_Toc241869557"/>
      <w:r w:rsidRPr="00E72D5D">
        <w:rPr>
          <w:rFonts w:ascii="Times New Roman" w:hAnsi="Times New Roman"/>
          <w:bCs w:val="0"/>
        </w:rPr>
        <w:t>6.4 Limitations</w:t>
      </w:r>
      <w:bookmarkEnd w:id="66"/>
    </w:p>
    <w:p w14:paraId="6E650344" w14:textId="77777777" w:rsidR="00C50885" w:rsidRDefault="00000000">
      <w:pPr>
        <w:ind w:firstLine="360"/>
        <w:jc w:val="both"/>
      </w:pPr>
      <w:r>
        <w:t>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system-evaluation responses are a small convenience group with incomplete documented recruitment and participant-role information. Third, the baseline weights are literature-informed prototype settings rather than empirically validated organizational parameters. The ML labels are generated from the formula and its saved training data lack the critical class. The reported metrics therefore cannot be described as predictive accuracy for knowledge loss.</w:t>
      </w:r>
    </w:p>
    <w:p w14:paraId="343B2836" w14:textId="77777777" w:rsidR="00C50885" w:rsidRDefault="00000000">
      <w:pPr>
        <w:ind w:firstLine="360"/>
        <w:jc w:val="both"/>
      </w:pPr>
      <w:r>
        <w:t>Fourth, assessment acquisition relies on questionnaires and CSV import rather than live organizational integrations. Fifth, the exploratory AHP comparison used ten pairwise responses: its group CR does not establish each respondent's consistency, represent an organization, or validate weights against outcomes. Sensitivity and organizational review are still required before recalibration. Controlled matrix tests cover the consistency utility, but endpoint and operational testing remain. Sixth, chat sends team summaries to an external AI provider and email depends on configured credentials; neither received separate outcome testing. No penetration, load or privacy audit was completed. KT sign-off records workflow rules, not lasting backup competence.</w:t>
      </w:r>
    </w:p>
    <w:p w14:paraId="6A73F559" w14:textId="0FE5FA9B" w:rsidR="00E72D5D" w:rsidRDefault="00E72D5D" w:rsidP="00E72D5D">
      <w:pPr>
        <w:pStyle w:val="Heading2"/>
      </w:pPr>
      <w:bookmarkStart w:id="67" w:name="_Toc241869558"/>
      <w:r>
        <w:rPr>
          <w:rFonts w:ascii="Times New Roman" w:hAnsi="Times New Roman"/>
          <w:b w:val="0"/>
        </w:rPr>
        <w:t>6.5 Future work</w:t>
      </w:r>
      <w:bookmarkEnd w:id="67"/>
    </w:p>
    <w:p w14:paraId="7D9856DB" w14:textId="77777777" w:rsidR="00E72D5D" w:rsidRDefault="00E72D5D" w:rsidP="00E72D5D">
      <w:pPr>
        <w:ind w:firstLine="360"/>
        <w:jc w:val="both"/>
      </w:pPr>
      <w:r>
        <w:t>Future work should begin with a consented organizational pilot collecting repeated assessments, manager reviews and independent evidence of backup performance after a transition. Real outcome labels would permit stronger ML evaluation. A documented stakeholder panel should repeat AHP with individual consistency checks, sensitivity analysis and formal approval before any live weight change. Endpoint-level AHP tests, role-based security and privacy review, load tests, and fuller user studies are also needed.</w:t>
      </w:r>
    </w:p>
    <w:p w14:paraId="5849159B" w14:textId="77777777" w:rsidR="00E72D5D" w:rsidRDefault="00E72D5D" w:rsidP="00E72D5D">
      <w:pPr>
        <w:ind w:firstLine="360"/>
        <w:jc w:val="both"/>
      </w:pPr>
      <w:r>
        <w:t xml:space="preserve">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w:t>
      </w:r>
      <w:r>
        <w:lastRenderedPageBreak/>
        <w:t>collect authentication tokens, credentials, private messages, full source-code content, or personal data unrelated to knowledge continuity.</w:t>
      </w:r>
    </w:p>
    <w:p w14:paraId="06CEB381" w14:textId="77777777" w:rsidR="00E72D5D" w:rsidRDefault="00E72D5D" w:rsidP="00E72D5D">
      <w:pPr>
        <w:ind w:firstLine="360"/>
        <w:jc w:val="both"/>
      </w:pPr>
      <w: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14:paraId="63F288B8" w14:textId="77777777" w:rsidR="00E72D5D" w:rsidRDefault="00E72D5D" w:rsidP="00E72D5D">
      <w:pPr>
        <w:jc w:val="both"/>
      </w:pPr>
    </w:p>
    <w:p w14:paraId="5C8277A8" w14:textId="352ABC1E" w:rsidR="00C50885" w:rsidRDefault="00000000">
      <w:pPr>
        <w:pStyle w:val="Heading2"/>
      </w:pPr>
      <w:bookmarkStart w:id="68" w:name="_Toc241869559"/>
      <w:r>
        <w:rPr>
          <w:rFonts w:ascii="Times New Roman" w:hAnsi="Times New Roman"/>
          <w:b w:val="0"/>
        </w:rPr>
        <w:t>6.</w:t>
      </w:r>
      <w:r w:rsidR="00E72D5D">
        <w:rPr>
          <w:rFonts w:ascii="Times New Roman" w:hAnsi="Times New Roman"/>
          <w:b w:val="0"/>
        </w:rPr>
        <w:t>6</w:t>
      </w:r>
      <w:r>
        <w:rPr>
          <w:rFonts w:ascii="Times New Roman" w:hAnsi="Times New Roman"/>
          <w:b w:val="0"/>
        </w:rPr>
        <w:t xml:space="preserve"> Conclusions</w:t>
      </w:r>
      <w:bookmarkEnd w:id="68"/>
    </w:p>
    <w:p w14:paraId="14355248" w14:textId="77777777" w:rsidR="00C50885" w:rsidRDefault="00000000">
      <w:pPr>
        <w:ind w:firstLine="360"/>
        <w:jc w:val="both"/>
      </w:pPr>
      <w: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14:paraId="0316F0F8" w14:textId="77777777" w:rsidR="00C50885" w:rsidRDefault="00000000">
      <w:r>
        <w:br w:type="page"/>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14:paraId="4E8B53DC" w14:textId="77777777" w:rsidR="00C50885" w:rsidRDefault="00000000">
      <w:pPr>
        <w:ind w:firstLine="360"/>
        <w:jc w:val="both"/>
      </w:pPr>
      <w:r>
        <w:t>[1] I. Nonaka, “A dynamic theory of organizational knowledge creation,” Organization Science, vol. 5, no. 1, pp. 14–37, 1994, doi: 10.1287/orsc.5.1.14.</w:t>
      </w:r>
    </w:p>
    <w:p w14:paraId="521D0666" w14:textId="77777777" w:rsidR="00C50885" w:rsidRDefault="00000000">
      <w:pPr>
        <w:ind w:firstLine="360"/>
        <w:jc w:val="both"/>
      </w:pPr>
      <w:r>
        <w:t>[2] L. Argote and P. Ingram, “Knowledge transfer: A basis for competitive advantage in firms,” Organizational Behavior and Human Decision Processes, vol. 82, no. 1, pp. 150–169, 2000, doi: 10.1006/obhd.2000.2893.</w:t>
      </w:r>
    </w:p>
    <w:p w14:paraId="3E8B4AFA" w14:textId="77777777" w:rsidR="00C50885" w:rsidRDefault="00000000">
      <w:pPr>
        <w:ind w:firstLine="360"/>
        <w:jc w:val="both"/>
      </w:pPr>
      <w:r>
        <w:t>[3] A. Daghfous, N. T. Amer, O. Belkhodja, L. C. Angell, and T. Zoubi, “Managing knowledge loss: A systematic literature review and future research directions,” Journal of Enterprise Information Management, vol. 36, no. 4, pp. 1008–1031, 2023, doi: 10.1108/JEIM-05-2022-0171.</w:t>
      </w:r>
    </w:p>
    <w:p w14:paraId="00C81D16" w14:textId="77777777" w:rsidR="00C50885" w:rsidRDefault="00000000">
      <w:pPr>
        <w:ind w:firstLine="360"/>
        <w:jc w:val="both"/>
      </w:pPr>
      <w:r>
        <w:t>[4] R. Iftikhar and M. Rashid, “Knowledge loss and retention in interorganizational projects: Evidence from public transportation projects from Pakistan,” International Journal of Managing Projects in Business, vol. 18, no. 2, pp. 241–264, 2025, doi: 10.1108/IJMPB-09-2024-0210.</w:t>
      </w:r>
    </w:p>
    <w:p w14:paraId="18107451" w14:textId="77777777" w:rsidR="00C50885" w:rsidRDefault="00000000">
      <w:pPr>
        <w:ind w:firstLine="360"/>
        <w:jc w:val="both"/>
      </w:pPr>
      <w:r>
        <w:t>[5] A. R. Hevner, S. T. March, J. Park, and S. Ram, “Design science in information systems research,” MIS Quarterly, vol. 28, no. 1, pp. 75–106, 2004, doi: 10.2307/25148625.</w:t>
      </w:r>
    </w:p>
    <w:p w14:paraId="4A4AF80E" w14:textId="77777777" w:rsidR="00C50885" w:rsidRDefault="00000000">
      <w:pPr>
        <w:ind w:firstLine="360"/>
        <w:jc w:val="both"/>
      </w:pPr>
      <w:r>
        <w:t>[6] M. S. Sumbal, A. Ključnikov, S. Durst, A. Ferraris, and L. Saeed, “Do you want to retain your relevant knowledge? The role of contextual factors in the banking sector,” Journal of Knowledge Management, vol. 27, no. 9, pp. 2414–2433, 2023, doi: 10.1108/JKM-02-2022-0128.</w:t>
      </w:r>
    </w:p>
    <w:p w14:paraId="391B1202" w14:textId="77777777" w:rsidR="00C50885" w:rsidRDefault="00000000">
      <w:pPr>
        <w:ind w:firstLine="360"/>
        <w:jc w:val="both"/>
      </w:pPr>
      <w:r>
        <w:t>[7] S. Durst and M. Zieba, “Mapping knowledge risks: Towards a better understanding of knowledge management,” Knowledge Management Research &amp; Practice, vol. 17, no. 1, pp. 1–13, 2019, doi: 10.1080/14778238.2018.1538603.</w:t>
      </w:r>
    </w:p>
    <w:p w14:paraId="5E8E9B82" w14:textId="77777777" w:rsidR="00C50885" w:rsidRDefault="00000000">
      <w:pPr>
        <w:ind w:firstLine="360"/>
        <w:jc w:val="both"/>
      </w:pPr>
      <w: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14:paraId="1FF0C0B1" w14:textId="77777777" w:rsidR="00C50885" w:rsidRDefault="00000000">
      <w:pPr>
        <w:ind w:firstLine="360"/>
        <w:jc w:val="both"/>
      </w:pPr>
      <w:r>
        <w:lastRenderedPageBreak/>
        <w:t>[9] N. Galan, “Knowledge loss induced by organizational member turnover: A review of empirical literature, synthesis and future research directions (Part I),” The Learning Organization, vol. 30, no. 2, pp. 117–136, 2023, doi: 10.1108/TLO-09-2022-0107.</w:t>
      </w:r>
    </w:p>
    <w:p w14:paraId="721D0071" w14:textId="77777777" w:rsidR="00C50885" w:rsidRDefault="00000000">
      <w:pPr>
        <w:ind w:firstLine="360"/>
        <w:jc w:val="both"/>
      </w:pPr>
      <w:r>
        <w:t>[10] N. Galan, “Knowledge loss induced by organizational member turnover: A review of empirical literature, synthesis and future research directions (Part II),” The Learning Organization, vol. 30, no. 2, pp. 137–161, 2023, doi: 10.1108/TLO-09-2022-0108.</w:t>
      </w:r>
    </w:p>
    <w:p w14:paraId="5DA6ED74" w14:textId="77777777" w:rsidR="00C50885" w:rsidRDefault="00000000">
      <w:pPr>
        <w:ind w:firstLine="360"/>
        <w:jc w:val="both"/>
      </w:pPr>
      <w:r>
        <w:t>[11] P. R. Massingham, “Measuring the impact of knowledge loss: A longitudinal study,” Journal of Knowledge Management, vol. 22, no. 4, pp. 721–758, 2018, doi: 10.1108/JKM-08-2016-0338.</w:t>
      </w:r>
    </w:p>
    <w:p w14:paraId="67F06576" w14:textId="77777777" w:rsidR="00C50885" w:rsidRDefault="00000000">
      <w:pPr>
        <w:ind w:firstLine="360"/>
        <w:jc w:val="both"/>
      </w:pPr>
      <w:r>
        <w:t>[12] Microsoft, “Intro to file collaboration in Microsoft 365, powered by SharePoint,” Microsoft Learn, 2025. [Online]. Available: https://learn.microsoft.com/en-us/sharepoint/intro-to-file-collaboration. [Accessed: Sep. 24, 2026].</w:t>
      </w:r>
    </w:p>
    <w:p w14:paraId="0C715668" w14:textId="77777777" w:rsidR="00C50885" w:rsidRDefault="00000000">
      <w:pPr>
        <w:ind w:firstLine="360"/>
        <w:jc w:val="both"/>
      </w:pPr>
      <w:r>
        <w:t>[13] Atlassian, “Use labels to organize content and attachments,” Confluence Cloud Support, n.d. [Online]. Available: https://support.atlassian.com/confluence-cloud/docs/use-labels-to-organize-your-content/. [Accessed: Sep. 24, 2026].</w:t>
      </w:r>
    </w:p>
    <w:p w14:paraId="730C94E4" w14:textId="77777777" w:rsidR="00C50885" w:rsidRDefault="00000000">
      <w:pPr>
        <w:ind w:firstLine="360"/>
        <w:jc w:val="both"/>
      </w:pPr>
      <w:r>
        <w:t>[14] ServiceNow, “Knowledge workflows,” ServiceNow Platform Documentation, Xanadu release, Aug. 1, 2024. [Online]. Available: https://www.servicenow.com/docs/r/xanadu/servicenow-platform/knowledge-management/r_KnowledgeWorkflows.html. [Accessed: Sep. 24, 2026].</w:t>
      </w:r>
    </w:p>
    <w:p w14:paraId="44B8E91C" w14:textId="77777777" w:rsidR="00C50885" w:rsidRDefault="00000000">
      <w:pPr>
        <w:ind w:firstLine="360"/>
        <w:jc w:val="both"/>
      </w:pPr>
      <w:r>
        <w:t>[15] APQC, “APQC’s Knowledge Loss Risk Matrix,” Sep. 17, 2025. [Online]. Available: https://www.apqc.org/resource-library/resource-listing/apqcs-knowledge-loss-risk-matrix. [Accessed: Sep. 24, 2026].</w:t>
      </w:r>
    </w:p>
    <w:p w14:paraId="04D3C1CC" w14:textId="77777777" w:rsidR="00C50885" w:rsidRDefault="00000000">
      <w:pPr>
        <w:ind w:firstLine="360"/>
        <w:jc w:val="both"/>
      </w:pPr>
      <w:r>
        <w:t>[16] SAP, “SAP SuccessFactors Career and Talent Development,” 2026. [Online]. Available: https://www.sap.com/products/hcm/career-talent-development.html. [Accessed: Sep. 24, 2026].</w:t>
      </w:r>
    </w:p>
    <w:p w14:paraId="4ABE74CB" w14:textId="77777777" w:rsidR="00C50885" w:rsidRDefault="00000000">
      <w:pPr>
        <w:ind w:firstLine="360"/>
        <w:jc w:val="both"/>
      </w:pPr>
      <w:r>
        <w:t>[17] M. K. Ward and A. W. Meade, “Dealing with careless responding in survey data: Prevention, identification, and recommended best practices,” Annual Review of Psychology, vol. 74, pp. 577–596, 2023, doi: 10.1146/annurev-psych-040422-045007.</w:t>
      </w:r>
    </w:p>
    <w:p w14:paraId="079366BE" w14:textId="77777777" w:rsidR="00C50885" w:rsidRDefault="00000000">
      <w:pPr>
        <w:ind w:firstLine="360"/>
        <w:jc w:val="both"/>
      </w:pPr>
      <w:r>
        <w:lastRenderedPageBreak/>
        <w:t>[18] E. Igoa-Iraola and F. Díez, “Procedures for transferring organizational knowledge during generational change: A systematic review,” Heliyon, vol. 10, no. 5, art. e27092, 2024, doi: 10.1016/j.heliyon.2024.e27092.</w:t>
      </w:r>
    </w:p>
    <w:p w14:paraId="3CD93614" w14:textId="77777777" w:rsidR="00C50885" w:rsidRDefault="00000000">
      <w:pPr>
        <w:ind w:firstLine="360"/>
        <w:jc w:val="both"/>
      </w:pPr>
      <w: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14:paraId="73FC79CD" w14:textId="77777777" w:rsidR="00C50885" w:rsidRDefault="00000000">
      <w:pPr>
        <w:ind w:firstLine="360"/>
        <w:jc w:val="both"/>
      </w:pPr>
      <w:r>
        <w:t>[20] T. L. Saaty, “Decision making with the analytic hierarchy process,” International Journal of Services Sciences, vol. 1, no. 1, pp. 83–98, 2008, doi: 10.1504/IJSSCI.2008.017590.</w:t>
      </w:r>
    </w:p>
    <w:p w14:paraId="37D993D3" w14:textId="77777777" w:rsidR="00C50885" w:rsidRDefault="00000000">
      <w:pPr>
        <w:ind w:firstLine="360"/>
        <w:jc w:val="both"/>
      </w:pPr>
      <w:r>
        <w:t>[21] L. Breiman, “Random forests,” Machine Learning, vol. 45, no. 1, pp. 5–32, 2001, doi: 10.1023/A:1010933404324.</w:t>
      </w:r>
    </w:p>
    <w:p w14:paraId="3108E44A" w14:textId="77777777" w:rsidR="00C50885" w:rsidRDefault="00000000">
      <w:pPr>
        <w:ind w:firstLine="360"/>
        <w:jc w:val="both"/>
      </w:pPr>
      <w:r>
        <w:t>[22] F. T. Liu, K. M. Ting, and Z.-H. Zhou, “Isolation forest,” in Proceedings of the 2008 Eighth IEEE International Conference on Data Mining, Pisa, Italy, 2008, pp. 413–422, doi: 10.1109/ICDM.2008.17.</w:t>
      </w:r>
    </w:p>
    <w:p w14:paraId="3D2AAE2B" w14:textId="77777777" w:rsidR="00C50885" w:rsidRDefault="00000000">
      <w:pPr>
        <w:ind w:firstLine="360"/>
        <w:jc w:val="both"/>
      </w:pPr>
      <w:r>
        <w:t>[23] Q. He and Z. Yang, “Generative AI-driven knowledge management in manufacturing firms: A five-stage framework for dynamic knowledge optimization and digital innovation,” Journal of Knowledge Management, vol. 30, no. 4, pp. 1447–1467, 2026, doi: 10.1108/JKM-03-2025-0418.</w:t>
      </w:r>
    </w:p>
    <w:p w14:paraId="296885CF" w14:textId="77777777" w:rsidR="00C50885" w:rsidRDefault="00000000">
      <w:pPr>
        <w:ind w:firstLine="360"/>
        <w:jc w:val="both"/>
      </w:pPr>
      <w:r>
        <w:t>[24] J. Brooke, “SUS: A quick and dirty usability scale,” in Usability Evaluation in Industry, P. W. Jordan, B. Thomas, B. A. Weerdmeester, and I. L. McClelland, Eds. London, U.K.: Taylor &amp; Francis, 1996, pp. 189–194.</w:t>
      </w:r>
    </w:p>
    <w:p w14:paraId="29E2160A" w14:textId="77777777" w:rsidR="00C50885" w:rsidRDefault="00000000">
      <w:pPr>
        <w:ind w:firstLine="360"/>
        <w:jc w:val="both"/>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response conversion and configuration evidence</w:t>
      </w:r>
    </w:p>
    <w:p w14:paraId="28259150" w14:textId="77777777" w:rsidR="00C50885" w:rsidRDefault="00000000">
      <w:pPr>
        <w:ind w:firstLine="360"/>
        <w:jc w:val="both"/>
      </w:pPr>
      <w:r>
        <w:t>KnowledgeGuard accepts a reciprocal 5 x 5 AHP matrix and calculates proposed weights, CI and CR. The ten available pairwise-response forms were reprocessed using the corrected direction: 1 favours the left indicator, 5 indicates equality and 9 favours the right. Form answers 1-9 map to left/right ratios 9, 7, 5, 3, 1, 1/3, 1/5, 1/7 and 1/9. Each pair was aggregated using the geometric mean of ten converted ratios. Table B.2 reports the resulting group matrix to four decimals; calculations used full precision. No respondent identifiers or timestamps are reproduced.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corrected group matrix gave lambda_max = 5.3682 and CR = 0.0822; Table 5.4 reports its proposed weights. The result was inspected but not applied to live scoring. The evaluated baseline remained EU 0.25, DG 0.20, PC 0.20, CD 0.20 and T 0.15. The controlled inconsistent matrix used in FT04 is separate from these expert responses.</w:t>
      </w:r>
    </w:p>
    <w:p>
      <w:pPr>
        <w:pStyle w:val="KGCaption"/>
      </w:pPr>
      <w:r>
        <w:t>Table B.2: Aggregated reciprocal AHP comparison matrix (n = 10).</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t>Indicator</w:t>
            </w:r>
          </w:p>
        </w:tc>
        <w:tc>
          <w:tcPr>
            <w:tcW w:type="dxa" w:w="1500"/>
          </w:tcPr>
          <w:p>
            <w:r>
              <w:t>EU</w:t>
            </w:r>
          </w:p>
        </w:tc>
        <w:tc>
          <w:tcPr>
            <w:tcW w:type="dxa" w:w="1500"/>
          </w:tcPr>
          <w:p>
            <w:r>
              <w:t>DG</w:t>
            </w:r>
          </w:p>
        </w:tc>
        <w:tc>
          <w:tcPr>
            <w:tcW w:type="dxa" w:w="1500"/>
          </w:tcPr>
          <w:p>
            <w:r>
              <w:t>PC</w:t>
            </w:r>
          </w:p>
        </w:tc>
        <w:tc>
          <w:tcPr>
            <w:tcW w:type="dxa" w:w="1500"/>
          </w:tcPr>
          <w:p>
            <w:r>
              <w:t>CD</w:t>
            </w:r>
          </w:p>
        </w:tc>
        <w:tc>
          <w:tcPr>
            <w:tcW w:type="dxa" w:w="1500"/>
          </w:tcPr>
          <w:p>
            <w:r>
              <w:t>T</w:t>
            </w:r>
          </w:p>
        </w:tc>
      </w:tr>
      <w:tr>
        <w:tc>
          <w:tcPr>
            <w:tcW w:type="dxa" w:w="1500"/>
          </w:tcPr>
          <w:p>
            <w:r>
              <w:t>EU</w:t>
            </w:r>
          </w:p>
        </w:tc>
        <w:tc>
          <w:tcPr>
            <w:tcW w:type="dxa" w:w="1500"/>
          </w:tcPr>
          <w:p>
            <w:r>
              <w:t>1.0000</w:t>
            </w:r>
          </w:p>
        </w:tc>
        <w:tc>
          <w:tcPr>
            <w:tcW w:type="dxa" w:w="1500"/>
          </w:tcPr>
          <w:p>
            <w:r>
              <w:t>5.2962</w:t>
            </w:r>
          </w:p>
        </w:tc>
        <w:tc>
          <w:tcPr>
            <w:tcW w:type="dxa" w:w="1500"/>
          </w:tcPr>
          <w:p>
            <w:r>
              <w:t>4.4364</w:t>
            </w:r>
          </w:p>
        </w:tc>
        <w:tc>
          <w:tcPr>
            <w:tcW w:type="dxa" w:w="1500"/>
          </w:tcPr>
          <w:p>
            <w:r>
              <w:t>5.3437</w:t>
            </w:r>
          </w:p>
        </w:tc>
        <w:tc>
          <w:tcPr>
            <w:tcW w:type="dxa" w:w="1500"/>
          </w:tcPr>
          <w:p>
            <w:r>
              <w:t>4.0039</w:t>
            </w:r>
          </w:p>
        </w:tc>
      </w:tr>
      <w:tr>
        <w:tc>
          <w:tcPr>
            <w:tcW w:type="dxa" w:w="1500"/>
          </w:tcPr>
          <w:p>
            <w:r>
              <w:t>DG</w:t>
            </w:r>
          </w:p>
        </w:tc>
        <w:tc>
          <w:tcPr>
            <w:tcW w:type="dxa" w:w="1500"/>
          </w:tcPr>
          <w:p>
            <w:r>
              <w:t>0.1888</w:t>
            </w:r>
          </w:p>
        </w:tc>
        <w:tc>
          <w:tcPr>
            <w:tcW w:type="dxa" w:w="1500"/>
          </w:tcPr>
          <w:p>
            <w:r>
              <w:t>1.0000</w:t>
            </w:r>
          </w:p>
        </w:tc>
        <w:tc>
          <w:tcPr>
            <w:tcW w:type="dxa" w:w="1500"/>
          </w:tcPr>
          <w:p>
            <w:r>
              <w:t>1.0000</w:t>
            </w:r>
          </w:p>
        </w:tc>
        <w:tc>
          <w:tcPr>
            <w:tcW w:type="dxa" w:w="1500"/>
          </w:tcPr>
          <w:p>
            <w:r>
              <w:t>0.9429</w:t>
            </w:r>
          </w:p>
        </w:tc>
        <w:tc>
          <w:tcPr>
            <w:tcW w:type="dxa" w:w="1500"/>
          </w:tcPr>
          <w:p>
            <w:r>
              <w:t>3.0852</w:t>
            </w:r>
          </w:p>
        </w:tc>
      </w:tr>
      <w:tr>
        <w:tc>
          <w:tcPr>
            <w:tcW w:type="dxa" w:w="1500"/>
          </w:tcPr>
          <w:p>
            <w:r>
              <w:t>PC</w:t>
            </w:r>
          </w:p>
        </w:tc>
        <w:tc>
          <w:tcPr>
            <w:tcW w:type="dxa" w:w="1500"/>
          </w:tcPr>
          <w:p>
            <w:r>
              <w:t>0.2254</w:t>
            </w:r>
          </w:p>
        </w:tc>
        <w:tc>
          <w:tcPr>
            <w:tcW w:type="dxa" w:w="1500"/>
          </w:tcPr>
          <w:p>
            <w:r>
              <w:t>1.0000</w:t>
            </w:r>
          </w:p>
        </w:tc>
        <w:tc>
          <w:tcPr>
            <w:tcW w:type="dxa" w:w="1500"/>
          </w:tcPr>
          <w:p>
            <w:r>
              <w:t>1.0000</w:t>
            </w:r>
          </w:p>
        </w:tc>
        <w:tc>
          <w:tcPr>
            <w:tcW w:type="dxa" w:w="1500"/>
          </w:tcPr>
          <w:p>
            <w:r>
              <w:t>0.8737</w:t>
            </w:r>
          </w:p>
        </w:tc>
        <w:tc>
          <w:tcPr>
            <w:tcW w:type="dxa" w:w="1500"/>
          </w:tcPr>
          <w:p>
            <w:r>
              <w:t>4.6689</w:t>
            </w:r>
          </w:p>
        </w:tc>
      </w:tr>
      <w:tr>
        <w:tc>
          <w:tcPr>
            <w:tcW w:type="dxa" w:w="1500"/>
          </w:tcPr>
          <w:p>
            <w:r>
              <w:t>CD</w:t>
            </w:r>
          </w:p>
        </w:tc>
        <w:tc>
          <w:tcPr>
            <w:tcW w:type="dxa" w:w="1500"/>
          </w:tcPr>
          <w:p>
            <w:r>
              <w:t>0.1871</w:t>
            </w:r>
          </w:p>
        </w:tc>
        <w:tc>
          <w:tcPr>
            <w:tcW w:type="dxa" w:w="1500"/>
          </w:tcPr>
          <w:p>
            <w:r>
              <w:t>1.0605</w:t>
            </w:r>
          </w:p>
        </w:tc>
        <w:tc>
          <w:tcPr>
            <w:tcW w:type="dxa" w:w="1500"/>
          </w:tcPr>
          <w:p>
            <w:r>
              <w:t>1.1445</w:t>
            </w:r>
          </w:p>
        </w:tc>
        <w:tc>
          <w:tcPr>
            <w:tcW w:type="dxa" w:w="1500"/>
          </w:tcPr>
          <w:p>
            <w:r>
              <w:t>1.0000</w:t>
            </w:r>
          </w:p>
        </w:tc>
        <w:tc>
          <w:tcPr>
            <w:tcW w:type="dxa" w:w="1500"/>
          </w:tcPr>
          <w:p>
            <w:r>
              <w:t>4.5530</w:t>
            </w:r>
          </w:p>
        </w:tc>
      </w:tr>
      <w:tr>
        <w:tc>
          <w:tcPr>
            <w:tcW w:type="dxa" w:w="1500"/>
          </w:tcPr>
          <w:p>
            <w:r>
              <w:t>T</w:t>
            </w:r>
          </w:p>
        </w:tc>
        <w:tc>
          <w:tcPr>
            <w:tcW w:type="dxa" w:w="1500"/>
          </w:tcPr>
          <w:p>
            <w:r>
              <w:t>0.2498</w:t>
            </w:r>
          </w:p>
        </w:tc>
        <w:tc>
          <w:tcPr>
            <w:tcW w:type="dxa" w:w="1500"/>
          </w:tcPr>
          <w:p>
            <w:r>
              <w:t>0.3241</w:t>
            </w:r>
          </w:p>
        </w:tc>
        <w:tc>
          <w:tcPr>
            <w:tcW w:type="dxa" w:w="1500"/>
          </w:tcPr>
          <w:p>
            <w:r>
              <w:t>0.2142</w:t>
            </w:r>
          </w:p>
        </w:tc>
        <w:tc>
          <w:tcPr>
            <w:tcW w:type="dxa" w:w="1500"/>
          </w:tcPr>
          <w:p>
            <w:r>
              <w:t>0.2196</w:t>
            </w:r>
          </w:p>
        </w:tc>
        <w:tc>
          <w:tcPr>
            <w:tcW w:type="dxa" w:w="1500"/>
          </w:tcPr>
          <w:p>
            <w:r>
              <w:t>1.0000</w:t>
            </w:r>
          </w:p>
        </w:tc>
      </w:tr>
    </w:tbl>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ten SUS items, three Perceived Usefulness items, three Perceived Ease of Use items and one Behavioural Intention item. The construct mapping was PU = questions 11-13, PEOU = questions 14-16 and BI = question 17. Report aggregate results only: SUS mean 89.50 and sample SD 3.07; PU 4.43; PEOU 4.53; BI 4.60 (n = 10). Exclude respondent identifiers and timestamps.</w:t>
      </w:r>
    </w:p>
    <w:p w14:paraId="01CB9808" w14:textId="77777777" w:rsidR="00C50885" w:rsidRDefault="00000000">
      <w:r>
        <w:br w:type="page"/>
      </w:r>
    </w:p>
    <w:p w14:paraId="7A9416BC" w14:textId="77777777" w:rsidR="00C50885" w:rsidRDefault="00000000">
      <w:pPr>
        <w:pStyle w:val="Heading1"/>
      </w:pPr>
      <w:bookmarkStart w:id="74" w:name="_Toc241869565"/>
      <w:r>
        <w:rPr>
          <w:rFonts w:ascii="Times New Roman" w:hAnsi="Times New Roman"/>
          <w:b w:val="0"/>
        </w:rPr>
        <w:lastRenderedPageBreak/>
        <w:t>Appendix D: Functional test scenarios and evidence</w:t>
      </w:r>
      <w:bookmarkEnd w:id="74"/>
    </w:p>
    <w:p w14:paraId="1E393478" w14:textId="77777777" w:rsidR="00C50885" w:rsidRDefault="00000000">
      <w:pPr>
        <w:ind w:firstLine="360"/>
        <w:jc w:val="both"/>
      </w:pPr>
      <w: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14:paraId="139EA80D" w14:textId="77777777" w:rsidR="00C50885" w:rsidRDefault="00000000">
      <w:pPr>
        <w:ind w:firstLine="360"/>
        <w:jc w:val="both"/>
      </w:pPr>
      <w: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14:paraId="48A1C700" w14:textId="77777777" w:rsidR="00C50885" w:rsidRDefault="00000000">
      <w:pPr>
        <w:ind w:firstLine="360"/>
        <w:jc w:val="both"/>
      </w:pPr>
      <w:r>
        <w:t>Listing D.1: Formula score and validated final-score calculation</w:t>
      </w:r>
    </w:p>
    <w:p w14:paraId="015C2165" w14:textId="77777777" w:rsidR="00C50885" w:rsidRDefault="00000000">
      <w:pPr>
        <w:jc w:val="both"/>
      </w:pPr>
      <w: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14:paraId="4679E3BA" w14:textId="77777777" w:rsidR="00C50885" w:rsidRDefault="00000000">
      <w:pPr>
        <w:ind w:firstLine="360"/>
        <w:jc w:val="both"/>
      </w:pPr>
      <w:r>
        <w:t>Explanation: This listing supports the transparent score arithmetic reported in Sections 4.4 and 5.3. It must not be used to claim that the score predicts resignation or measured knowledge loss.</w:t>
      </w:r>
    </w:p>
    <w:p w14:paraId="4D222DB6" w14:textId="77777777" w:rsidR="00C50885" w:rsidRDefault="00000000">
      <w:pPr>
        <w:ind w:firstLine="360"/>
        <w:jc w:val="both"/>
      </w:pPr>
      <w:r>
        <w:t>Listing D.2: Knowledge-transfer sign-off and indicator update</w:t>
      </w:r>
    </w:p>
    <w:p w14:paraId="33408DF0" w14:textId="77777777" w:rsidR="00C50885" w:rsidRDefault="00000000">
      <w:pPr>
        <w:jc w:val="both"/>
      </w:pPr>
      <w: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14:paraId="4E91FC77" w14:textId="77777777" w:rsidR="00C50885" w:rsidRDefault="00000000">
      <w:pPr>
        <w:ind w:firstLine="360"/>
        <w:jc w:val="both"/>
      </w:pPr>
      <w:r>
        <w:lastRenderedPageBreak/>
        <w:t>Explanation: This listing supports the implemented workflow rule described in Sections 4.5 and 5.3. It demonstrates a system score update after recorded transfer evidence; it does not prove lasting knowledge retention.</w:t>
      </w:r>
    </w:p>
    <w:p w14:paraId="518F379F" w14:textId="77777777" w:rsidR="00C50885" w:rsidRDefault="00000000">
      <w:pPr>
        <w:ind w:firstLine="360"/>
        <w:jc w:val="both"/>
      </w:pPr>
      <w:r>
        <w:t>Listing D.3: AHP consistency check in the interface</w:t>
      </w:r>
    </w:p>
    <w:p w14:paraId="7E55B928" w14:textId="77777777" w:rsidR="00C50885" w:rsidRDefault="00000000">
      <w:pPr>
        <w:jc w:val="both"/>
      </w:pPr>
      <w:r>
        <w:t>[INSERT SOURCE-CODE EVIDENCE: Capture the AHP interface component that shows CR and controls Apply, together with the backend route or shared utility that receives a reciprocal matrix, recalculates CR, and rejects a matrix where CR is greater than or equal to 0.10. Include the actual source-file paths beneath the screenshots.]</w:t>
      </w:r>
    </w:p>
    <w:p w14:paraId="39AD3109" w14:textId="77777777" w:rsidR="00C50885" w:rsidRDefault="00000000">
      <w:pPr>
        <w:ind w:firstLine="360"/>
        <w:jc w:val="both"/>
      </w:pPr>
      <w:r>
        <w:t>Explanation: This listing supports the client and server consistency controls reported in Sections 4.4 and 5.5. The unit tests demonstrate the calculation utility; an organizational deployment would still require endpoint-level and operational testing.</w:t>
      </w:r>
    </w:p>
    <w:p w14:paraId="443F09B3" w14:textId="77777777" w:rsidR="00C50885" w:rsidRDefault="00000000">
      <w:pPr>
        <w:ind w:firstLine="360"/>
        <w:jc w:val="both"/>
      </w:pPr>
      <w:r>
        <w:t>Listing D.4: Knowledge-tag backup recommendation and risk safeguard</w:t>
      </w:r>
    </w:p>
    <w:p w14:paraId="4163F34A" w14:textId="77777777" w:rsidR="00C50885" w:rsidRDefault="00000000">
      <w:pPr>
        <w:jc w:val="both"/>
      </w:pPr>
      <w: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14:paraId="327940DD" w14:textId="77777777" w:rsidR="00C50885" w:rsidRDefault="00000000">
      <w:pPr>
        <w:ind w:firstLine="360"/>
        <w:jc w:val="both"/>
      </w:pPr>
      <w:r>
        <w:t>Explanation: This listing supports the backup-selection workflow described in Sections 4.3, 4.4 and 5.3. Tag overlap recommends candidates but is not a mandatory proof that the chosen backup is competent; manager validation remains required.</w:t>
      </w:r>
    </w:p>
    <w:p w14:paraId="70BA3619" w14:textId="77777777" w:rsidR="00C50885" w:rsidRDefault="00000000">
      <w:r>
        <w:br w:type="page"/>
      </w:r>
    </w:p>
    <w:p w14:paraId="32BA58CA" w14:textId="77777777" w:rsidR="00C50885" w:rsidRDefault="00000000">
      <w:pPr>
        <w:pStyle w:val="Heading1"/>
      </w:pPr>
      <w:bookmarkStart w:id="75" w:name="_Toc241869566"/>
      <w:r>
        <w:rPr>
          <w:rFonts w:ascii="Times New Roman" w:hAnsi="Times New Roman"/>
          <w:b w:val="0"/>
        </w:rPr>
        <w:lastRenderedPageBreak/>
        <w:t>Appendix E: System demonstration protocol and supplementary interface evidence</w:t>
      </w:r>
      <w:bookmarkEnd w:id="75"/>
    </w:p>
    <w:p w14:paraId="31ED1307" w14:textId="77777777" w:rsidR="00C50885" w:rsidRDefault="00000000">
      <w:pPr>
        <w:ind w:firstLine="360"/>
        <w:jc w:val="both"/>
      </w:pPr>
      <w: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14:paraId="6EFFBE9E" w14:textId="77777777" w:rsidR="00C50885" w:rsidRDefault="00000000">
      <w:pPr>
        <w:pStyle w:val="KGCaption"/>
      </w:pPr>
      <w:r>
        <w:t>Table E.1: Recommended live demonstration sequence</w:t>
      </w:r>
    </w:p>
    <w:tbl>
      <w:tblPr>
        <w:tblStyle w:val="TableGrid"/>
        <w:tblW w:w="0" w:type="auto"/>
        <w:jc w:val="center"/>
        <w:tblLook w:val="04A0" w:firstRow="1" w:lastRow="0" w:firstColumn="1" w:lastColumn="0" w:noHBand="0" w:noVBand="1"/>
      </w:tblPr>
      <w:tblGrid>
        <w:gridCol w:w="3000"/>
        <w:gridCol w:w="3000"/>
        <w:gridCol w:w="3000"/>
      </w:tblGrid>
      <w:tr w:rsidR="00C50885" w14:paraId="0C8E17E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Order</w:t>
            </w:r>
          </w:p>
        </w:tc>
        <w:tc>
          <w:tcPr>
            <w:tcW w:w="3000" w:type="dxa"/>
            <w:tcBorders>
              <w:top w:val="single" w:sz="4" w:space="0" w:color="000000"/>
              <w:left w:val="single" w:sz="4" w:space="0" w:color="000000"/>
              <w:bottom w:val="single" w:sz="4" w:space="0" w:color="000000"/>
              <w:right w:val="single" w:sz="4" w:space="0" w:color="000000"/>
            </w:tcBorders>
            <w:vAlign w:val="center"/>
          </w:tcPr>
          <w:p>
            <w:r>
              <w:t>Demonstration action</w:t>
            </w:r>
          </w:p>
        </w:tc>
        <w:tc>
          <w:tcPr>
            <w:tcW w:w="3000" w:type="dxa"/>
            <w:tcBorders>
              <w:top w:val="single" w:sz="4" w:space="0" w:color="000000"/>
              <w:left w:val="single" w:sz="4" w:space="0" w:color="000000"/>
              <w:bottom w:val="single" w:sz="4" w:space="0" w:color="000000"/>
              <w:right w:val="single" w:sz="4" w:space="0" w:color="000000"/>
            </w:tcBorders>
            <w:vAlign w:val="center"/>
          </w:tcPr>
          <w:p>
            <w:r>
              <w:t>Point to explain</w:t>
            </w:r>
          </w:p>
        </w:tc>
      </w:tr>
      <w:tr w:rsidR="00C50885" w14:paraId="12DF890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dashboard and select a synthetic High-risk employee.</w:t>
            </w:r>
          </w:p>
        </w:tc>
        <w:tc>
          <w:tcPr>
            <w:tcW w:w="3000" w:type="dxa"/>
            <w:tcBorders>
              <w:top w:val="single" w:sz="4" w:space="0" w:color="000000"/>
              <w:left w:val="single" w:sz="4" w:space="0" w:color="000000"/>
              <w:bottom w:val="single" w:sz="4" w:space="0" w:color="000000"/>
              <w:right w:val="single" w:sz="4" w:space="0" w:color="000000"/>
            </w:tcBorders>
            <w:vAlign w:val="center"/>
          </w:tcPr>
          <w:p>
            <w:r>
              <w:t>Risk tier prioritises review; it is not an employment decision.</w:t>
            </w:r>
          </w:p>
        </w:tc>
      </w:tr>
      <w:tr w:rsidR="00C50885" w14:paraId="5CF2123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preliminary assessment before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formula score and ML support are visible and explainable.</w:t>
            </w:r>
          </w:p>
        </w:tc>
      </w:tr>
      <w:tr w:rsidR="00C50885" w14:paraId="4F4CF4F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Submit or show manager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Manager review confirms or adjusts the assessment before KT planning.</w:t>
            </w:r>
          </w:p>
        </w:tc>
      </w:tr>
      <w:tr w:rsidR="00C50885" w14:paraId="39EE3E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Create a KT plan and select a backup.</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 tags guide candidates; High/Critical backups are blocked.</w:t>
            </w:r>
          </w:p>
        </w:tc>
      </w:tr>
      <w:tr w:rsidR="00C50885" w14:paraId="08F1831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active KT plan and its five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Completion is recorded as documentation, shadowing, interview, competence validation and sign-off.</w:t>
            </w:r>
          </w:p>
        </w:tc>
      </w:tr>
      <w:tr w:rsidR="00C50885" w14:paraId="54D0064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6</w:t>
            </w:r>
          </w:p>
        </w:tc>
        <w:tc>
          <w:tcPr>
            <w:tcW w:w="3000" w:type="dxa"/>
            <w:tcBorders>
              <w:top w:val="single" w:sz="4" w:space="0" w:color="000000"/>
              <w:left w:val="single" w:sz="4" w:space="0" w:color="000000"/>
              <w:bottom w:val="single" w:sz="4" w:space="0" w:color="000000"/>
              <w:right w:val="single" w:sz="4" w:space="0" w:color="000000"/>
            </w:tcBorders>
            <w:vAlign w:val="center"/>
          </w:tcPr>
          <w:p>
            <w:r>
              <w:t>Show score history and 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Later quarters are separate generated imports; the AHP group proposal was not applied to the baseline.</w:t>
            </w:r>
          </w:p>
        </w:tc>
      </w:tr>
    </w:tbl>
    <w:p w14:paraId="4B8D602E" w14:textId="77777777" w:rsidR="00C50885" w:rsidRDefault="00C50885">
      <w:pPr>
        <w:spacing w:after="60"/>
      </w:pPr>
    </w:p>
    <w:p w14:paraId="09AF99C2" w14:textId="77777777" w:rsidR="00C50885" w:rsidRDefault="00000000">
      <w:pPr>
        <w:jc w:val="both"/>
      </w:pPr>
      <w:r>
        <w:t>[INSERT APPENDIX SCREENSHOT E.1: Redacted CSV-import or assessment-mapping result. Show recognized question mapping to EU, DG, PC and CD.]</w:t>
      </w:r>
    </w:p>
    <w:p w14:paraId="30AA612C" w14:textId="77777777" w:rsidR="00C50885" w:rsidRDefault="00000000">
      <w:pPr>
        <w:jc w:val="both"/>
      </w:pPr>
      <w:r>
        <w:t>[INSERT APPENDIX SCREENSHOT E.2: Redacted dashboard or risk-summary view using generated demonstration records.]</w:t>
      </w:r>
    </w:p>
    <w:p w14:paraId="135EA995" w14:textId="77777777" w:rsidR="00C50885" w:rsidRDefault="00000000">
      <w:pPr>
        <w:jc w:val="both"/>
      </w:pPr>
      <w:r>
        <w:t>[INSERT APPENDIX SCREENSHOT E.3: Redacted backup competence-validation or final KT sign-off screen. Show only synthetic data.]</w:t>
      </w:r>
    </w:p>
    <w:p w14:paraId="319C6F61" w14:textId="77777777" w:rsidR="00C50885" w:rsidRDefault="00000000">
      <w:pPr>
        <w:jc w:val="both"/>
      </w:pPr>
      <w:r>
        <w:lastRenderedPageBreak/>
        <w:t>[INSERT APPENDIX SCREENSHOT E.4: Redacted post-sign-off risk-impact display. State that the display records limited configured mitigation, not measured lasting knowledge retention.]</w:t>
      </w:r>
    </w:p>
    <w:p w14:paraId="5969A332" w14:textId="77777777" w:rsidR="00C50885" w:rsidRDefault="00000000">
      <w:r>
        <w:br w:type="page"/>
      </w:r>
    </w:p>
    <w:p w14:paraId="44A68F87" w14:textId="77777777" w:rsidR="00C50885" w:rsidRDefault="00000000">
      <w:pPr>
        <w:pStyle w:val="Heading1"/>
      </w:pPr>
      <w:bookmarkStart w:id="76" w:name="_Toc241869567"/>
      <w:r>
        <w:rPr>
          <w:rFonts w:ascii="Times New Roman" w:hAnsi="Times New Roman"/>
          <w:b w:val="0"/>
        </w:rPr>
        <w:lastRenderedPageBreak/>
        <w:t>Appendix F: Participant information consent and data handling</w:t>
      </w:r>
      <w:bookmarkEnd w:id="76"/>
    </w:p>
    <w:p w14:paraId="44DD0A21" w14:textId="77777777" w:rsidR="00C50885" w:rsidRDefault="00000000">
      <w:pPr>
        <w:ind w:firstLine="360"/>
        <w:jc w:val="both"/>
      </w:pPr>
      <w: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14:paraId="6EDA76E4" w14:textId="77777777" w:rsidR="00C50885" w:rsidRDefault="00000000">
      <w:pPr>
        <w:ind w:firstLine="360"/>
        <w:jc w:val="both"/>
      </w:pPr>
      <w: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14:paraId="4E10000A" w14:textId="77777777" w:rsidR="00C50885" w:rsidRDefault="00000000">
      <w:r>
        <w:br w:type="page"/>
      </w:r>
    </w:p>
    <w:p w14:paraId="56DE592C" w14:textId="77777777" w:rsidR="00C50885" w:rsidRDefault="00000000">
      <w:pPr>
        <w:pStyle w:val="Heading1"/>
      </w:pPr>
      <w:bookmarkStart w:id="77" w:name="_Toc241869568"/>
      <w:r>
        <w:rPr>
          <w:rFonts w:ascii="Times New Roman" w:hAnsi="Times New Roman"/>
          <w:b w:val="0"/>
        </w:rPr>
        <w:lastRenderedPageBreak/>
        <w:t>Appendix G: Reproducibility and evidence manifest</w:t>
      </w:r>
      <w:bookmarkEnd w:id="77"/>
    </w:p>
    <w:p w14:paraId="2B0FC926" w14:textId="77777777" w:rsidR="00C50885" w:rsidRDefault="00000000">
      <w:pPr>
        <w:ind w:firstLine="360"/>
        <w:jc w:val="both"/>
      </w:pPr>
      <w:r>
        <w:t>This appendix identifies the submission materials that support the thesis claims. It is an evidence index, not an invitation to disclose secrets. Remove environment files, connection strings, tokens, passwords and personal data from any submitted archive.</w:t>
      </w:r>
    </w:p>
    <w:p w14:paraId="17A47A51" w14:textId="77777777" w:rsidR="00C50885" w:rsidRDefault="00000000">
      <w:pPr>
        <w:pStyle w:val="KGCaption"/>
      </w:pPr>
      <w:r>
        <w:t>Table G.1: Submission evidence manifest</w:t>
      </w:r>
    </w:p>
    <w:tbl>
      <w:tblPr>
        <w:tblStyle w:val="TableGrid"/>
        <w:tblW w:w="0" w:type="auto"/>
        <w:jc w:val="center"/>
        <w:tblLook w:val="04A0" w:firstRow="1" w:lastRow="0" w:firstColumn="1" w:lastColumn="0" w:noHBand="0" w:noVBand="1"/>
      </w:tblPr>
      <w:tblGrid>
        <w:gridCol w:w="3000"/>
        <w:gridCol w:w="3000"/>
        <w:gridCol w:w="3000"/>
      </w:tblGrid>
      <w:tr w:rsidR="00C50885" w14:paraId="4BC6147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item</w:t>
            </w:r>
          </w:p>
        </w:tc>
        <w:tc>
          <w:tcPr>
            <w:tcW w:w="3000" w:type="dxa"/>
            <w:tcBorders>
              <w:top w:val="single" w:sz="4" w:space="0" w:color="000000"/>
              <w:left w:val="single" w:sz="4" w:space="0" w:color="000000"/>
              <w:bottom w:val="single" w:sz="4" w:space="0" w:color="000000"/>
              <w:right w:val="single" w:sz="4" w:space="0" w:color="000000"/>
            </w:tcBorders>
            <w:vAlign w:val="center"/>
          </w:tcPr>
          <w:p>
            <w:r>
              <w:t>Location in project record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in thesis or viva</w:t>
            </w:r>
          </w:p>
        </w:tc>
      </w:tr>
      <w:tr w:rsidR="00C50885" w14:paraId="121AC4A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Q1 de-identified assessment CSV</w:t>
            </w:r>
          </w:p>
        </w:tc>
        <w:tc>
          <w:tcPr>
            <w:tcW w:w="3000" w:type="dxa"/>
            <w:tcBorders>
              <w:top w:val="single" w:sz="4" w:space="0" w:color="000000"/>
              <w:left w:val="single" w:sz="4" w:space="0" w:color="000000"/>
              <w:bottom w:val="single" w:sz="4" w:space="0" w:color="000000"/>
              <w:right w:val="single" w:sz="4" w:space="0" w:color="000000"/>
            </w:tcBorders>
            <w:vAlign w:val="center"/>
          </w:tcPr>
          <w:p>
            <w:r>
              <w:t>Google Forms export after identifier removal</w:t>
            </w:r>
          </w:p>
        </w:tc>
        <w:tc>
          <w:tcPr>
            <w:tcW w:w="3000" w:type="dxa"/>
            <w:tcBorders>
              <w:top w:val="single" w:sz="4" w:space="0" w:color="000000"/>
              <w:left w:val="single" w:sz="4" w:space="0" w:color="000000"/>
              <w:bottom w:val="single" w:sz="4" w:space="0" w:color="000000"/>
              <w:right w:val="single" w:sz="4" w:space="0" w:color="000000"/>
            </w:tcBorders>
            <w:vAlign w:val="center"/>
          </w:tcPr>
          <w:p>
            <w:r>
              <w:t>Real standalone response mapping and descriptive prototype input.</w:t>
            </w:r>
          </w:p>
        </w:tc>
      </w:tr>
      <w:tr w:rsidR="00C50885" w14:paraId="6EBE6A9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Generated Q1-Q4 test data</w:t>
            </w:r>
          </w:p>
        </w:tc>
        <w:tc>
          <w:tcPr>
            <w:tcW w:w="3000" w:type="dxa"/>
            <w:tcBorders>
              <w:top w:val="single" w:sz="4" w:space="0" w:color="000000"/>
              <w:left w:val="single" w:sz="4" w:space="0" w:color="000000"/>
              <w:bottom w:val="single" w:sz="4" w:space="0" w:color="000000"/>
              <w:right w:val="single" w:sz="4" w:space="0" w:color="000000"/>
            </w:tcBorders>
            <w:vAlign w:val="center"/>
          </w:tcPr>
          <w:p>
            <w:r>
              <w:t>test_data directory or recorded import files</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workflow and score-history demonstration only.</w:t>
            </w:r>
          </w:p>
        </w:tc>
      </w:tr>
      <w:tr w:rsidR="00C50885" w14:paraId="09E1FDC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response conversion and group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Corrected importer, ten-response export, Table B.2 and Figure 5.5</w:t>
            </w:r>
          </w:p>
        </w:tc>
        <w:tc>
          <w:tcPr>
            <w:tcW w:w="3000" w:type="dxa"/>
            <w:tcBorders>
              <w:top w:val="single" w:sz="4" w:space="0" w:color="000000"/>
              <w:left w:val="single" w:sz="4" w:space="0" w:color="000000"/>
              <w:bottom w:val="single" w:sz="4" w:space="0" w:color="000000"/>
              <w:right w:val="single" w:sz="4" w:space="0" w:color="000000"/>
            </w:tcBorders>
            <w:vAlign w:val="center"/>
          </w:tcPr>
          <w:p>
            <w:r>
              <w:t>Exploratory CR and proposed weights; baseline remains the evaluated configuration.</w:t>
            </w:r>
          </w:p>
        </w:tc>
      </w:tr>
      <w:tr w:rsidR="00C50885" w14:paraId="7080CFF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 CSV</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KnowledgeGuard System Evaluation response export</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aggregate calculations.</w:t>
            </w:r>
          </w:p>
        </w:tc>
      </w:tr>
      <w:tr w:rsidR="00C50885" w14:paraId="2F45CE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ml-service/metrics.json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training configuration, metrics and saved model record.</w:t>
            </w:r>
          </w:p>
        </w:tc>
      </w:tr>
      <w:tr w:rsidR="00C50885" w14:paraId="0071AD6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Source-code and screenshot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Appendices D and E</w:t>
            </w:r>
          </w:p>
        </w:tc>
        <w:tc>
          <w:tcPr>
            <w:tcW w:w="3000" w:type="dxa"/>
            <w:tcBorders>
              <w:top w:val="single" w:sz="4" w:space="0" w:color="000000"/>
              <w:left w:val="single" w:sz="4" w:space="0" w:color="000000"/>
              <w:bottom w:val="single" w:sz="4" w:space="0" w:color="000000"/>
              <w:right w:val="single" w:sz="4" w:space="0" w:color="000000"/>
            </w:tcBorders>
            <w:vAlign w:val="center"/>
          </w:tcPr>
          <w:p>
            <w:r>
              <w:t>Traceability for formula, safeguards, workflow and demonstration.</w:t>
            </w:r>
          </w:p>
        </w:tc>
      </w:tr>
    </w:tbl>
    <w:p w14:paraId="241670C9" w14:textId="77777777" w:rsidR="00C50885" w:rsidRDefault="00C50885">
      <w:pPr>
        <w:spacing w:after="60"/>
      </w:pP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