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32"/>
        </w:rPr>
        <w:t>DEVELOPMENT OF A PROACTIVE DECISION SUPPORT SYSTEM FOR</w:t>
      </w:r>
    </w:p>
    <w:p>
      <w:pPr>
        <w:jc w:val="center"/>
      </w:pPr>
      <w:r>
        <w:rPr>
          <w:rFonts w:ascii="Times New Roman" w:hAnsi="Times New Roman"/>
          <w:b/>
          <w:sz w:val="32"/>
        </w:rPr>
        <w:t>KNOWLEDGE LOSS RISK ASSESSMENT AND KNOWLEDGE TRANSFER DURING ORGANIZATIONAL TRANSITIONS</w:t>
      </w:r>
    </w:p>
    <w:p/>
    <w:p/>
    <w:p/>
    <w:p/>
    <w:p/>
    <w:p/>
    <w:p>
      <w:pPr>
        <w:jc w:val="center"/>
      </w:pPr>
      <w:r>
        <w:rPr>
          <w:rFonts w:ascii="Times New Roman" w:hAnsi="Times New Roman"/>
          <w:sz w:val="28"/>
        </w:rPr>
        <w:t>Shanuka S. Jayakodi</w:t>
      </w:r>
    </w:p>
    <w:p>
      <w:pPr>
        <w:jc w:val="center"/>
      </w:pPr>
      <w:r>
        <w:rPr>
          <w:rFonts w:ascii="Times New Roman" w:hAnsi="Times New Roman"/>
          <w:sz w:val="28"/>
        </w:rPr>
        <w:t>Bachelor of Science Honours in Management Information Systems</w:t>
      </w:r>
    </w:p>
    <w:p>
      <w:pPr>
        <w:jc w:val="center"/>
      </w:pPr>
      <w:r>
        <w:rPr>
          <w:rFonts w:ascii="Times New Roman" w:hAnsi="Times New Roman"/>
          <w:sz w:val="28"/>
        </w:rPr>
        <w:t>Department of Information Systems</w:t>
      </w:r>
    </w:p>
    <w:p>
      <w:pPr>
        <w:jc w:val="center"/>
      </w:pPr>
      <w:r>
        <w:rPr>
          <w:rFonts w:ascii="Times New Roman" w:hAnsi="Times New Roman"/>
          <w:sz w:val="28"/>
        </w:rPr>
        <w:t>Faculty of Computing</w:t>
      </w:r>
    </w:p>
    <w:p>
      <w:pPr>
        <w:jc w:val="center"/>
      </w:pPr>
      <w:r>
        <w:rPr>
          <w:rFonts w:ascii="Times New Roman" w:hAnsi="Times New Roman"/>
          <w:sz w:val="28"/>
        </w:rPr>
        <w:t>NSBM Green University</w:t>
      </w:r>
    </w:p>
    <w:p>
      <w:pPr>
        <w:jc w:val="center"/>
      </w:pPr>
      <w:r>
        <w:rPr>
          <w:rFonts w:ascii="Times New Roman" w:hAnsi="Times New Roman"/>
          <w:sz w:val="28"/>
        </w:rPr>
        <w:t>Sri Lanka</w:t>
      </w:r>
    </w:p>
    <w:p>
      <w:pPr>
        <w:jc w:val="center"/>
      </w:pPr>
      <w:r>
        <w:rPr>
          <w:rFonts w:ascii="Times New Roman" w:hAnsi="Times New Roman"/>
          <w:sz w:val="28"/>
        </w:rPr>
        <w:t>October 2026</w:t>
      </w:r>
    </w:p>
    <w:p>
      <w:r>
        <w:br w:type="page"/>
      </w:r>
    </w:p>
    <w:p>
      <w:pPr>
        <w:pStyle w:val="Heading1"/>
        <w:spacing w:line="360" w:lineRule="auto"/>
        <w:ind w:firstLine="0"/>
        <w:jc w:val="center"/>
      </w:pPr>
      <w:r>
        <w:rPr>
          <w:rFonts w:ascii="Times New Roman" w:hAnsi="Times New Roman"/>
          <w:b w:val="0"/>
          <w:sz w:val="24"/>
        </w:rPr>
        <w:t>DECLARATION</w:t>
      </w:r>
    </w:p>
    <w:p>
      <w:pPr>
        <w:spacing w:line="360" w:lineRule="auto"/>
        <w:ind w:firstLine="360"/>
        <w:jc w:val="both"/>
      </w:pPr>
      <w:r>
        <w:rPr>
          <w:rFonts w:ascii="Times New Roman" w:hAnsi="Times New Roman"/>
          <w:b w:val="0"/>
          <w:sz w:val="24"/>
        </w:rP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pPr>
        <w:spacing w:line="360" w:lineRule="auto"/>
        <w:ind w:firstLine="360"/>
        <w:jc w:val="left"/>
      </w:pPr>
      <w:r>
        <w:rPr>
          <w:rFonts w:ascii="Times New Roman" w:hAnsi="Times New Roman"/>
          <w:b w:val="0"/>
          <w:sz w:val="24"/>
        </w:rPr>
        <w:t>Signature: ____________________     Name: Shanuka S. Jayakodi     Date: ____________________</w:t>
      </w:r>
    </w:p>
    <w:p>
      <w:pPr>
        <w:spacing w:line="360" w:lineRule="auto"/>
        <w:ind w:firstLine="360"/>
        <w:jc w:val="left"/>
      </w:pPr>
      <w:r>
        <w:rPr>
          <w:rFonts w:ascii="Times New Roman" w:hAnsi="Times New Roman"/>
          <w:b w:val="0"/>
          <w:sz w:val="24"/>
        </w:rPr>
        <w:t>Supervisor signature: ____________________     Name: ____________________     Date: ____________________</w:t>
      </w:r>
    </w:p>
    <w:p>
      <w:r>
        <w:br w:type="page"/>
      </w:r>
    </w:p>
    <w:p>
      <w:pPr>
        <w:pStyle w:val="Heading1"/>
        <w:spacing w:line="360" w:lineRule="auto"/>
        <w:ind w:firstLine="0"/>
        <w:jc w:val="center"/>
      </w:pPr>
      <w:r>
        <w:rPr>
          <w:rFonts w:ascii="Times New Roman" w:hAnsi="Times New Roman"/>
          <w:b w:val="0"/>
          <w:sz w:val="24"/>
        </w:rPr>
        <w:t>ACKNOWLEDGEMENT</w:t>
      </w:r>
    </w:p>
    <w:p>
      <w:pPr>
        <w:spacing w:line="360" w:lineRule="auto"/>
        <w:ind w:firstLine="360"/>
        <w:jc w:val="both"/>
      </w:pPr>
      <w:r>
        <w:rPr>
          <w:rFonts w:ascii="Times New Roman" w:hAnsi="Times New Roman"/>
          <w:b w:val="0"/>
          <w:sz w:val="24"/>
        </w:rPr>
        <w:t>I sincerely thank my supervisor, the academic staff of the Faculty of Computing, and all participants who contributed expert comparisons and system-evaluation feedback. I am also grateful to my family and colleagues for their encouragement throughout this research.</w:t>
      </w:r>
    </w:p>
    <w:p>
      <w:r>
        <w:br w:type="page"/>
      </w:r>
    </w:p>
    <w:p>
      <w:pPr>
        <w:pStyle w:val="Heading1"/>
        <w:spacing w:line="360" w:lineRule="auto"/>
        <w:ind w:firstLine="0"/>
        <w:jc w:val="center"/>
      </w:pPr>
      <w:r>
        <w:rPr>
          <w:rFonts w:ascii="Times New Roman" w:hAnsi="Times New Roman"/>
          <w:b w:val="0"/>
          <w:sz w:val="24"/>
        </w:rPr>
        <w:t>TABLE OF CONTENTS</w:t>
      </w:r>
    </w:p>
    <w:p>
      <w:pPr>
        <w:spacing w:line="360" w:lineRule="auto"/>
        <w:ind w:firstLine="360"/>
        <w:jc w:val="left"/>
      </w:pPr>
      <w:r>
        <w:rPr>
          <w:rFonts w:ascii="Times New Roman" w:hAnsi="Times New Roman"/>
          <w:b w:val="0"/>
          <w:sz w:val="24"/>
        </w:rPr>
        <w:t>Update this table in Microsoft Word after the final figures and Chapters 5 and 6 have been added. Use References &gt; Table of Contents to insert page numbers.</w:t>
      </w:r>
    </w:p>
    <w:p>
      <w:pPr>
        <w:spacing w:line="360" w:lineRule="auto"/>
        <w:ind w:firstLine="360"/>
        <w:jc w:val="left"/>
      </w:pPr>
      <w:r>
        <w:rPr>
          <w:rFonts w:ascii="Times New Roman" w:hAnsi="Times New Roman"/>
          <w:b w:val="0"/>
          <w:sz w:val="24"/>
        </w:rPr>
        <w:t>1 Introduction</w:t>
      </w:r>
    </w:p>
    <w:p>
      <w:pPr>
        <w:spacing w:line="360" w:lineRule="auto"/>
        <w:ind w:firstLine="360"/>
        <w:jc w:val="left"/>
      </w:pPr>
      <w:r>
        <w:rPr>
          <w:rFonts w:ascii="Times New Roman" w:hAnsi="Times New Roman"/>
          <w:b w:val="0"/>
          <w:sz w:val="24"/>
        </w:rPr>
        <w:t>2 Objectives</w:t>
      </w:r>
    </w:p>
    <w:p>
      <w:pPr>
        <w:spacing w:line="360" w:lineRule="auto"/>
        <w:ind w:firstLine="360"/>
        <w:jc w:val="left"/>
      </w:pPr>
      <w:r>
        <w:rPr>
          <w:rFonts w:ascii="Times New Roman" w:hAnsi="Times New Roman"/>
          <w:b w:val="0"/>
          <w:sz w:val="24"/>
        </w:rPr>
        <w:t>3 Literature Review</w:t>
      </w:r>
    </w:p>
    <w:p>
      <w:pPr>
        <w:spacing w:line="360" w:lineRule="auto"/>
        <w:ind w:firstLine="360"/>
        <w:jc w:val="left"/>
      </w:pPr>
      <w:r>
        <w:rPr>
          <w:rFonts w:ascii="Times New Roman" w:hAnsi="Times New Roman"/>
          <w:b w:val="0"/>
          <w:sz w:val="24"/>
        </w:rPr>
        <w:t>4 Methodology</w:t>
      </w:r>
    </w:p>
    <w:p>
      <w:pPr>
        <w:spacing w:line="360" w:lineRule="auto"/>
        <w:ind w:firstLine="360"/>
        <w:jc w:val="left"/>
      </w:pPr>
      <w:r>
        <w:rPr>
          <w:rFonts w:ascii="Times New Roman" w:hAnsi="Times New Roman"/>
          <w:b w:val="0"/>
          <w:sz w:val="24"/>
        </w:rPr>
        <w:t>5 Results</w:t>
      </w:r>
    </w:p>
    <w:p>
      <w:pPr>
        <w:spacing w:line="360" w:lineRule="auto"/>
        <w:ind w:firstLine="360"/>
        <w:jc w:val="left"/>
      </w:pPr>
      <w:r>
        <w:rPr>
          <w:rFonts w:ascii="Times New Roman" w:hAnsi="Times New Roman"/>
          <w:b w:val="0"/>
          <w:sz w:val="24"/>
        </w:rPr>
        <w:t>6 Discussion and Conclusions</w:t>
      </w:r>
    </w:p>
    <w:p>
      <w:pPr>
        <w:spacing w:line="360" w:lineRule="auto"/>
        <w:ind w:firstLine="360"/>
        <w:jc w:val="left"/>
      </w:pPr>
      <w:r>
        <w:rPr>
          <w:rFonts w:ascii="Times New Roman" w:hAnsi="Times New Roman"/>
          <w:b w:val="0"/>
          <w:sz w:val="24"/>
        </w:rPr>
        <w:t>References</w:t>
      </w:r>
    </w:p>
    <w:p>
      <w:pPr>
        <w:spacing w:line="360" w:lineRule="auto"/>
        <w:ind w:firstLine="360"/>
        <w:jc w:val="left"/>
      </w:pPr>
      <w:r>
        <w:rPr>
          <w:rFonts w:ascii="Times New Roman" w:hAnsi="Times New Roman"/>
          <w:b w:val="0"/>
          <w:sz w:val="24"/>
        </w:rPr>
        <w:t>Appendices</w:t>
      </w:r>
    </w:p>
    <w:p>
      <w:r>
        <w:br w:type="page"/>
      </w:r>
    </w:p>
    <w:p>
      <w:pPr>
        <w:pStyle w:val="Heading1"/>
        <w:spacing w:line="360" w:lineRule="auto"/>
        <w:ind w:firstLine="0"/>
        <w:jc w:val="center"/>
      </w:pPr>
      <w:r>
        <w:rPr>
          <w:rFonts w:ascii="Times New Roman" w:hAnsi="Times New Roman"/>
          <w:b w:val="0"/>
          <w:sz w:val="24"/>
        </w:rPr>
        <w:t>LIST OF FIGURES</w:t>
      </w:r>
    </w:p>
    <w:p>
      <w:pPr>
        <w:spacing w:line="360" w:lineRule="auto"/>
        <w:ind w:firstLine="360"/>
        <w:jc w:val="left"/>
      </w:pPr>
      <w:r>
        <w:rPr>
          <w:rFonts w:ascii="Times New Roman" w:hAnsi="Times New Roman"/>
          <w:b w:val="0"/>
          <w:sz w:val="24"/>
        </w:rPr>
        <w:t>Figure 1.1: Overview of the proposed KnowledgeGuard workflow</w:t>
      </w:r>
    </w:p>
    <w:p>
      <w:pPr>
        <w:spacing w:line="360" w:lineRule="auto"/>
        <w:ind w:firstLine="360"/>
        <w:jc w:val="left"/>
      </w:pPr>
      <w:r>
        <w:rPr>
          <w:rFonts w:ascii="Times New Roman" w:hAnsi="Times New Roman"/>
          <w:b w:val="0"/>
          <w:sz w:val="24"/>
        </w:rPr>
        <w:t>Figure 4.1: KnowledgeGuard architecture and principal data flows</w:t>
      </w:r>
    </w:p>
    <w:p>
      <w:pPr>
        <w:spacing w:line="360" w:lineRule="auto"/>
        <w:ind w:firstLine="360"/>
        <w:jc w:val="left"/>
      </w:pPr>
      <w:r>
        <w:rPr>
          <w:rFonts w:ascii="Times New Roman" w:hAnsi="Times New Roman"/>
          <w:b w:val="0"/>
          <w:sz w:val="24"/>
        </w:rPr>
        <w:t>Figure 4.2: Conceptual relationships among the principal KnowledgeGuard records</w:t>
      </w:r>
    </w:p>
    <w:p>
      <w:pPr>
        <w:spacing w:line="360" w:lineRule="auto"/>
        <w:ind w:firstLine="360"/>
        <w:jc w:val="left"/>
      </w:pPr>
      <w:r>
        <w:rPr>
          <w:rFonts w:ascii="Times New Roman" w:hAnsi="Times New Roman"/>
          <w:b w:val="0"/>
          <w:sz w:val="24"/>
        </w:rPr>
        <w:t>Figure 4.3: Use-case diagram for role-based KnowledgeGuard interactions</w:t>
      </w:r>
    </w:p>
    <w:p>
      <w:pPr>
        <w:spacing w:line="360" w:lineRule="auto"/>
        <w:ind w:firstLine="360"/>
        <w:jc w:val="left"/>
      </w:pPr>
      <w:r>
        <w:rPr>
          <w:rFonts w:ascii="Times New Roman" w:hAnsi="Times New Roman"/>
          <w:b w:val="0"/>
          <w:sz w:val="24"/>
        </w:rPr>
        <w:t>Figure 4.4: Activity diagram for assessment, validation and knowledge transfer</w:t>
      </w:r>
    </w:p>
    <w:p>
      <w:pPr>
        <w:spacing w:line="360" w:lineRule="auto"/>
        <w:ind w:firstLine="360"/>
        <w:jc w:val="left"/>
      </w:pPr>
      <w:r>
        <w:rPr>
          <w:rFonts w:ascii="Times New Roman" w:hAnsi="Times New Roman"/>
          <w:b w:val="0"/>
          <w:sz w:val="24"/>
        </w:rPr>
        <w:t>Figure 4.5: Assessment, knowledge-transfer and reassessment workflow</w:t>
      </w:r>
    </w:p>
    <w:p>
      <w:r>
        <w:br w:type="page"/>
      </w:r>
    </w:p>
    <w:p>
      <w:pPr>
        <w:pStyle w:val="Heading1"/>
        <w:spacing w:line="360" w:lineRule="auto"/>
        <w:ind w:firstLine="0"/>
        <w:jc w:val="center"/>
      </w:pPr>
      <w:r>
        <w:rPr>
          <w:rFonts w:ascii="Times New Roman" w:hAnsi="Times New Roman"/>
          <w:b w:val="0"/>
          <w:sz w:val="24"/>
        </w:rPr>
        <w:t>LIST OF TABLES</w:t>
      </w:r>
    </w:p>
    <w:p>
      <w:pPr>
        <w:spacing w:line="360" w:lineRule="auto"/>
        <w:ind w:firstLine="360"/>
        <w:jc w:val="left"/>
      </w:pPr>
      <w:r>
        <w:rPr>
          <w:rFonts w:ascii="Times New Roman" w:hAnsi="Times New Roman"/>
          <w:b w:val="0"/>
          <w:sz w:val="24"/>
        </w:rPr>
        <w:t>Table 1.1</w:t>
      </w:r>
    </w:p>
    <w:p>
      <w:pPr>
        <w:spacing w:line="360" w:lineRule="auto"/>
        <w:ind w:firstLine="360"/>
        <w:jc w:val="left"/>
      </w:pPr>
      <w:r>
        <w:rPr>
          <w:rFonts w:ascii="Times New Roman" w:hAnsi="Times New Roman"/>
          <w:b w:val="0"/>
          <w:sz w:val="24"/>
        </w:rPr>
        <w:t>Table 2.1</w:t>
      </w:r>
    </w:p>
    <w:p>
      <w:pPr>
        <w:spacing w:line="360" w:lineRule="auto"/>
        <w:ind w:firstLine="360"/>
        <w:jc w:val="left"/>
      </w:pPr>
      <w:r>
        <w:rPr>
          <w:rFonts w:ascii="Times New Roman" w:hAnsi="Times New Roman"/>
          <w:b w:val="0"/>
          <w:sz w:val="24"/>
        </w:rPr>
        <w:t>Table 3.1</w:t>
      </w:r>
    </w:p>
    <w:p>
      <w:pPr>
        <w:spacing w:line="360" w:lineRule="auto"/>
        <w:ind w:firstLine="360"/>
        <w:jc w:val="left"/>
      </w:pPr>
      <w:r>
        <w:rPr>
          <w:rFonts w:ascii="Times New Roman" w:hAnsi="Times New Roman"/>
          <w:b w:val="0"/>
          <w:sz w:val="24"/>
        </w:rPr>
        <w:t>Table 3.2</w:t>
      </w:r>
    </w:p>
    <w:p>
      <w:pPr>
        <w:spacing w:line="360" w:lineRule="auto"/>
        <w:ind w:firstLine="360"/>
        <w:jc w:val="left"/>
      </w:pPr>
      <w:r>
        <w:rPr>
          <w:rFonts w:ascii="Times New Roman" w:hAnsi="Times New Roman"/>
          <w:b w:val="0"/>
          <w:sz w:val="24"/>
        </w:rPr>
        <w:t>Table 4.1</w:t>
      </w:r>
    </w:p>
    <w:p>
      <w:pPr>
        <w:spacing w:line="360" w:lineRule="auto"/>
        <w:ind w:firstLine="360"/>
        <w:jc w:val="left"/>
      </w:pPr>
      <w:r>
        <w:rPr>
          <w:rFonts w:ascii="Times New Roman" w:hAnsi="Times New Roman"/>
          <w:b w:val="0"/>
          <w:sz w:val="24"/>
        </w:rPr>
        <w:t>Table 4.2</w:t>
      </w:r>
    </w:p>
    <w:p>
      <w:pPr>
        <w:spacing w:line="360" w:lineRule="auto"/>
        <w:ind w:firstLine="360"/>
        <w:jc w:val="left"/>
      </w:pPr>
      <w:r>
        <w:rPr>
          <w:rFonts w:ascii="Times New Roman" w:hAnsi="Times New Roman"/>
          <w:b w:val="0"/>
          <w:sz w:val="24"/>
        </w:rPr>
        <w:t>Table 4.3</w:t>
      </w:r>
    </w:p>
    <w:p>
      <w:pPr>
        <w:spacing w:line="360" w:lineRule="auto"/>
        <w:ind w:firstLine="360"/>
        <w:jc w:val="left"/>
      </w:pPr>
      <w:r>
        <w:rPr>
          <w:rFonts w:ascii="Times New Roman" w:hAnsi="Times New Roman"/>
          <w:b w:val="0"/>
          <w:sz w:val="24"/>
        </w:rPr>
        <w:t>Table 4.4</w:t>
      </w:r>
    </w:p>
    <w:p>
      <w:pPr>
        <w:spacing w:line="360" w:lineRule="auto"/>
        <w:ind w:firstLine="360"/>
        <w:jc w:val="left"/>
      </w:pPr>
      <w:r>
        <w:rPr>
          <w:rFonts w:ascii="Times New Roman" w:hAnsi="Times New Roman"/>
          <w:b w:val="0"/>
          <w:sz w:val="24"/>
        </w:rPr>
        <w:t>Table 4.5</w:t>
      </w:r>
    </w:p>
    <w:p>
      <w:pPr>
        <w:spacing w:line="360" w:lineRule="auto"/>
        <w:ind w:firstLine="360"/>
        <w:jc w:val="left"/>
      </w:pPr>
      <w:r>
        <w:rPr>
          <w:rFonts w:ascii="Times New Roman" w:hAnsi="Times New Roman"/>
          <w:b w:val="0"/>
          <w:sz w:val="24"/>
        </w:rPr>
        <w:t>Table 4.6</w:t>
      </w:r>
    </w:p>
    <w:p>
      <w:r>
        <w:br w:type="page"/>
      </w:r>
    </w:p>
    <w:p>
      <w:pPr>
        <w:pStyle w:val="Heading1"/>
        <w:spacing w:line="360" w:lineRule="auto"/>
        <w:ind w:firstLine="0"/>
        <w:jc w:val="center"/>
      </w:pPr>
      <w:r>
        <w:rPr>
          <w:rFonts w:ascii="Times New Roman" w:hAnsi="Times New Roman"/>
          <w:b w:val="0"/>
          <w:sz w:val="24"/>
        </w:rPr>
        <w:t>LIST OF ABBREVIATIONS</w:t>
      </w:r>
    </w:p>
    <w:p>
      <w:pPr>
        <w:spacing w:line="360" w:lineRule="auto"/>
        <w:ind w:firstLine="360"/>
        <w:jc w:val="left"/>
      </w:pPr>
      <w:r>
        <w:rPr>
          <w:rFonts w:ascii="Times New Roman" w:hAnsi="Times New Roman"/>
          <w:b w:val="0"/>
          <w:sz w:val="24"/>
        </w:rPr>
        <w:t>AHP    Analytic Hierarchy Process</w:t>
      </w:r>
    </w:p>
    <w:p>
      <w:pPr>
        <w:spacing w:line="360" w:lineRule="auto"/>
        <w:ind w:firstLine="360"/>
        <w:jc w:val="left"/>
      </w:pPr>
      <w:r>
        <w:rPr>
          <w:rFonts w:ascii="Times New Roman" w:hAnsi="Times New Roman"/>
          <w:b w:val="0"/>
          <w:sz w:val="24"/>
        </w:rPr>
        <w:t>API    Application Programming Interface</w:t>
      </w:r>
    </w:p>
    <w:p>
      <w:pPr>
        <w:spacing w:line="360" w:lineRule="auto"/>
        <w:ind w:firstLine="360"/>
        <w:jc w:val="left"/>
      </w:pPr>
      <w:r>
        <w:rPr>
          <w:rFonts w:ascii="Times New Roman" w:hAnsi="Times New Roman"/>
          <w:b w:val="0"/>
          <w:sz w:val="24"/>
        </w:rPr>
        <w:t>CI    Consistency Index</w:t>
      </w:r>
    </w:p>
    <w:p>
      <w:pPr>
        <w:spacing w:line="360" w:lineRule="auto"/>
        <w:ind w:firstLine="360"/>
        <w:jc w:val="left"/>
      </w:pPr>
      <w:r>
        <w:rPr>
          <w:rFonts w:ascii="Times New Roman" w:hAnsi="Times New Roman"/>
          <w:b w:val="0"/>
          <w:sz w:val="24"/>
        </w:rPr>
        <w:t>CR    Consistency Ratio</w:t>
      </w:r>
    </w:p>
    <w:p>
      <w:pPr>
        <w:spacing w:line="360" w:lineRule="auto"/>
        <w:ind w:firstLine="360"/>
        <w:jc w:val="left"/>
      </w:pPr>
      <w:r>
        <w:rPr>
          <w:rFonts w:ascii="Times New Roman" w:hAnsi="Times New Roman"/>
          <w:b w:val="0"/>
          <w:sz w:val="24"/>
        </w:rPr>
        <w:t>CSV    Comma-Separated Values</w:t>
      </w:r>
    </w:p>
    <w:p>
      <w:pPr>
        <w:spacing w:line="360" w:lineRule="auto"/>
        <w:ind w:firstLine="360"/>
        <w:jc w:val="left"/>
      </w:pPr>
      <w:r>
        <w:rPr>
          <w:rFonts w:ascii="Times New Roman" w:hAnsi="Times New Roman"/>
          <w:b w:val="0"/>
          <w:sz w:val="24"/>
        </w:rPr>
        <w:t>DSS    Decision Support System</w:t>
      </w:r>
    </w:p>
    <w:p>
      <w:pPr>
        <w:spacing w:line="360" w:lineRule="auto"/>
        <w:ind w:firstLine="360"/>
        <w:jc w:val="left"/>
      </w:pPr>
      <w:r>
        <w:rPr>
          <w:rFonts w:ascii="Times New Roman" w:hAnsi="Times New Roman"/>
          <w:b w:val="0"/>
          <w:sz w:val="24"/>
        </w:rPr>
        <w:t>EU    Expertise Uniqueness</w:t>
      </w:r>
    </w:p>
    <w:p>
      <w:pPr>
        <w:spacing w:line="360" w:lineRule="auto"/>
        <w:ind w:firstLine="360"/>
        <w:jc w:val="left"/>
      </w:pPr>
      <w:r>
        <w:rPr>
          <w:rFonts w:ascii="Times New Roman" w:hAnsi="Times New Roman"/>
          <w:b w:val="0"/>
          <w:sz w:val="24"/>
        </w:rPr>
        <w:t>DG    Documentation Gap</w:t>
      </w:r>
    </w:p>
    <w:p>
      <w:pPr>
        <w:spacing w:line="360" w:lineRule="auto"/>
        <w:ind w:firstLine="360"/>
        <w:jc w:val="left"/>
      </w:pPr>
      <w:r>
        <w:rPr>
          <w:rFonts w:ascii="Times New Roman" w:hAnsi="Times New Roman"/>
          <w:b w:val="0"/>
          <w:sz w:val="24"/>
        </w:rPr>
        <w:t>PC    Project Criticality</w:t>
      </w:r>
    </w:p>
    <w:p>
      <w:pPr>
        <w:spacing w:line="360" w:lineRule="auto"/>
        <w:ind w:firstLine="360"/>
        <w:jc w:val="left"/>
      </w:pPr>
      <w:r>
        <w:rPr>
          <w:rFonts w:ascii="Times New Roman" w:hAnsi="Times New Roman"/>
          <w:b w:val="0"/>
          <w:sz w:val="24"/>
        </w:rPr>
        <w:t>CD    Collaboration Dependency</w:t>
      </w:r>
    </w:p>
    <w:p>
      <w:pPr>
        <w:spacing w:line="360" w:lineRule="auto"/>
        <w:ind w:firstLine="360"/>
        <w:jc w:val="left"/>
      </w:pPr>
      <w:r>
        <w:rPr>
          <w:rFonts w:ascii="Times New Roman" w:hAnsi="Times New Roman"/>
          <w:b w:val="0"/>
          <w:sz w:val="24"/>
        </w:rPr>
        <w:t>KT    Knowledge Transfer</w:t>
      </w:r>
    </w:p>
    <w:p>
      <w:pPr>
        <w:spacing w:line="360" w:lineRule="auto"/>
        <w:ind w:firstLine="360"/>
        <w:jc w:val="left"/>
      </w:pPr>
      <w:r>
        <w:rPr>
          <w:rFonts w:ascii="Times New Roman" w:hAnsi="Times New Roman"/>
          <w:b w:val="0"/>
          <w:sz w:val="24"/>
        </w:rPr>
        <w:t>ML    Machine Learning</w:t>
      </w:r>
    </w:p>
    <w:p>
      <w:pPr>
        <w:spacing w:line="360" w:lineRule="auto"/>
        <w:ind w:firstLine="360"/>
        <w:jc w:val="left"/>
      </w:pPr>
      <w:r>
        <w:rPr>
          <w:rFonts w:ascii="Times New Roman" w:hAnsi="Times New Roman"/>
          <w:b w:val="0"/>
          <w:sz w:val="24"/>
        </w:rPr>
        <w:t>SUS    System Usability Scale</w:t>
      </w:r>
    </w:p>
    <w:p>
      <w:pPr>
        <w:spacing w:line="360" w:lineRule="auto"/>
        <w:ind w:firstLine="360"/>
        <w:jc w:val="left"/>
      </w:pPr>
      <w:r>
        <w:rPr>
          <w:rFonts w:ascii="Times New Roman" w:hAnsi="Times New Roman"/>
          <w:b w:val="0"/>
          <w:sz w:val="24"/>
        </w:rPr>
        <w:t>TAM    Technology Acceptance Model</w:t>
      </w:r>
    </w:p>
    <w:p>
      <w:r>
        <w:br w:type="page"/>
      </w:r>
    </w:p>
    <w:p>
      <w:pPr>
        <w:sectPr>
          <w:footerReference w:type="default" r:id="rId9"/>
          <w:pgSz w:w="12240" w:h="15840"/>
          <w:pgMar w:top="1440" w:right="1440" w:bottom="1440" w:left="1800" w:header="720" w:footer="720" w:gutter="0"/>
          <w:cols w:space="720"/>
          <w:docGrid w:linePitch="360"/>
          <w:pgNumType w:fmt="lowerRoman" w:start="1"/>
        </w:sectPr>
      </w:pPr>
    </w:p>
    <w:p>
      <w:pPr>
        <w:pStyle w:val="Heading1"/>
        <w:spacing w:line="360" w:lineRule="auto"/>
        <w:ind w:firstLine="0"/>
        <w:jc w:val="center"/>
      </w:pPr>
      <w:r>
        <w:rPr>
          <w:rFonts w:ascii="Times New Roman" w:hAnsi="Times New Roman"/>
          <w:b w:val="0"/>
          <w:sz w:val="24"/>
        </w:rPr>
        <w:t>ABSTRACT</w:t>
      </w:r>
    </w:p>
    <w:p>
      <w:pPr>
        <w:spacing w:line="360" w:lineRule="auto"/>
        <w:ind w:firstLine="360"/>
        <w:jc w:val="both"/>
      </w:pPr>
      <w:r>
        <w:rPr>
          <w:rFonts w:ascii="Times New Roman" w:hAnsi="Times New Roman"/>
          <w:b w:val="0"/>
          <w:sz w:val="24"/>
        </w:rP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pPr>
        <w:spacing w:line="360" w:lineRule="auto"/>
        <w:ind w:firstLine="360"/>
        <w:jc w:val="both"/>
      </w:pPr>
      <w:r>
        <w:rPr>
          <w:rFonts w:ascii="Times New Roman" w:hAnsi="Times New Roman"/>
          <w:b w:val="0"/>
          <w:sz w:val="24"/>
        </w:rPr>
        <w:t>The prototype was demonstrated using a 30-row Q1 test assessment file and a generated four-quarter assessment sequence. Ten collected expert-comparison responses were used to examine the proposed indicator weights. Their aggregated comparisons produced a consistency ratio of 0.2000, above the specified 0.10 threshold; the proposed replacement weights were not accepted. Ten collected system-evaluation responses yielded a mean System Usability Scale score of 89.50 (SD = 3.07). Mean ratings for perceived usefulness, perceived ease of use, and behavioural intention were 4.43, 4.53, and 4.60, respectively. These results indicate positive perceived usability and acceptance among the evaluators.</w:t>
      </w:r>
    </w:p>
    <w:p>
      <w:pPr>
        <w:spacing w:line="360" w:lineRule="auto"/>
        <w:ind w:firstLine="360"/>
        <w:jc w:val="both"/>
      </w:pPr>
      <w:r>
        <w:rPr>
          <w:rFonts w:ascii="Times New Roman" w:hAnsi="Times New Roman"/>
          <w:b w:val="0"/>
          <w:sz w:val="24"/>
        </w:rP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r>
        <w:br w:type="page"/>
      </w:r>
    </w:p>
    <w:p>
      <w:pPr>
        <w:pStyle w:val="Heading1"/>
        <w:spacing w:line="360" w:lineRule="auto"/>
        <w:ind w:firstLine="0"/>
        <w:jc w:val="left"/>
      </w:pPr>
      <w:r>
        <w:rPr>
          <w:rFonts w:ascii="Times New Roman" w:hAnsi="Times New Roman"/>
          <w:b w:val="0"/>
          <w:sz w:val="24"/>
        </w:rPr>
        <w:t>1 INTRODUCTION</w:t>
      </w:r>
    </w:p>
    <w:p>
      <w:pPr>
        <w:pStyle w:val="Heading2"/>
        <w:spacing w:line="360" w:lineRule="auto"/>
        <w:ind w:firstLine="0"/>
        <w:jc w:val="left"/>
      </w:pPr>
      <w:r>
        <w:rPr>
          <w:rFonts w:ascii="Times New Roman" w:hAnsi="Times New Roman"/>
          <w:b w:val="0"/>
          <w:sz w:val="24"/>
        </w:rPr>
        <w:t>1.1 Chapter overview</w:t>
      </w:r>
    </w:p>
    <w:p>
      <w:pPr>
        <w:spacing w:line="360" w:lineRule="auto"/>
        <w:ind w:firstLine="360"/>
        <w:jc w:val="both"/>
      </w:pPr>
      <w:r>
        <w:rPr>
          <w:rFonts w:ascii="Times New Roman" w:hAnsi="Times New Roman"/>
          <w:b w:val="0"/>
          <w:sz w:val="24"/>
        </w:rPr>
        <w:t>This chapter introduces the problem of knowledge loss during employee transitions and explains why an assessment linked to knowledge-transfer action is needed. It presents the problem, research gap, questions, significance, scope, and proposed solution.</w:t>
      </w:r>
    </w:p>
    <w:p>
      <w:pPr>
        <w:pStyle w:val="Heading2"/>
        <w:spacing w:line="360" w:lineRule="auto"/>
        <w:ind w:firstLine="0"/>
        <w:jc w:val="left"/>
      </w:pPr>
      <w:r>
        <w:rPr>
          <w:rFonts w:ascii="Times New Roman" w:hAnsi="Times New Roman"/>
          <w:b w:val="0"/>
          <w:sz w:val="24"/>
        </w:rPr>
        <w:t>1.2 Background</w:t>
      </w:r>
    </w:p>
    <w:p>
      <w:pPr>
        <w:spacing w:line="360" w:lineRule="auto"/>
        <w:ind w:firstLine="360"/>
        <w:jc w:val="both"/>
      </w:pPr>
      <w:r>
        <w:rPr>
          <w:rFonts w:ascii="Times New Roman" w:hAnsi="Times New Roman"/>
          <w:b w:val="0"/>
          <w:sz w:val="24"/>
        </w:rP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pPr>
        <w:spacing w:line="360" w:lineRule="auto"/>
        <w:ind w:firstLine="360"/>
        <w:jc w:val="both"/>
      </w:pPr>
      <w:r>
        <w:rPr>
          <w:rFonts w:ascii="Times New Roman" w:hAnsi="Times New Roman"/>
          <w:b w:val="0"/>
          <w:sz w:val="24"/>
        </w:rP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pPr>
        <w:spacing w:line="360" w:lineRule="auto"/>
        <w:ind w:firstLine="360"/>
        <w:jc w:val="both"/>
      </w:pPr>
      <w:r>
        <w:rPr>
          <w:rFonts w:ascii="Times New Roman" w:hAnsi="Times New Roman"/>
          <w:b w:val="0"/>
          <w:sz w:val="24"/>
        </w:rP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pPr>
        <w:spacing w:line="360" w:lineRule="auto"/>
        <w:ind w:firstLine="360"/>
        <w:jc w:val="both"/>
      </w:pPr>
      <w:r>
        <w:rPr>
          <w:rFonts w:ascii="Times New Roman" w:hAnsi="Times New Roman"/>
          <w:b w:val="0"/>
          <w:sz w:val="24"/>
        </w:rP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pPr>
        <w:pStyle w:val="Heading2"/>
        <w:spacing w:line="360" w:lineRule="auto"/>
        <w:ind w:firstLine="0"/>
        <w:jc w:val="left"/>
      </w:pPr>
      <w:r>
        <w:rPr>
          <w:rFonts w:ascii="Times New Roman" w:hAnsi="Times New Roman"/>
          <w:b w:val="0"/>
          <w:sz w:val="24"/>
        </w:rPr>
        <w:t>1.3 Problem statement</w:t>
      </w:r>
    </w:p>
    <w:p>
      <w:pPr>
        <w:spacing w:line="360" w:lineRule="auto"/>
        <w:ind w:firstLine="360"/>
        <w:jc w:val="both"/>
      </w:pPr>
      <w:r>
        <w:rPr>
          <w:rFonts w:ascii="Times New Roman" w:hAnsi="Times New Roman"/>
          <w:b w:val="0"/>
          <w:sz w:val="24"/>
        </w:rP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pPr>
        <w:spacing w:line="360" w:lineRule="auto"/>
        <w:ind w:firstLine="360"/>
        <w:jc w:val="both"/>
      </w:pPr>
      <w:r>
        <w:rPr>
          <w:rFonts w:ascii="Times New Roman" w:hAnsi="Times New Roman"/>
          <w:b w:val="0"/>
          <w:sz w:val="24"/>
        </w:rP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pPr>
        <w:spacing w:line="360" w:lineRule="auto"/>
        <w:ind w:firstLine="360"/>
        <w:jc w:val="both"/>
      </w:pPr>
      <w:r>
        <w:rPr>
          <w:rFonts w:ascii="Times New Roman" w:hAnsi="Times New Roman"/>
          <w:b w:val="0"/>
          <w:sz w:val="24"/>
        </w:rPr>
        <w:t>The central problem is how a decision support system can help identify employee-level knowledge-loss risk and support structured knowledge-transfer decisions during organizational transitions.</w:t>
      </w:r>
    </w:p>
    <w:p>
      <w:pPr>
        <w:pStyle w:val="Heading2"/>
        <w:spacing w:line="360" w:lineRule="auto"/>
        <w:ind w:firstLine="0"/>
        <w:jc w:val="left"/>
      </w:pPr>
      <w:r>
        <w:rPr>
          <w:rFonts w:ascii="Times New Roman" w:hAnsi="Times New Roman"/>
          <w:b w:val="0"/>
          <w:sz w:val="24"/>
        </w:rPr>
        <w:t>1.4 Research gap</w:t>
      </w:r>
    </w:p>
    <w:p>
      <w:pPr>
        <w:spacing w:line="360" w:lineRule="auto"/>
        <w:ind w:firstLine="360"/>
        <w:jc w:val="both"/>
      </w:pPr>
      <w:r>
        <w:rPr>
          <w:rFonts w:ascii="Times New Roman" w:hAnsi="Times New Roman"/>
          <w:b w:val="0"/>
          <w:sz w:val="24"/>
        </w:rPr>
        <w:t>Research on knowledge creation and transfer explains the roles of documented knowledge, experience, and transfer between people [1], [2]. Those findings motivate individual-level assessment. The literature does not itself specify the particular integrated application workflow investigated here: recording assessment inputs, adding manager review, prioritizing a case, and reviewing a transfer plan.</w:t>
      </w:r>
    </w:p>
    <w:p>
      <w:pPr>
        <w:spacing w:line="360" w:lineRule="auto"/>
        <w:ind w:firstLine="360"/>
        <w:jc w:val="both"/>
      </w:pPr>
      <w:r>
        <w:rPr>
          <w:rFonts w:ascii="Times New Roman" w:hAnsi="Times New Roman"/>
          <w:b w:val="0"/>
          <w:sz w:val="24"/>
        </w:rP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pPr>
        <w:spacing w:line="360" w:lineRule="auto"/>
        <w:ind w:firstLine="360"/>
        <w:jc w:val="both"/>
      </w:pPr>
      <w:r>
        <w:rPr>
          <w:rFonts w:ascii="Times New Roman" w:hAnsi="Times New Roman"/>
          <w:b w:val="0"/>
          <w:sz w:val="24"/>
        </w:rPr>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pPr>
        <w:spacing w:line="360" w:lineRule="auto"/>
        <w:ind w:firstLine="360"/>
        <w:jc w:val="both"/>
      </w:pPr>
      <w:r>
        <w:rPr>
          <w:rFonts w:ascii="Times New Roman" w:hAnsi="Times New Roman"/>
          <w:b w:val="0"/>
          <w:sz w:val="24"/>
        </w:rP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pPr>
        <w:pStyle w:val="Heading2"/>
        <w:spacing w:line="360" w:lineRule="auto"/>
        <w:ind w:firstLine="0"/>
        <w:jc w:val="left"/>
      </w:pPr>
      <w:r>
        <w:rPr>
          <w:rFonts w:ascii="Times New Roman" w:hAnsi="Times New Roman"/>
          <w:b w:val="0"/>
          <w:sz w:val="24"/>
        </w:rPr>
        <w:t>1.5 Research questions</w:t>
      </w:r>
    </w:p>
    <w:p>
      <w:pPr>
        <w:spacing w:line="360" w:lineRule="auto"/>
        <w:ind w:firstLine="360"/>
        <w:jc w:val="both"/>
      </w:pPr>
      <w:r>
        <w:rPr>
          <w:rFonts w:ascii="Times New Roman" w:hAnsi="Times New Roman"/>
          <w:b w:val="0"/>
          <w:sz w:val="24"/>
        </w:rPr>
        <w:t>The main research question is: How can a decision support system help identify employee-level knowledge-loss risk and support structured knowledge-transfer decisions during organizational transitions?</w:t>
      </w:r>
    </w:p>
    <w:p>
      <w:pPr>
        <w:spacing w:line="360" w:lineRule="auto"/>
        <w:ind w:firstLine="360"/>
        <w:jc w:val="both"/>
      </w:pPr>
      <w:r>
        <w:rPr>
          <w:rFonts w:ascii="Times New Roman" w:hAnsi="Times New Roman"/>
          <w:b w:val="0"/>
          <w:sz w:val="24"/>
        </w:rPr>
        <w:t>RQ1. Which measurable indicators are appropriate for assessing employee-level knowledge-loss risk during organizational transitions?</w:t>
      </w:r>
    </w:p>
    <w:p>
      <w:pPr>
        <w:spacing w:line="360" w:lineRule="auto"/>
        <w:ind w:firstLine="360"/>
        <w:jc w:val="both"/>
      </w:pPr>
      <w:r>
        <w:rPr>
          <w:rFonts w:ascii="Times New Roman" w:hAnsi="Times New Roman"/>
          <w:b w:val="0"/>
          <w:sz w:val="24"/>
        </w:rPr>
        <w:t>RQ2. How can indicator-based assessment, manager judgement, and supporting machine-learning analysis be integrated into a decision support workflow?</w:t>
      </w:r>
    </w:p>
    <w:p>
      <w:pPr>
        <w:spacing w:line="360" w:lineRule="auto"/>
        <w:ind w:firstLine="360"/>
        <w:jc w:val="both"/>
      </w:pPr>
      <w:r>
        <w:rPr>
          <w:rFonts w:ascii="Times New Roman" w:hAnsi="Times New Roman"/>
          <w:b w:val="0"/>
          <w:sz w:val="24"/>
        </w:rPr>
        <w:t>RQ3. How can the system support the planning, completion, and review of knowledge-transfer activities after a high-risk case is identified?</w:t>
      </w:r>
    </w:p>
    <w:p>
      <w:pPr>
        <w:spacing w:line="360" w:lineRule="auto"/>
        <w:ind w:firstLine="360"/>
        <w:jc w:val="both"/>
      </w:pPr>
      <w:r>
        <w:rPr>
          <w:rFonts w:ascii="Times New Roman" w:hAnsi="Times New Roman"/>
          <w:b w:val="0"/>
          <w:sz w:val="24"/>
        </w:rPr>
        <w:t>RQ4. How usable and acceptable is the prototype to its evaluators, and which aspects of its intended workflow can be demonstrated through testing?</w:t>
      </w:r>
    </w:p>
    <w:p>
      <w:pPr>
        <w:pStyle w:val="Heading2"/>
        <w:spacing w:line="360" w:lineRule="auto"/>
        <w:ind w:firstLine="0"/>
        <w:jc w:val="left"/>
      </w:pPr>
      <w:r>
        <w:rPr>
          <w:rFonts w:ascii="Times New Roman" w:hAnsi="Times New Roman"/>
          <w:b w:val="0"/>
          <w:sz w:val="24"/>
        </w:rPr>
        <w:t>1.6 Research motivation and significance</w:t>
      </w:r>
    </w:p>
    <w:p>
      <w:pPr>
        <w:spacing w:line="360" w:lineRule="auto"/>
        <w:ind w:firstLine="360"/>
        <w:jc w:val="both"/>
      </w:pPr>
      <w:r>
        <w:rPr>
          <w:rFonts w:ascii="Times New Roman" w:hAnsi="Times New Roman"/>
          <w:b w:val="0"/>
          <w:sz w:val="24"/>
        </w:rP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pPr>
        <w:spacing w:line="360" w:lineRule="auto"/>
        <w:ind w:firstLine="360"/>
        <w:jc w:val="both"/>
      </w:pPr>
      <w:r>
        <w:rPr>
          <w:rFonts w:ascii="Times New Roman" w:hAnsi="Times New Roman"/>
          <w:b w:val="0"/>
          <w:sz w:val="24"/>
        </w:rPr>
        <w:t>The research significance lies in examining whether established methods can be connected into one auditable workflow. Design science research supports building and evaluating an information-system artefact in response to a practical problem [5]. The value demonstrated in this study concerns the prototype and its evaluated functions; it is not evidence of long-term organizational impact.</w:t>
      </w:r>
    </w:p>
    <w:p>
      <w:pPr>
        <w:pStyle w:val="Heading2"/>
        <w:spacing w:line="360" w:lineRule="auto"/>
        <w:ind w:firstLine="0"/>
        <w:jc w:val="left"/>
      </w:pPr>
      <w:r>
        <w:rPr>
          <w:rFonts w:ascii="Times New Roman" w:hAnsi="Times New Roman"/>
          <w:b w:val="0"/>
          <w:sz w:val="24"/>
        </w:rPr>
        <w:t>1.7 Scope</w:t>
      </w:r>
    </w:p>
    <w:p>
      <w:pPr>
        <w:spacing w:line="360" w:lineRule="auto"/>
        <w:ind w:firstLine="360"/>
        <w:jc w:val="both"/>
      </w:pPr>
      <w:r>
        <w:rPr>
          <w:rFonts w:ascii="Times New Roman" w:hAnsi="Times New Roman"/>
          <w:b w:val="0"/>
          <w:sz w:val="24"/>
        </w:rPr>
        <w:t>KnowledgeGuard assesses expertise uniqueness, documentation gap, project criticality, collaboration dependency, and tenure. It combines an indicator-based score, manager assessment, and a supporting machine-learning score, then permits knowledge-transfer planning for high- and critical-risk cases. The study covers prototype development, a 30-row Q1 test file and generated four-quarter assessment demonstration, collected expert-comparison responses, and collected system-evaluation responses.</w:t>
      </w:r>
    </w:p>
    <w:p>
      <w:pPr>
        <w:spacing w:line="360" w:lineRule="auto"/>
        <w:ind w:firstLine="360"/>
        <w:jc w:val="both"/>
      </w:pPr>
      <w:r>
        <w:rPr>
          <w:rFonts w:ascii="Times New Roman" w:hAnsi="Times New Roman"/>
          <w:b w:val="0"/>
          <w:sz w:val="24"/>
        </w:rPr>
        <w:t>The test records are not records from a partner organization. The evaluation does not validate departure prediction, establish lasting knowledge retention, or measure actual reduction of knowledge loss. A risk tier identifies a case for review, not an employment action. Subsequent organizational testing would be needed to establish whether a backup retains and applies the knowledge.</w:t>
      </w:r>
    </w:p>
    <w:p>
      <w:pPr>
        <w:pStyle w:val="KGCaption"/>
        <w:ind w:firstLine="0"/>
        <w:jc w:val="left"/>
      </w:pPr>
      <w:r>
        <w:rPr>
          <w:rFonts w:ascii="Times New Roman" w:hAnsi="Times New Roman"/>
          <w:sz w:val="24"/>
        </w:rPr>
        <w:t>Table 1.1: Scope and evidence boundaries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Included in this study</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Outside the demonstrated evidence</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Prototype assessment and manager-reviewed KT workflow</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Deployment or observed outcomes in a partner organization</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Generated Q1 test records and four-quarter scenarios</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 real four-quarter cohort or observed retention over time</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Collected expert comparisons and usability responses</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Validated indicator weights or population-wide acceptance</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Scoring and functional demonstration</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Independent prediction of departures or knowledge loss</w:t>
            </w:r>
          </w:p>
        </w:tc>
      </w:tr>
    </w:tbl>
    <w:p>
      <w:pPr>
        <w:spacing w:after="60"/>
      </w:pPr>
    </w:p>
    <w:p>
      <w:pPr>
        <w:pStyle w:val="Heading2"/>
        <w:spacing w:line="360" w:lineRule="auto"/>
        <w:ind w:firstLine="0"/>
        <w:jc w:val="left"/>
      </w:pPr>
      <w:r>
        <w:rPr>
          <w:rFonts w:ascii="Times New Roman" w:hAnsi="Times New Roman"/>
          <w:b w:val="0"/>
          <w:sz w:val="24"/>
        </w:rPr>
        <w:t>1.8 Overview of the proposed solution</w:t>
      </w:r>
    </w:p>
    <w:p>
      <w:pPr>
        <w:spacing w:line="360" w:lineRule="auto"/>
        <w:ind w:firstLine="360"/>
        <w:jc w:val="both"/>
      </w:pPr>
      <w:r>
        <w:rPr>
          <w:rFonts w:ascii="Times New Roman" w:hAnsi="Times New Roman"/>
          <w:b w:val="0"/>
          <w:sz w:val="24"/>
        </w:rP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1.1: Rich picture showing assessment source; HR user, manager, knowledge holder, backup; risk review; knowledge-transfer tasks; and monitoring. Insert the final figure above the caption.</w:t>
      </w:r>
    </w:p>
    <w:p>
      <w:pPr>
        <w:pStyle w:val="KGCaption"/>
        <w:ind w:firstLine="0"/>
        <w:jc w:val="center"/>
      </w:pPr>
      <w:r>
        <w:rPr>
          <w:rFonts w:ascii="Times New Roman" w:hAnsi="Times New Roman"/>
          <w:sz w:val="24"/>
        </w:rPr>
        <w:t>Figure 1.1: Overview of the proposed KnowledgeGuard workflow.</w:t>
      </w:r>
    </w:p>
    <w:p>
      <w:pPr>
        <w:pStyle w:val="Heading2"/>
        <w:spacing w:line="360" w:lineRule="auto"/>
        <w:ind w:firstLine="0"/>
        <w:jc w:val="left"/>
      </w:pPr>
      <w:r>
        <w:rPr>
          <w:rFonts w:ascii="Times New Roman" w:hAnsi="Times New Roman"/>
          <w:b w:val="0"/>
          <w:sz w:val="24"/>
        </w:rPr>
        <w:t>1.9 Chapter summary</w:t>
      </w:r>
    </w:p>
    <w:p>
      <w:pPr>
        <w:spacing w:line="360" w:lineRule="auto"/>
        <w:ind w:firstLine="360"/>
        <w:jc w:val="both"/>
      </w:pPr>
      <w:r>
        <w:rPr>
          <w:rFonts w:ascii="Times New Roman" w:hAnsi="Times New Roman"/>
          <w:b w:val="0"/>
          <w:sz w:val="24"/>
        </w:rPr>
        <w:t>This chapter defined the knowledge-loss problem, the study’s design contribution, four research questions, and the boundaries of the prototype evaluation. Chapter 2 states the objectives, and Chapter 3 reviews the research informing the assessment and transfer workflow.</w:t>
      </w:r>
    </w:p>
    <w:p>
      <w:r>
        <w:br w:type="page"/>
      </w:r>
    </w:p>
    <w:p>
      <w:pPr>
        <w:pStyle w:val="Heading1"/>
        <w:spacing w:line="360" w:lineRule="auto"/>
        <w:ind w:firstLine="0"/>
        <w:jc w:val="left"/>
      </w:pPr>
      <w:r>
        <w:rPr>
          <w:rFonts w:ascii="Times New Roman" w:hAnsi="Times New Roman"/>
          <w:b w:val="0"/>
          <w:sz w:val="24"/>
        </w:rPr>
        <w:t>2 OBJECTIVES</w:t>
      </w:r>
    </w:p>
    <w:p>
      <w:pPr>
        <w:pStyle w:val="Heading2"/>
        <w:spacing w:line="360" w:lineRule="auto"/>
        <w:ind w:firstLine="0"/>
        <w:jc w:val="left"/>
      </w:pPr>
      <w:r>
        <w:rPr>
          <w:rFonts w:ascii="Times New Roman" w:hAnsi="Times New Roman"/>
          <w:b w:val="0"/>
          <w:sz w:val="24"/>
        </w:rPr>
        <w:t>2.1 General objective or aim</w:t>
      </w:r>
    </w:p>
    <w:p>
      <w:pPr>
        <w:spacing w:line="360" w:lineRule="auto"/>
        <w:ind w:firstLine="360"/>
        <w:jc w:val="both"/>
      </w:pPr>
      <w:r>
        <w:rPr>
          <w:rFonts w:ascii="Times New Roman" w:hAnsi="Times New Roman"/>
          <w:b w:val="0"/>
          <w:sz w:val="24"/>
        </w:rPr>
        <w:t>The general objective of this study was to design, develop, and evaluate KnowledgeGuard, a decision support prototype that assesses employee-level knowledge-loss risk during organizational transitions and supports structured knowledge-transfer decisions.</w:t>
      </w:r>
    </w:p>
    <w:p>
      <w:pPr>
        <w:pStyle w:val="Heading2"/>
        <w:spacing w:line="360" w:lineRule="auto"/>
        <w:ind w:firstLine="0"/>
        <w:jc w:val="left"/>
      </w:pPr>
      <w:r>
        <w:rPr>
          <w:rFonts w:ascii="Times New Roman" w:hAnsi="Times New Roman"/>
          <w:b w:val="0"/>
          <w:sz w:val="24"/>
        </w:rPr>
        <w:t>2.2 Specific objectives</w:t>
      </w:r>
    </w:p>
    <w:p>
      <w:pPr>
        <w:spacing w:line="360" w:lineRule="auto"/>
        <w:ind w:firstLine="360"/>
        <w:jc w:val="both"/>
      </w:pPr>
      <w:r>
        <w:rPr>
          <w:rFonts w:ascii="Times New Roman" w:hAnsi="Times New Roman"/>
          <w:b w:val="0"/>
          <w:sz w:val="24"/>
        </w:rPr>
        <w:t>O1. To identify and define measurable indicators of knowledge-loss risk and develop a structured assessment method that checks the quality of assessment responses.</w:t>
      </w:r>
    </w:p>
    <w:p>
      <w:pPr>
        <w:spacing w:line="360" w:lineRule="auto"/>
        <w:ind w:firstLine="360"/>
        <w:jc w:val="both"/>
      </w:pPr>
      <w:r>
        <w:rPr>
          <w:rFonts w:ascii="Times New Roman" w:hAnsi="Times New Roman"/>
          <w:b w:val="0"/>
          <w:sz w:val="24"/>
        </w:rPr>
        <w:t>O2. To examine relevant knowledge-management, risk-assessment, and decision-support research and use it to inform the design of the prototype.</w:t>
      </w:r>
    </w:p>
    <w:p>
      <w:pPr>
        <w:spacing w:line="360" w:lineRule="auto"/>
        <w:ind w:firstLine="360"/>
        <w:jc w:val="both"/>
      </w:pPr>
      <w:r>
        <w:rPr>
          <w:rFonts w:ascii="Times New Roman" w:hAnsi="Times New Roman"/>
          <w:b w:val="0"/>
          <w:sz w:val="24"/>
        </w:rPr>
        <w:t>O3. To design and implement an integrated workflow that combines indicator-based scoring, manager assessment, supporting machine-learning analysis, risk classification, and knowledge-transfer planning and review.</w:t>
      </w:r>
    </w:p>
    <w:p>
      <w:pPr>
        <w:spacing w:line="360" w:lineRule="auto"/>
        <w:ind w:firstLine="360"/>
        <w:jc w:val="both"/>
      </w:pPr>
      <w:r>
        <w:rPr>
          <w:rFonts w:ascii="Times New Roman" w:hAnsi="Times New Roman"/>
          <w:b w:val="0"/>
          <w:sz w:val="24"/>
        </w:rPr>
        <w:t>O4. To evaluate the prototype’s assessment and knowledge-transfer functions through testing, and to assess perceived usability and acceptance using system-evaluation responses.</w:t>
      </w:r>
    </w:p>
    <w:p>
      <w:pPr>
        <w:pStyle w:val="KGCaption"/>
        <w:ind w:firstLine="0"/>
        <w:jc w:val="left"/>
      </w:pPr>
      <w:r>
        <w:rPr>
          <w:rFonts w:ascii="Times New Roman" w:hAnsi="Times New Roman"/>
          <w:sz w:val="24"/>
        </w:rPr>
        <w:t>Table 2.1: Objectives, methods and expected evidence</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Objective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Method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reported in Chapter 5</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O1 Indicators and assessment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Define five indicators; map survey items; check expert comparison consistency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Indicator mapping, calculated scores, AHP outcome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O2 Literature and design basis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Review knowledge-loss evidence and related systems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Synthesis and justified design choices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O3 Integrated prototype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Implement scoring, validation and five KT stages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System outputs and functional scenarios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O4 Evaluation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Run tests; calculate SUS and acceptance summaries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Recorded test outcomes and questionnaire summaries</w:t>
            </w:r>
          </w:p>
        </w:tc>
      </w:tr>
    </w:tbl>
    <w:p>
      <w:pPr>
        <w:spacing w:after="60"/>
      </w:pPr>
    </w:p>
    <w:p>
      <w:r>
        <w:br w:type="page"/>
      </w:r>
    </w:p>
    <w:p>
      <w:pPr>
        <w:pStyle w:val="Heading1"/>
        <w:spacing w:line="360" w:lineRule="auto"/>
        <w:ind w:firstLine="0"/>
        <w:jc w:val="left"/>
      </w:pPr>
      <w:r>
        <w:rPr>
          <w:rFonts w:ascii="Times New Roman" w:hAnsi="Times New Roman"/>
          <w:b w:val="0"/>
          <w:sz w:val="24"/>
        </w:rPr>
        <w:t>3 LITERATURE REVIEW</w:t>
      </w:r>
    </w:p>
    <w:p>
      <w:pPr>
        <w:pStyle w:val="Heading2"/>
        <w:spacing w:line="360" w:lineRule="auto"/>
        <w:ind w:firstLine="0"/>
        <w:jc w:val="left"/>
      </w:pPr>
      <w:r>
        <w:rPr>
          <w:rFonts w:ascii="Times New Roman" w:hAnsi="Times New Roman"/>
          <w:b w:val="0"/>
          <w:sz w:val="24"/>
        </w:rPr>
        <w:t>3.1 Chapter overview</w:t>
      </w:r>
    </w:p>
    <w:p>
      <w:pPr>
        <w:spacing w:line="360" w:lineRule="auto"/>
        <w:ind w:firstLine="360"/>
        <w:jc w:val="both"/>
      </w:pPr>
      <w:r>
        <w:rPr>
          <w:rFonts w:ascii="Times New Roman" w:hAnsi="Times New Roman"/>
          <w:b w:val="0"/>
          <w:sz w:val="24"/>
        </w:rPr>
        <w:t>This chapter examines organizational knowledge loss, research on employee transitions, approaches to assessment and knowledge transfer, and the methods used in KnowledgeGuard. It concludes by relating the reviewed evidence to the study’s design and evaluation objectives.</w:t>
      </w:r>
    </w:p>
    <w:p>
      <w:pPr>
        <w:pStyle w:val="Heading2"/>
        <w:spacing w:line="360" w:lineRule="auto"/>
        <w:ind w:firstLine="0"/>
        <w:jc w:val="left"/>
      </w:pPr>
      <w:r>
        <w:rPr>
          <w:rFonts w:ascii="Times New Roman" w:hAnsi="Times New Roman"/>
          <w:b w:val="0"/>
          <w:sz w:val="24"/>
        </w:rPr>
        <w:t>3.2 Domain concepts and theories</w:t>
      </w:r>
    </w:p>
    <w:p>
      <w:pPr>
        <w:spacing w:line="360" w:lineRule="auto"/>
        <w:ind w:firstLine="360"/>
        <w:jc w:val="both"/>
      </w:pPr>
      <w:r>
        <w:rPr>
          <w:rFonts w:ascii="Times New Roman" w:hAnsi="Times New Roman"/>
          <w:b w:val="0"/>
          <w:sz w:val="24"/>
        </w:rPr>
        <w:t>Organizational knowledge includes recorded information and experience used in everyday work. Nonaka distinguishes explicit knowledge, which can be expressed formally, from tacit knowledge, which is closely tied to practice [1]. An organization may retain documents yet lose the contextual understanding needed to resolve unusual cases. Knowledge transfer requires another person to acquire and use relevant knowledge, beyond making material available [2].</w:t>
      </w:r>
    </w:p>
    <w:p>
      <w:pPr>
        <w:spacing w:line="360" w:lineRule="auto"/>
        <w:ind w:firstLine="360"/>
        <w:jc w:val="both"/>
      </w:pPr>
      <w:r>
        <w:rPr>
          <w:rFonts w:ascii="Times New Roman" w:hAnsi="Times New Roman"/>
          <w:b w:val="0"/>
          <w:sz w:val="24"/>
        </w:rPr>
        <w:t>Knowledge-loss exposure may increase when important work depends on one employee, knowledge is difficult to replace, and documentation is incomplete. Durst and Zieba organize knowledge risks across human, technological, and operational concerns [7]. This supports examining the employee’s knowledge together with the work and processes it affects. KnowledgeGuard’s five indicators are prototype operationalizations, not universal measurements whose exact weights are established by those studies.</w:t>
      </w:r>
    </w:p>
    <w:p>
      <w:pPr>
        <w:spacing w:line="360" w:lineRule="auto"/>
        <w:ind w:firstLine="360"/>
        <w:jc w:val="both"/>
      </w:pPr>
      <w:r>
        <w:rPr>
          <w:rFonts w:ascii="Times New Roman" w:hAnsi="Times New Roman"/>
          <w:b w:val="0"/>
          <w:sz w:val="24"/>
        </w:rPr>
        <w:t>A manufacturing case study of departing knowledge workers assessed the likelihood of loss, the critical knowledge areas, and their relevance to future work [8]. This provides a useful comparison with KnowledgeGuard’s emphasis on unique expertise and project consequences. Its authors warn that the framework’s application outside the studied industry requires care; the present indicators therefore remain locally testable definitions, not an adopted universal instrument.</w:t>
      </w:r>
    </w:p>
    <w:p>
      <w:pPr>
        <w:spacing w:line="360" w:lineRule="auto"/>
        <w:ind w:firstLine="360"/>
        <w:jc w:val="both"/>
      </w:pPr>
      <w:r>
        <w:rPr>
          <w:rFonts w:ascii="Times New Roman" w:hAnsi="Times New Roman"/>
          <w:b w:val="0"/>
          <w:sz w:val="24"/>
        </w:rPr>
        <w:t>These distinctions affect the choice of intervention. Written instructions can make explicit knowledge easier to locate, but a receiving employee may also need to observe decisions, ask questions about exceptions, and practise the task. A knowledge-transfer plan should therefore account for both the availability of material and the recipient’s ability to use it. The study treats backup competence as a separate review step instead of assuming that a signed document proves transfer.</w:t>
      </w:r>
    </w:p>
    <w:p>
      <w:pPr>
        <w:spacing w:line="360" w:lineRule="auto"/>
        <w:ind w:firstLine="360"/>
        <w:jc w:val="both"/>
      </w:pPr>
      <w:r>
        <w:rPr>
          <w:rFonts w:ascii="Times New Roman" w:hAnsi="Times New Roman"/>
          <w:b w:val="0"/>
          <w:sz w:val="24"/>
        </w:rPr>
        <w:t>The five indicators describe related but different sources of exposure. Expertise uniqueness asks whether another employee can supply comparable skill; documentation gap concerns the availability of usable records; project criticality concerns the consequences for important work; and collaboration dependency asks how strongly others rely on the knowledge holder. Tenure is a contextual characteristic, not evidence on its own that a person is irreplaceable. Treating these concepts separately makes it possible to explain why two employees receive different priority and which part of a case a transfer plan can plausibly change. These particular definitions are the study’s operational choices and must be assessed in a real organizational setting.</w:t>
      </w:r>
    </w:p>
    <w:p>
      <w:pPr>
        <w:spacing w:line="360" w:lineRule="auto"/>
        <w:ind w:firstLine="360"/>
        <w:jc w:val="both"/>
      </w:pPr>
      <w:r>
        <w:rPr>
          <w:rFonts w:ascii="Times New Roman" w:hAnsi="Times New Roman"/>
          <w:b w:val="0"/>
          <w:sz w:val="24"/>
        </w:rPr>
        <w:t>The selection follows several strands of evidence rather than a published five-factor standard. Research on turnover-related knowledge loss draws attention to the importance and uniqueness of knowledge that may leave with a person [9], [10]. Work on explicit and tacit knowledge explains why incomplete documentation matters [1]. Research on knowledge transfer shows why dependency on people and their ability to pass on work deserve attention [2]. Longitudinal research documents operational consequences when valuable knowledge is lost, supporting consideration of project impact [11]. Tenure provides possible context about experience, but duration of employment alone cannot establish unique or critical expertise. Thus, the literature motivates examining these dimensions; it does not validate this exact five-indicator instrument or its percentages.</w:t>
      </w:r>
    </w:p>
    <w:p>
      <w:pPr>
        <w:spacing w:line="360" w:lineRule="auto"/>
        <w:ind w:firstLine="360"/>
        <w:jc w:val="both"/>
      </w:pPr>
      <w:r>
        <w:rPr>
          <w:rFonts w:ascii="Times New Roman" w:hAnsi="Times New Roman"/>
          <w:b w:val="0"/>
          <w:sz w:val="24"/>
        </w:rPr>
        <w:t>A further distinction is between risk exposure and realized loss. A high score expresses concern under the chosen assessment rules; it is neither a measured probability of resignation nor proof that an organization has lost knowledge. Actual loss and continuity involve observing what happens to work after a transition. Massingham’s longitudinal organizational study examined such impacts using repeated evidence from a single public-sector setting [11]. This makes longitudinal evaluation a valuable comparison for KnowledgeGuard: its generated four-quarter demonstration can exercise the workflow but cannot supply observed organizational outcomes.</w:t>
      </w:r>
    </w:p>
    <w:p>
      <w:pPr>
        <w:spacing w:line="360" w:lineRule="auto"/>
        <w:ind w:firstLine="360"/>
        <w:jc w:val="both"/>
      </w:pPr>
      <w:r>
        <w:rPr>
          <w:rFonts w:ascii="Times New Roman" w:hAnsi="Times New Roman"/>
          <w:b w:val="0"/>
          <w:sz w:val="24"/>
        </w:rPr>
        <w:t>Studies in manufacturing and banking illustrate how work and organizational context affect knowledge retention [6], [8]. Neither provides a universal employee-level scale.</w:t>
      </w:r>
    </w:p>
    <w:p>
      <w:pPr>
        <w:pStyle w:val="Heading2"/>
        <w:spacing w:line="360" w:lineRule="auto"/>
        <w:ind w:firstLine="0"/>
        <w:jc w:val="left"/>
      </w:pPr>
      <w:r>
        <w:rPr>
          <w:rFonts w:ascii="Times New Roman" w:hAnsi="Times New Roman"/>
          <w:b w:val="0"/>
          <w:sz w:val="24"/>
        </w:rPr>
        <w:t>3.3 Existing studies, systems or frameworks</w:t>
      </w:r>
    </w:p>
    <w:p>
      <w:pPr>
        <w:pStyle w:val="Heading3"/>
        <w:spacing w:line="360" w:lineRule="auto"/>
        <w:ind w:firstLine="0"/>
        <w:jc w:val="left"/>
      </w:pPr>
      <w:r>
        <w:rPr>
          <w:rFonts w:ascii="Times New Roman" w:hAnsi="Times New Roman"/>
          <w:b w:val="0"/>
          <w:sz w:val="24"/>
        </w:rPr>
        <w:t>3.3.1 Named systems and a risk framework</w:t>
      </w:r>
    </w:p>
    <w:p>
      <w:pPr>
        <w:spacing w:line="360" w:lineRule="auto"/>
        <w:ind w:firstLine="360"/>
        <w:jc w:val="both"/>
      </w:pPr>
      <w:r>
        <w:rPr>
          <w:rFonts w:ascii="Times New Roman" w:hAnsi="Times New Roman"/>
          <w:b w:val="0"/>
          <w:sz w:val="24"/>
        </w:rPr>
        <w:t>Five named approaches cover different parts of the problem. SharePoint supports collaborative file storage and versioning [12]; Confluence organizes shared pages, attachments, and recorded decisions [13]. ServiceNow Knowledge Management adds configurable workflows and manager approval for publishing knowledge articles [14]. These functions could support documentation and review, but vendor documentation alone cannot establish how a customized employee risk-assessment process would operate in any of these products.</w:t>
      </w:r>
    </w:p>
    <w:p>
      <w:pPr>
        <w:spacing w:line="360" w:lineRule="auto"/>
        <w:ind w:firstLine="360"/>
        <w:jc w:val="both"/>
      </w:pPr>
      <w:r>
        <w:rPr>
          <w:rFonts w:ascii="Times New Roman" w:hAnsi="Times New Roman"/>
          <w:b w:val="0"/>
          <w:sz w:val="24"/>
        </w:rPr>
        <w:t>APQC’s Knowledge Loss Risk Matrix explicitly prioritizes knowledge areas for documentation or transfer [15]. Its detailed matrix is members-only, limiting comparison to the public description. SAP SuccessFactors Career and Talent Development supports identifying potential successors and assessing readiness [16], addressing personnel continuity from a different angle. KnowledgeGuard implements imported employee-level indicators, manager validation, assigned KT activities, backup practice, and score recalculation in one prototype. The comparison describes distinct documented purposes; it is not a hands-on benchmark or a claim of unique functionality.</w:t>
      </w:r>
    </w:p>
    <w:p>
      <w:pPr>
        <w:spacing w:line="360" w:lineRule="auto"/>
        <w:ind w:firstLine="360"/>
        <w:jc w:val="both"/>
      </w:pPr>
      <w:r>
        <w:rPr>
          <w:rFonts w:ascii="Times New Roman" w:hAnsi="Times New Roman"/>
          <w:b w:val="0"/>
          <w:sz w:val="24"/>
        </w:rPr>
        <w:t>The unit of analysis matters in this comparison. APQC describes a knowledge-area prioritization tool, whereas SAP records potential successors to roles. ServiceNow governs an article’s publication state. KnowledgeGuard records an employee assessment, a chosen receiving employee, and progress through transfer tasks. These systems could be combined or configured differently by an organization. No price, speed, accuracy, or completeness comparison was conducted; the table identifies the nearest documented capability and the untested boundary of each comparison.</w:t>
      </w:r>
    </w:p>
    <w:p>
      <w:pPr>
        <w:pStyle w:val="Heading3"/>
        <w:spacing w:line="360" w:lineRule="auto"/>
        <w:ind w:firstLine="0"/>
        <w:jc w:val="left"/>
      </w:pPr>
      <w:r>
        <w:rPr>
          <w:rFonts w:ascii="Times New Roman" w:hAnsi="Times New Roman"/>
          <w:b w:val="0"/>
          <w:sz w:val="24"/>
        </w:rPr>
        <w:t>3.3.2 Assessment tools and response quality</w:t>
      </w:r>
    </w:p>
    <w:p>
      <w:pPr>
        <w:spacing w:line="360" w:lineRule="auto"/>
        <w:ind w:firstLine="360"/>
        <w:jc w:val="both"/>
      </w:pPr>
      <w:r>
        <w:rPr>
          <w:rFonts w:ascii="Times New Roman" w:hAnsi="Times New Roman"/>
          <w:b w:val="0"/>
          <w:sz w:val="24"/>
        </w:rPr>
        <w:t>Survey input quality also matters. Ward and Meade recommend prevention, screening, and transparent reporting when addressing careless responses [17]. Repeating an answer across items may merit review, but does not prove dishonesty or invalidity on its own. The prototype’s low-variation cut-off is a local screening rule, not an established diagnostic test for employee honesty.</w:t>
      </w:r>
    </w:p>
    <w:p>
      <w:pPr>
        <w:pStyle w:val="Heading3"/>
        <w:spacing w:line="360" w:lineRule="auto"/>
        <w:ind w:firstLine="0"/>
        <w:jc w:val="left"/>
      </w:pPr>
      <w:r>
        <w:rPr>
          <w:rFonts w:ascii="Times New Roman" w:hAnsi="Times New Roman"/>
          <w:b w:val="0"/>
          <w:sz w:val="24"/>
        </w:rPr>
        <w:t>3.3.3 Evidence on loss and transfer</w:t>
      </w:r>
    </w:p>
    <w:p>
      <w:pPr>
        <w:spacing w:line="360" w:lineRule="auto"/>
        <w:ind w:firstLine="360"/>
        <w:jc w:val="both"/>
      </w:pPr>
      <w:r>
        <w:rPr>
          <w:rFonts w:ascii="Times New Roman" w:hAnsi="Times New Roman"/>
          <w:b w:val="0"/>
          <w:sz w:val="24"/>
        </w:rPr>
        <w:t>Galan reviewed 91 empirical studies of knowledge loss associated with organizational member turnover [9]. The synthesis shows that effects depend on characteristics of departing members and on the knowledge they take with them. This supports assessing particular knowledge dependencies instead of assigning equal risk to all transitions, although it does not validate KnowledgeGuard’s indicator weights.</w:t>
      </w:r>
    </w:p>
    <w:p>
      <w:pPr>
        <w:spacing w:line="360" w:lineRule="auto"/>
        <w:ind w:firstLine="360"/>
        <w:jc w:val="both"/>
      </w:pPr>
      <w:r>
        <w:rPr>
          <w:rFonts w:ascii="Times New Roman" w:hAnsi="Times New Roman"/>
          <w:b w:val="0"/>
          <w:sz w:val="24"/>
        </w:rPr>
        <w:t>In the second part of that review, identification of vulnerable knowledge is linked to preventive and coping measures [10]. Igoa-Iraola and Díez survey transfer procedures during generational change [18]. These studies help select possible transfer activities and motivate testing the proposed workflow; they do not establish that KnowledgeGuard’s five-task sequence is effective in another workplace.</w:t>
      </w:r>
    </w:p>
    <w:p>
      <w:pPr>
        <w:spacing w:line="360" w:lineRule="auto"/>
        <w:ind w:firstLine="360"/>
        <w:jc w:val="both"/>
      </w:pPr>
      <w:r>
        <w:rPr>
          <w:rFonts w:ascii="Times New Roman" w:hAnsi="Times New Roman"/>
          <w:b w:val="0"/>
          <w:sz w:val="24"/>
        </w:rPr>
        <w:t>Biron, Turgeman-Lupo, and Zaid-Dominik examined matched responses from 81 retiring employees, supervisors, and successors before and after departure [19]. They found a positive association between knowledge-continuity behaviour and usefulness of received knowledge, particularly with more transformational supervisors. Their study supports involving managers and successors in a transfer process. It also shows why recording completion is different from measuring whether a successor can use knowledge later.</w:t>
      </w:r>
    </w:p>
    <w:p>
      <w:pPr>
        <w:spacing w:line="360" w:lineRule="auto"/>
        <w:ind w:firstLine="360"/>
        <w:jc w:val="both"/>
      </w:pPr>
      <w:r>
        <w:rPr>
          <w:rFonts w:ascii="Times New Roman" w:hAnsi="Times New Roman"/>
          <w:b w:val="0"/>
          <w:sz w:val="24"/>
        </w:rPr>
        <w:t>Iftikhar and Rashid studied three Pakistani public-transport projects through interviews and project documents and identified time pressure, weak personal knowledge sharing, and memory decay among contributors to loss [4]. Their reported retention practices include externalization and job shadowing, which support a two-person transfer activity alongside documentation. Sumbal and colleagues interviewed managers in Pakistani banks and identified social and organizational contextual factors [6]. Their banking findings warn against assuming that a process tested with generated records will transfer unchanged to every workplace.</w:t>
      </w:r>
    </w:p>
    <w:p>
      <w:pPr>
        <w:spacing w:line="360" w:lineRule="auto"/>
        <w:ind w:firstLine="360"/>
        <w:jc w:val="both"/>
      </w:pPr>
      <w:r>
        <w:rPr>
          <w:rFonts w:ascii="Times New Roman" w:hAnsi="Times New Roman"/>
          <w:b w:val="0"/>
          <w:sz w:val="24"/>
        </w:rPr>
        <w:t>Daghfous and colleagues find that knowledge-loss research often emphasizes mitigation after loss starts [3]. This supports early attention but offers no validated weights for KnowledgeGuard. Transfer research identifies observation, practice, and recipient involvement alongside documentation [19], [18]. A repository alone cannot demonstrate that a backup can perform the work, so the prototype includes a competence review. Its five-stage sequence still needs evaluation in a real organization.</w:t>
      </w:r>
    </w:p>
    <w:p>
      <w:pPr>
        <w:pStyle w:val="Heading3"/>
        <w:spacing w:line="360" w:lineRule="auto"/>
        <w:ind w:firstLine="0"/>
        <w:jc w:val="left"/>
      </w:pPr>
      <w:r>
        <w:rPr>
          <w:rFonts w:ascii="Times New Roman" w:hAnsi="Times New Roman"/>
          <w:b w:val="0"/>
          <w:sz w:val="24"/>
        </w:rPr>
        <w:t>3.3.4 Comparative synthesis</w:t>
      </w:r>
    </w:p>
    <w:p>
      <w:pPr>
        <w:spacing w:line="360" w:lineRule="auto"/>
        <w:ind w:firstLine="360"/>
        <w:jc w:val="both"/>
      </w:pPr>
      <w:r>
        <w:rPr>
          <w:rFonts w:ascii="Times New Roman" w:hAnsi="Times New Roman"/>
          <w:b w:val="0"/>
          <w:sz w:val="24"/>
        </w:rPr>
        <w:t>The reviewed evidence serves different purposes: syntheses identify patterns [9], [18]; cases show local practices [4], [6]; longitudinal work examines change [11]. None converts a generated quarterly test sequence into observed organizational results.</w:t>
      </w:r>
    </w:p>
    <w:p>
      <w:pPr>
        <w:spacing w:line="360" w:lineRule="auto"/>
        <w:ind w:firstLine="360"/>
        <w:jc w:val="both"/>
      </w:pPr>
      <w:r>
        <w:rPr>
          <w:rFonts w:ascii="Times New Roman" w:hAnsi="Times New Roman"/>
          <w:b w:val="0"/>
          <w:sz w:val="24"/>
        </w:rPr>
        <w:t>Longitudinal observation can examine actual consequences [11], and successor research supports assessing usefulness to a recipient [19]. The prototype currently checks recorded workflow and scores. Table 3.1 compares named approaches by documented or implemented scope, without claiming a product benchmark.</w:t>
      </w:r>
    </w:p>
    <w:p>
      <w:pPr>
        <w:spacing w:line="360" w:lineRule="auto"/>
        <w:ind w:firstLine="360"/>
        <w:jc w:val="both"/>
      </w:pPr>
      <w:r>
        <w:rPr>
          <w:rFonts w:ascii="Times New Roman" w:hAnsi="Times New Roman"/>
          <w:b w:val="0"/>
          <w:sz w:val="24"/>
        </w:rPr>
        <w:t>A defensible comparison thus has two levels. At the functional level, the prototype can be checked for importing scores, enforcing its eligibility rule, and recording manager-reviewed tasks. At the outcome level, one would need organizational measures such as successful backup task completion after a transition, repeated assessments, and the quality of documentation in use. None of the cited product descriptions supplies those outcome observations for this project.</w:t>
      </w:r>
    </w:p>
    <w:p>
      <w:pPr>
        <w:pStyle w:val="KGCaption"/>
        <w:ind w:firstLine="0"/>
        <w:jc w:val="left"/>
      </w:pPr>
      <w:r>
        <w:rPr>
          <w:rFonts w:ascii="Times New Roman" w:hAnsi="Times New Roman"/>
          <w:sz w:val="24"/>
        </w:rPr>
        <w:t>Table 3.1: Named systems and frameworks compared with KnowledgeGuard</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Example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Documented or implemented focus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Relationship to this study</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SharePoint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Collaborative file storage and versioning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Possible home for KT documents; no product test conducted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Confluence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Organized pages, attachments and decisions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Possible home for KT notes; no product test conducted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ServiceNow KM</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Article approval and publishing workflows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Related manager approval; different assessed object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APQC matrix</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Prioritizes knowledge areas exposed to loss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Comparable prioritization idea; detailed matrix unavailable publicly</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SAP SuccessFactors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Successor planning and readiness insights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Related backup planning; product not tested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KnowledgeGuard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Employee indicator assessment and reviewed KT tasks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Integrated workflow implemented; organizational impact unvalidated</w:t>
            </w:r>
          </w:p>
        </w:tc>
      </w:tr>
    </w:tbl>
    <w:p>
      <w:pPr>
        <w:spacing w:after="60"/>
      </w:pPr>
    </w:p>
    <w:p>
      <w:pPr>
        <w:pStyle w:val="KGCaption"/>
        <w:ind w:firstLine="0"/>
        <w:jc w:val="left"/>
      </w:pPr>
      <w:r>
        <w:rPr>
          <w:rFonts w:ascii="Times New Roman" w:hAnsi="Times New Roman"/>
          <w:sz w:val="24"/>
        </w:rPr>
        <w:t>Table 3.2: How the reviewed evidence informs the design</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Useful finding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Boundary for KnowledgeGuard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Galan (2023) reviews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Turnover can remove valuable personal knowledge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Does not validate the five weights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Massingham (2018)</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Observed impact can be examined over time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Generated quarters are not field observations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Igoa-Iraola and Díez (2024)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Transfer calls for procedures and receiving staff</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 proof that these exact five tasks work</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Biron and colleagues (2024)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Successor and supervisor participation matters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Sign-off cannot prove lasting competence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Ward and Meade (2023)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Survey quality benefits from screening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Low variation is a review flag, not proof of bias</w:t>
            </w:r>
          </w:p>
        </w:tc>
      </w:tr>
    </w:tbl>
    <w:p>
      <w:pPr>
        <w:spacing w:after="60"/>
      </w:pPr>
    </w:p>
    <w:p>
      <w:pPr>
        <w:pStyle w:val="Heading2"/>
        <w:spacing w:line="360" w:lineRule="auto"/>
        <w:ind w:firstLine="0"/>
        <w:jc w:val="left"/>
      </w:pPr>
      <w:r>
        <w:rPr>
          <w:rFonts w:ascii="Times New Roman" w:hAnsi="Times New Roman"/>
          <w:b w:val="0"/>
          <w:sz w:val="24"/>
        </w:rPr>
        <w:t>3.4 Technical approaches</w:t>
      </w:r>
    </w:p>
    <w:p>
      <w:pPr>
        <w:pStyle w:val="Heading3"/>
        <w:spacing w:line="360" w:lineRule="auto"/>
        <w:ind w:firstLine="0"/>
        <w:jc w:val="left"/>
      </w:pPr>
      <w:r>
        <w:rPr>
          <w:rFonts w:ascii="Times New Roman" w:hAnsi="Times New Roman"/>
          <w:b w:val="0"/>
          <w:sz w:val="24"/>
        </w:rPr>
        <w:t>3.4.1 Weighted assessment and expert calibration</w:t>
      </w:r>
    </w:p>
    <w:p>
      <w:pPr>
        <w:spacing w:line="360" w:lineRule="auto"/>
        <w:ind w:firstLine="360"/>
        <w:jc w:val="both"/>
      </w:pPr>
      <w:r>
        <w:rPr>
          <w:rFonts w:ascii="Times New Roman" w:hAnsi="Times New Roman"/>
          <w:b w:val="0"/>
          <w:sz w:val="24"/>
        </w:rPr>
        <w:t>A weighted indicator formula is transparent but depends on the relevance of selected variables and weights. KnowledgeGuard starts with predefined weights. Saaty’s Analytic Hierarchy Process (AHP) offers pairwise comparisons to derive proposed priorities and a consistency check for those judgements [20]. In this project, AHP concerns possible weight calibration rather than being recalculated for each employee. The interface blocks submission of an inconsistent matrix, and the supplied backend route recalculates consistency from the submitted matrix before applying new weights. A rejected request leaves the weights already configured in place.</w:t>
      </w:r>
    </w:p>
    <w:p>
      <w:pPr>
        <w:spacing w:line="360" w:lineRule="auto"/>
        <w:ind w:firstLine="360"/>
        <w:jc w:val="both"/>
      </w:pPr>
      <w:r>
        <w:rPr>
          <w:rFonts w:ascii="Times New Roman" w:hAnsi="Times New Roman"/>
          <w:b w:val="0"/>
          <w:sz w:val="24"/>
        </w:rPr>
        <w:t>Other multicriteria techniques can order alternatives once criteria and preferences have been specified, but that is a different question from how these five criteria were weighted. AHP is suitable here because it asks experts to compare criteria in pairs and tests whether the resulting judgements meet a stated consistency rule [20]. The fixed weights still require justification as design assumptions. A consistency ratio assesses the internal coherence of pairwise judgements; even a ratio below the threshold would not by itself establish that the selected weights predict organizational outcomes.</w:t>
      </w:r>
    </w:p>
    <w:p>
      <w:pPr>
        <w:pStyle w:val="Heading3"/>
        <w:spacing w:line="360" w:lineRule="auto"/>
        <w:ind w:firstLine="0"/>
        <w:jc w:val="left"/>
      </w:pPr>
      <w:r>
        <w:rPr>
          <w:rFonts w:ascii="Times New Roman" w:hAnsi="Times New Roman"/>
          <w:b w:val="0"/>
          <w:sz w:val="24"/>
        </w:rPr>
        <w:t>3.4.2 Supporting machine learning</w:t>
      </w:r>
    </w:p>
    <w:p>
      <w:pPr>
        <w:spacing w:line="360" w:lineRule="auto"/>
        <w:ind w:firstLine="360"/>
        <w:jc w:val="both"/>
      </w:pPr>
      <w:r>
        <w:rPr>
          <w:rFonts w:ascii="Times New Roman" w:hAnsi="Times New Roman"/>
          <w:b w:val="0"/>
          <w:sz w:val="24"/>
        </w:rPr>
        <w:t>Breiman’s Random Forest combines decision trees to make predictions [21]. KnowledgeGuard uses a Random Forest classifier as a supporting component for structured indicator data. In the supplied implementation, default training profiles are synthetic and their risk-tier labels are derived from the baseline formula. A model evaluated against these labels measures reproduction of configured patterns; it does not independently predict organizational knowledge loss.</w:t>
      </w:r>
    </w:p>
    <w:p>
      <w:pPr>
        <w:spacing w:line="360" w:lineRule="auto"/>
        <w:ind w:firstLine="360"/>
        <w:jc w:val="both"/>
      </w:pPr>
      <w:r>
        <w:rPr>
          <w:rFonts w:ascii="Times New Roman" w:hAnsi="Times New Roman"/>
          <w:b w:val="0"/>
          <w:sz w:val="24"/>
        </w:rPr>
        <w:t>This limitation matters when interpreting apparently strong classification metrics. A classifier trained on labels calculated from the same five inputs may learn to reproduce the rule used to generate those labels. It has not thereby discovered an independent relationship between those inputs and employee departure, service disruption, or retained expertise. Assessment of predictive validity would require separately observed, appropriately labelled organizational outcomes and a defensible evaluation split.</w:t>
      </w:r>
    </w:p>
    <w:p>
      <w:pPr>
        <w:spacing w:line="360" w:lineRule="auto"/>
        <w:ind w:firstLine="360"/>
        <w:jc w:val="both"/>
      </w:pPr>
      <w:r>
        <w:rPr>
          <w:rFonts w:ascii="Times New Roman" w:hAnsi="Times New Roman"/>
          <w:b w:val="0"/>
          <w:sz w:val="24"/>
        </w:rPr>
        <w:t>Isolation Forest identifies observations that are relatively easy to isolate from others [22]. KnowledgeGuard exposes it for anomaly analysis on submitted histories of risk scores. An unusual pattern prompts review; it does not identify the cause of the change. Detection of low-variation answers within a questionnaire is a separate statistical check.</w:t>
      </w:r>
    </w:p>
    <w:p>
      <w:pPr>
        <w:spacing w:line="360" w:lineRule="auto"/>
        <w:ind w:firstLine="360"/>
        <w:jc w:val="both"/>
      </w:pPr>
      <w:r>
        <w:rPr>
          <w:rFonts w:ascii="Times New Roman" w:hAnsi="Times New Roman"/>
          <w:b w:val="0"/>
          <w:sz w:val="24"/>
        </w:rPr>
        <w:t>The Node.js quality check examines responses within one survey [17]; the weighted formula summarizes the five indicators; the classifier supplies a supporting output; and Isolation Forest checks score history. A low-variation survey and an unusual historical risk score therefore call for different kinds of review.</w:t>
      </w:r>
    </w:p>
    <w:p>
      <w:pPr>
        <w:pStyle w:val="Heading3"/>
        <w:spacing w:line="360" w:lineRule="auto"/>
        <w:ind w:firstLine="0"/>
        <w:jc w:val="left"/>
      </w:pPr>
      <w:r>
        <w:rPr>
          <w:rFonts w:ascii="Times New Roman" w:hAnsi="Times New Roman"/>
          <w:b w:val="0"/>
          <w:sz w:val="24"/>
        </w:rPr>
        <w:t>3.4.3 Knowledge transfer and artefact evaluation</w:t>
      </w:r>
    </w:p>
    <w:p>
      <w:pPr>
        <w:spacing w:line="360" w:lineRule="auto"/>
        <w:ind w:firstLine="360"/>
        <w:jc w:val="both"/>
      </w:pPr>
      <w:r>
        <w:rPr>
          <w:rFonts w:ascii="Times New Roman" w:hAnsi="Times New Roman"/>
          <w:b w:val="0"/>
          <w:sz w:val="24"/>
        </w:rPr>
        <w:t>KnowledgeGuard uses generative AI to suggest structured interview questions that can prompt discussion of practical knowledge. A knowledge-management framework proposes generative AI as an aid to acquiring and sharing knowledge but identifies privacy and sector-specific limits [23]. Its manufacturing scenarios are not evidence that KnowledgeGuard’s generated questions are accurate in another domain. Interview prompts are discussion aids: participants conduct the transfer and the manager assesses the backup. An approved task is a workflow record rather than independent evidence of lasting retention.</w:t>
      </w:r>
    </w:p>
    <w:p>
      <w:pPr>
        <w:spacing w:line="360" w:lineRule="auto"/>
        <w:ind w:firstLine="360"/>
        <w:jc w:val="both"/>
      </w:pPr>
      <w:r>
        <w:rPr>
          <w:rFonts w:ascii="Times New Roman" w:hAnsi="Times New Roman"/>
          <w:b w:val="0"/>
          <w:sz w:val="24"/>
        </w:rPr>
        <w:t>The KT stages combine explicit documentation with shadowing, an interview, and backup practice [1], [2], [18]. Manager sign-off documents workflow completion; the quality and durability of transferred knowledge still require field evaluation.</w:t>
      </w:r>
    </w:p>
    <w:p>
      <w:pPr>
        <w:spacing w:line="360" w:lineRule="auto"/>
        <w:ind w:firstLine="360"/>
        <w:jc w:val="both"/>
      </w:pPr>
      <w:r>
        <w:rPr>
          <w:rFonts w:ascii="Times New Roman" w:hAnsi="Times New Roman"/>
          <w:b w:val="0"/>
          <w:sz w:val="24"/>
        </w:rPr>
        <w:t>Research on generational knowledge transfer supports observation and interaction between knowledge holders and recipients [18]. KnowledgeGuard’s shadowing and interview stages respond to that need, but a digital confirmation cannot determine whether the interaction conveyed enough knowledge. The validation task supplies a closer test of backup capability, still limited to the observed practice run.</w:t>
      </w:r>
    </w:p>
    <w:p>
      <w:pPr>
        <w:spacing w:line="360" w:lineRule="auto"/>
        <w:ind w:firstLine="360"/>
        <w:jc w:val="both"/>
      </w:pPr>
      <w:r>
        <w:rPr>
          <w:rFonts w:ascii="Times New Roman" w:hAnsi="Times New Roman"/>
          <w:b w:val="0"/>
          <w:sz w:val="24"/>
        </w:rPr>
        <w:t>Design science evaluation considers the performance of a developed artefact against its problem [5]. Brooke’s ten-item System Usability Scale (SUS) measures perceived usability [24]. Davis’s Technology Acceptance Model (TAM) addresses perceived usefulness and ease of use as acceptance-related constructs [25]. These instruments complement functional tests, but responses from a small evaluation group cannot establish organization-wide acceptance or actual mitigation.</w:t>
      </w:r>
    </w:p>
    <w:p>
      <w:pPr>
        <w:spacing w:line="360" w:lineRule="auto"/>
        <w:ind w:firstLine="360"/>
        <w:jc w:val="both"/>
      </w:pPr>
      <w:r>
        <w:rPr>
          <w:rFonts w:ascii="Times New Roman" w:hAnsi="Times New Roman"/>
          <w:b w:val="0"/>
          <w:sz w:val="24"/>
        </w:rPr>
        <w:t>Design science emphasizes evaluation of an artefact in relation to its stated problem [5]. This guides the separation of Chapter 4’s methods from Chapter 5’s observed outputs. The mean SUS result from ten evaluators is presented descriptively without a population-level usability claim.</w:t>
      </w:r>
    </w:p>
    <w:p>
      <w:pPr>
        <w:pStyle w:val="Heading2"/>
        <w:spacing w:line="360" w:lineRule="auto"/>
        <w:ind w:firstLine="0"/>
        <w:jc w:val="left"/>
      </w:pPr>
      <w:r>
        <w:rPr>
          <w:rFonts w:ascii="Times New Roman" w:hAnsi="Times New Roman"/>
          <w:b w:val="0"/>
          <w:sz w:val="24"/>
        </w:rPr>
        <w:t>3.5 Research gap and implications for this work</w:t>
      </w:r>
    </w:p>
    <w:p>
      <w:pPr>
        <w:spacing w:line="360" w:lineRule="auto"/>
        <w:ind w:firstLine="360"/>
        <w:jc w:val="both"/>
      </w:pPr>
      <w:r>
        <w:rPr>
          <w:rFonts w:ascii="Times New Roman" w:hAnsi="Times New Roman"/>
          <w:b w:val="0"/>
          <w:sz w:val="24"/>
        </w:rPr>
        <w:t>The literature indicates that individual knowledge dependencies warrant assessment [1], [7], [9]; response quality and weighting require explicit choices [17], [20]; and transfer needs recipients, context, and review [2], [19]. Existing categories of tool contribute separate capabilities. This study investigates their integration within one prototype that connects assessment, manager review, and knowledge-transfer activity.</w:t>
      </w:r>
    </w:p>
    <w:p>
      <w:pPr>
        <w:spacing w:line="360" w:lineRule="auto"/>
        <w:ind w:firstLine="360"/>
        <w:jc w:val="both"/>
      </w:pPr>
      <w:r>
        <w:rPr>
          <w:rFonts w:ascii="Times New Roman" w:hAnsi="Times New Roman"/>
          <w:b w:val="0"/>
          <w:sz w:val="24"/>
        </w:rPr>
        <w:t>The reviewed work does not provide one established, externally validated set of weights for KnowledgeGuard’s exact five indicators, nor does it establish that a prototype score change after task approval equals retained organizational knowledge. These are therefore limits of the contribution, not gaps filled simply by adding machine learning. The present study asks whether an integrated workflow can be built and used in the available evaluation setting. Field calibration of weights, independent outcome labels, and observation of backups over several assessments remain necessary to test effectiveness.</w:t>
      </w:r>
    </w:p>
    <w:p>
      <w:pPr>
        <w:pStyle w:val="Heading2"/>
        <w:spacing w:line="360" w:lineRule="auto"/>
        <w:ind w:firstLine="0"/>
        <w:jc w:val="left"/>
      </w:pPr>
      <w:r>
        <w:rPr>
          <w:rFonts w:ascii="Times New Roman" w:hAnsi="Times New Roman"/>
          <w:b w:val="0"/>
          <w:sz w:val="24"/>
        </w:rPr>
        <w:t>3.6 Chapter summary</w:t>
      </w:r>
    </w:p>
    <w:p>
      <w:pPr>
        <w:spacing w:line="360" w:lineRule="auto"/>
        <w:ind w:firstLine="360"/>
        <w:jc w:val="both"/>
      </w:pPr>
      <w:r>
        <w:rPr>
          <w:rFonts w:ascii="Times New Roman" w:hAnsi="Times New Roman"/>
          <w:b w:val="0"/>
          <w:sz w:val="24"/>
        </w:rPr>
        <w:t>This chapter established the conceptual basis for employee-level knowledge-loss assessment, reviewed supporting analytical and evaluation methods, and situated KnowledgeGuard’s contribution as integration of assessment and reviewed action. Chapter 4 explains how the system was designed, implemented, and evaluated within the available test setting.</w:t>
      </w:r>
    </w:p>
    <w:p>
      <w:r>
        <w:br w:type="page"/>
      </w:r>
    </w:p>
    <w:p>
      <w:pPr>
        <w:pStyle w:val="Heading1"/>
        <w:spacing w:line="360" w:lineRule="auto"/>
        <w:ind w:firstLine="0"/>
        <w:jc w:val="left"/>
      </w:pPr>
      <w:r>
        <w:rPr>
          <w:rFonts w:ascii="Times New Roman" w:hAnsi="Times New Roman"/>
          <w:b w:val="0"/>
          <w:sz w:val="24"/>
        </w:rPr>
        <w:t>4 METHODOLOGY</w:t>
      </w:r>
    </w:p>
    <w:p>
      <w:pPr>
        <w:pStyle w:val="Heading2"/>
        <w:spacing w:line="360" w:lineRule="auto"/>
        <w:ind w:firstLine="0"/>
        <w:jc w:val="left"/>
      </w:pPr>
      <w:r>
        <w:rPr>
          <w:rFonts w:ascii="Times New Roman" w:hAnsi="Times New Roman"/>
          <w:b w:val="0"/>
          <w:sz w:val="24"/>
        </w:rPr>
        <w:t>4.1 Research design</w:t>
      </w:r>
    </w:p>
    <w:p>
      <w:pPr>
        <w:spacing w:line="360" w:lineRule="auto"/>
        <w:ind w:firstLine="360"/>
        <w:jc w:val="both"/>
      </w:pPr>
      <w:r>
        <w:rPr>
          <w:rFonts w:ascii="Times New Roman" w:hAnsi="Times New Roman"/>
          <w:b w:val="0"/>
          <w:sz w:val="24"/>
        </w:rP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pPr>
        <w:spacing w:line="360" w:lineRule="auto"/>
        <w:ind w:firstLine="360"/>
        <w:jc w:val="both"/>
      </w:pPr>
      <w:r>
        <w:rPr>
          <w:rFonts w:ascii="Times New Roman" w:hAnsi="Times New Roman"/>
          <w:b w:val="0"/>
          <w:sz w:val="24"/>
        </w:rP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pPr>
        <w:pStyle w:val="Heading2"/>
        <w:spacing w:line="360" w:lineRule="auto"/>
        <w:ind w:firstLine="0"/>
        <w:jc w:val="left"/>
      </w:pPr>
      <w:r>
        <w:rPr>
          <w:rFonts w:ascii="Times New Roman" w:hAnsi="Times New Roman"/>
          <w:b w:val="0"/>
          <w:sz w:val="24"/>
        </w:rPr>
        <w:t>4.2 Data, participants and stakeholders</w:t>
      </w:r>
    </w:p>
    <w:p>
      <w:pPr>
        <w:spacing w:line="360" w:lineRule="auto"/>
        <w:ind w:firstLine="360"/>
        <w:jc w:val="both"/>
      </w:pPr>
      <w:r>
        <w:rPr>
          <w:rFonts w:ascii="Times New Roman" w:hAnsi="Times New Roman"/>
          <w:b w:val="0"/>
          <w:sz w:val="24"/>
        </w:rPr>
        <w:t>Three kinds of input were used. First, a supplied Q1 CSV file contained 30 test assessment rows with ten questionnaire items per row. Generated assessment records across Q1–Q4 were also used to demonstrate quarterly imports, changing scores, and workflow behaviour. These records were created for testing, not observed repeatedly in an organization. The Q1 questionnaire covered backup coverage, difficulty of transferring work, documentation, work criticality, and dependency, with direct and reverse-worded items. Tenure was calculated separately from the employee start date stored in the application. The real Q1 responses planned for collection are outside the present dataset and are not reported as findings.</w:t>
      </w:r>
    </w:p>
    <w:p>
      <w:pPr>
        <w:spacing w:line="360" w:lineRule="auto"/>
        <w:ind w:firstLine="360"/>
        <w:jc w:val="both"/>
      </w:pPr>
      <w:r>
        <w:rPr>
          <w:rFonts w:ascii="Times New Roman" w:hAnsi="Times New Roman"/>
          <w:b w:val="0"/>
          <w:sz w:val="24"/>
        </w:rPr>
        <w:t>The quarterly records were constructed as demonstration scenarios, so their sequence is not a prospective cohort. Even if a newly collected Q1 file becomes available later, it must be described separately from these generated rows, with its actual collection and consent procedures recorded. The later generated quarters cannot be treated as follow-up measurements of those real respondents.</w:t>
      </w:r>
    </w:p>
    <w:p>
      <w:pPr>
        <w:spacing w:line="360" w:lineRule="auto"/>
        <w:ind w:firstLine="360"/>
        <w:jc w:val="both"/>
      </w:pPr>
      <w:r>
        <w:rPr>
          <w:rFonts w:ascii="Times New Roman" w:hAnsi="Times New Roman"/>
          <w:b w:val="0"/>
          <w:sz w:val="24"/>
        </w:rPr>
        <w:t>Second, a pairwise-comparison questionnaire supplied ten responses for examining the relative importance of the five indicators. Third, a system-evaluation questionnaire supplied ten responses to the System Usability Scale (SUS) items and acceptance items. These two groups of responses serve different purposes; this study does not assume that they represent the same ten people or a probability sample of organizational employees. No verified recruitment record or partner-organization sampling frame was supplied. The findings must therefore be described as responses from the available evaluators, without claims of representativeness.</w:t>
      </w:r>
    </w:p>
    <w:p>
      <w:pPr>
        <w:pStyle w:val="KGCaption"/>
        <w:ind w:firstLine="0"/>
        <w:jc w:val="left"/>
      </w:pPr>
      <w:r>
        <w:rPr>
          <w:rFonts w:ascii="Times New Roman" w:hAnsi="Times New Roman"/>
          <w:sz w:val="24"/>
        </w:rPr>
        <w:t>Table 4.1: Data sources and permitted interpretation</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Source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Quantity or period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Purpose and status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Q1 assessment CSV</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30 test rows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Generated test input for mapping and scores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Quarterly assessment scenarios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Q1–Q4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Generated sequence for workflow demonstration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Expert pairwise comparisons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 collected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AHP consistency and proposed weights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System-evaluation forms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 collected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Descriptive SUS and acceptance ratings</w:t>
            </w:r>
          </w:p>
        </w:tc>
      </w:tr>
    </w:tbl>
    <w:p>
      <w:pPr>
        <w:spacing w:after="60"/>
      </w:pPr>
    </w:p>
    <w:p>
      <w:pPr>
        <w:spacing w:line="360" w:lineRule="auto"/>
        <w:ind w:firstLine="360"/>
        <w:jc w:val="both"/>
      </w:pPr>
      <w:r>
        <w:rPr>
          <w:rFonts w:ascii="Times New Roman" w:hAnsi="Times New Roman"/>
          <w:b w:val="0"/>
          <w:sz w:val="24"/>
        </w:rPr>
        <w:t>The intended application stakeholders were employees providing assessment information, managers validating cases and overseeing transfer, HR or research staff inspecting results, and a nominated backup employee participating in transfer. Their application roles are distinct from the contributors to the two research questionnaires. Source CSV files, question wording, and an appropriately de-identified account of the evaluation instruments can be placed in the appendices so that the analysis can be followed without publishing personal identifiers.</w:t>
      </w:r>
    </w:p>
    <w:p>
      <w:pPr>
        <w:pStyle w:val="KGCaption"/>
        <w:ind w:firstLine="0"/>
        <w:jc w:val="left"/>
      </w:pPr>
      <w:r>
        <w:rPr>
          <w:rFonts w:ascii="Times New Roman" w:hAnsi="Times New Roman"/>
          <w:sz w:val="24"/>
        </w:rPr>
        <w:t>Table 4.2: Stakeholders and their role in the workflow</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Actor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Main responsibility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or decision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Employee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Provide assessment answers and knowledge resources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responses and task submissions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Manager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Validate risk and assess backup competence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Validated scores, approvals and sign-off</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Backup employee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Observe, discuss and practise the work</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Confirmations and practice evidence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HR or research user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Import responses and review risk information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Assessment records and dashboard summaries</w:t>
            </w:r>
          </w:p>
        </w:tc>
      </w:tr>
    </w:tbl>
    <w:p>
      <w:pPr>
        <w:spacing w:after="60"/>
      </w:pPr>
    </w:p>
    <w:p>
      <w:pPr>
        <w:pStyle w:val="Heading2"/>
        <w:spacing w:line="360" w:lineRule="auto"/>
        <w:ind w:firstLine="0"/>
        <w:jc w:val="left"/>
      </w:pPr>
      <w:r>
        <w:rPr>
          <w:rFonts w:ascii="Times New Roman" w:hAnsi="Times New Roman"/>
          <w:b w:val="0"/>
          <w:sz w:val="24"/>
        </w:rPr>
        <w:t>4.3 Requirements and analysis</w:t>
      </w:r>
    </w:p>
    <w:p>
      <w:pPr>
        <w:spacing w:line="360" w:lineRule="auto"/>
        <w:ind w:firstLine="360"/>
        <w:jc w:val="both"/>
      </w:pPr>
      <w:r>
        <w:rPr>
          <w:rFonts w:ascii="Times New Roman" w:hAnsi="Times New Roman"/>
          <w:b w:val="0"/>
          <w:sz w:val="24"/>
        </w:rP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user interface disables application when the calculated consistency ratio is not acceptable. Equivalent server-side enforcement should be completed before production deployment.</w:t>
      </w:r>
    </w:p>
    <w:p>
      <w:pPr>
        <w:spacing w:line="360" w:lineRule="auto"/>
        <w:ind w:firstLine="360"/>
        <w:jc w:val="both"/>
      </w:pPr>
      <w:r>
        <w:rPr>
          <w:rFonts w:ascii="Times New Roman" w:hAnsi="Times New Roman"/>
          <w:b w:val="0"/>
          <w:sz w:val="24"/>
        </w:rPr>
        <w:t>The intervention requirements were to restrict creation of a knowledge-transfer (KT) plan to high- or critical-risk holders, nominate a viable backup, record evidence and confirmations, assess backup competence, and require final approval before recalculating risk. The implementation checks that the knowledge holder and backup are distinct employee accounts, that the assigned manager’s team restriction applies, and that a backup already classified as high or critical is not selected. Where no backup score exists, the present implementation does not treat the absence of a score as a high-risk classification; this is a limitation of the check rather than proof of backup suitability.</w:t>
      </w:r>
    </w:p>
    <w:p>
      <w:pPr>
        <w:spacing w:line="360" w:lineRule="auto"/>
        <w:ind w:firstLine="360"/>
        <w:jc w:val="both"/>
      </w:pPr>
      <w:r>
        <w:rPr>
          <w:rFonts w:ascii="Times New Roman" w:hAnsi="Times New Roman"/>
          <w:b w:val="0"/>
          <w:sz w:val="24"/>
        </w:rP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pPr>
        <w:spacing w:line="360" w:lineRule="auto"/>
        <w:ind w:firstLine="360"/>
        <w:jc w:val="both"/>
      </w:pPr>
      <w:r>
        <w:rPr>
          <w:rFonts w:ascii="Times New Roman" w:hAnsi="Times New Roman"/>
          <w:b w:val="0"/>
          <w:sz w:val="24"/>
        </w:rP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pPr>
        <w:pStyle w:val="KGCaption"/>
        <w:ind w:firstLine="0"/>
        <w:jc w:val="left"/>
      </w:pPr>
      <w:r>
        <w:rPr>
          <w:rFonts w:ascii="Times New Roman" w:hAnsi="Times New Roman"/>
          <w:sz w:val="24"/>
        </w:rPr>
        <w:t>Table 4.3: Key requirements and observable checks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Requirement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Intended behaviour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Proposed check</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R1 Assessment import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 CSV answers to four indicators; derive tenure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Inspect mapped row and formula</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R2 Manager review</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Record validated input and combine three scores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Recalculate a known example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R3 Weight control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Reject inconsistent comparisons in UI and API</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Check disabled Apply action and API 400; confirm settings unchanged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R4 KT eligibility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Allow high or critical holder and viable backup</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Try eligible and ineligible cases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R5 KT completion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Require evidence, confirmations and competence review</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Attempt premature sign-off</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R6 Service resilience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Retain scoring when ML request fails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Simulate service unavailability</w:t>
            </w:r>
          </w:p>
        </w:tc>
      </w:tr>
    </w:tbl>
    <w:p>
      <w:pPr>
        <w:spacing w:after="60"/>
      </w:pPr>
    </w:p>
    <w:p>
      <w:pPr>
        <w:spacing w:line="360" w:lineRule="auto"/>
        <w:ind w:firstLine="360"/>
        <w:jc w:val="both"/>
      </w:pPr>
      <w:r>
        <w:rPr>
          <w:rFonts w:ascii="Times New Roman" w:hAnsi="Times New Roman"/>
          <w:b w:val="0"/>
          <w:sz w:val="24"/>
        </w:rP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4.3: Use-case diagram. Place five actors around the system boundary: Employee, Manager, Backup Employee, HR or Research User, and Administrator. Inside the boundary show: submit or import assessment; view risk score; validate assessment; create KT plan; nominate backup; complete documentation, shadowing, interview and practice tasks; confirm sessions; assess competence; approve evidence; sign off plan; export research data; manage users and configure AHP settings. Use association lines only. Do not show database tables or technical components in this diagram.</w:t>
      </w:r>
    </w:p>
    <w:p>
      <w:pPr>
        <w:pStyle w:val="KGCaption"/>
        <w:ind w:firstLine="0"/>
        <w:jc w:val="center"/>
      </w:pPr>
      <w:r>
        <w:rPr>
          <w:rFonts w:ascii="Times New Roman" w:hAnsi="Times New Roman"/>
          <w:sz w:val="24"/>
        </w:rPr>
        <w:t>Figure 4.3: Use-case diagram for role-based KnowledgeGuard interactions.</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4.4: UML activity diagram. Use swimlanes for HR or Research User, System, Manager, Knowledge Holder, and Backup Employee. Show: import CSV or submit assessment; map responses; calculate formula and supporting ML score; display risk tier; manager validation decision; high or critical eligibility decision; create five-stage KT plan; evidence submission and dual session confirmation; manager approval and competence decision; sign-off; score recalculation; separately imported later assessment. Include decision diamonds for manager validation, eligibility, task completion, and competence. Label generated quarterly data as demonstration data.</w:t>
      </w:r>
    </w:p>
    <w:p>
      <w:pPr>
        <w:pStyle w:val="KGCaption"/>
        <w:ind w:firstLine="0"/>
        <w:jc w:val="center"/>
      </w:pPr>
      <w:r>
        <w:rPr>
          <w:rFonts w:ascii="Times New Roman" w:hAnsi="Times New Roman"/>
          <w:sz w:val="24"/>
        </w:rPr>
        <w:t>Figure 4.4: Activity diagram for assessment, validation and knowledge transfer.</w:t>
      </w:r>
    </w:p>
    <w:p>
      <w:pPr>
        <w:pStyle w:val="Heading2"/>
        <w:spacing w:line="360" w:lineRule="auto"/>
        <w:ind w:firstLine="0"/>
        <w:jc w:val="left"/>
      </w:pPr>
      <w:r>
        <w:rPr>
          <w:rFonts w:ascii="Times New Roman" w:hAnsi="Times New Roman"/>
          <w:b w:val="0"/>
          <w:sz w:val="24"/>
        </w:rPr>
        <w:t>4.4 Proposed design</w:t>
      </w:r>
    </w:p>
    <w:p>
      <w:pPr>
        <w:pStyle w:val="Heading3"/>
        <w:spacing w:line="360" w:lineRule="auto"/>
        <w:ind w:firstLine="0"/>
        <w:jc w:val="left"/>
      </w:pPr>
      <w:r>
        <w:rPr>
          <w:rFonts w:ascii="Times New Roman" w:hAnsi="Times New Roman"/>
          <w:b w:val="0"/>
          <w:sz w:val="24"/>
        </w:rPr>
        <w:t>4.4.1 Components and data flow</w:t>
      </w:r>
    </w:p>
    <w:p>
      <w:pPr>
        <w:spacing w:line="360" w:lineRule="auto"/>
        <w:ind w:firstLine="360"/>
        <w:jc w:val="both"/>
      </w:pPr>
      <w:r>
        <w:rPr>
          <w:rFonts w:ascii="Times New Roman" w:hAnsi="Times New Roman"/>
          <w:b w:val="0"/>
          <w:sz w:val="24"/>
        </w:rP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4.1: KnowledgeGuard deployment and data-flow architecture, showing React/Vite interface, Node.js/Express backend, MongoDB, Python/FastAPI ML service, and the external generative-AI service. Draw arrows for CSV import, prediction, and KT-question generation. Insert the figure above the caption.</w:t>
      </w:r>
    </w:p>
    <w:p>
      <w:pPr>
        <w:pStyle w:val="KGCaption"/>
        <w:ind w:firstLine="0"/>
        <w:jc w:val="center"/>
      </w:pPr>
      <w:r>
        <w:rPr>
          <w:rFonts w:ascii="Times New Roman" w:hAnsi="Times New Roman"/>
          <w:sz w:val="24"/>
        </w:rPr>
        <w:t>Figure 4.1: KnowledgeGuard architecture and principal data flows.</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4.2: Data model showing User, Assessment, RiskScore, KTPlan and KTTask, their key relationships, and where manager validation and task evidence are stored. Use the verified schema in the application and insert the figure above the caption.</w:t>
      </w:r>
    </w:p>
    <w:p>
      <w:pPr>
        <w:pStyle w:val="KGCaption"/>
        <w:ind w:firstLine="0"/>
        <w:jc w:val="center"/>
      </w:pPr>
      <w:r>
        <w:rPr>
          <w:rFonts w:ascii="Times New Roman" w:hAnsi="Times New Roman"/>
          <w:sz w:val="24"/>
        </w:rPr>
        <w:t>Figure 4.2: Main entities and relationships in KnowledgeGuard.</w:t>
      </w:r>
    </w:p>
    <w:p>
      <w:pPr>
        <w:pStyle w:val="Heading3"/>
        <w:spacing w:line="360" w:lineRule="auto"/>
        <w:ind w:firstLine="0"/>
        <w:jc w:val="left"/>
      </w:pPr>
      <w:r>
        <w:rPr>
          <w:rFonts w:ascii="Times New Roman" w:hAnsi="Times New Roman"/>
          <w:b w:val="0"/>
          <w:sz w:val="24"/>
        </w:rPr>
        <w:t>4.4.2 From survey answer to indicator</w:t>
      </w:r>
    </w:p>
    <w:p>
      <w:pPr>
        <w:spacing w:line="360" w:lineRule="auto"/>
        <w:ind w:firstLine="360"/>
        <w:jc w:val="both"/>
      </w:pPr>
      <w:r>
        <w:rPr>
          <w:rFonts w:ascii="Times New Roman" w:hAnsi="Times New Roman"/>
          <w:b w:val="0"/>
          <w:sz w:val="24"/>
        </w:rP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pPr>
        <w:spacing w:line="360" w:lineRule="auto"/>
        <w:ind w:firstLine="360"/>
        <w:jc w:val="both"/>
      </w:pPr>
      <w:r>
        <w:rPr>
          <w:rFonts w:ascii="Times New Roman" w:hAnsi="Times New Roman"/>
          <w:b w:val="0"/>
          <w:sz w:val="24"/>
        </w:rPr>
        <w:t>Table 4.4 records the meaning, source, and provisional weight of each component. These definitions describe assessment inputs rather than independent measures of a future loss event.</w:t>
      </w:r>
    </w:p>
    <w:p>
      <w:pPr>
        <w:pStyle w:val="KGCaption"/>
        <w:ind w:firstLine="0"/>
        <w:jc w:val="left"/>
      </w:pPr>
      <w:r>
        <w:rPr>
          <w:rFonts w:ascii="Times New Roman" w:hAnsi="Times New Roman"/>
          <w:sz w:val="24"/>
        </w:rPr>
        <w:t>Table 4.4: KnowledgeGuard indicators and initial weights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Indicator</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What the score represents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Source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Weight</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Few alternative holders of specialist work</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0.25</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DG</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Inadequate documentation for essential tasks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PC</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Consequences for important project work</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Other work depends on the holder</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Service length according to stored start date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Calculated from personnel record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0.15</w:t>
            </w:r>
          </w:p>
        </w:tc>
      </w:tr>
    </w:tbl>
    <w:p>
      <w:pPr>
        <w:spacing w:after="60"/>
      </w:pPr>
    </w:p>
    <w:p>
      <w:pPr>
        <w:spacing w:line="360" w:lineRule="auto"/>
        <w:ind w:firstLine="360"/>
        <w:jc w:val="both"/>
      </w:pPr>
      <w:r>
        <w:rPr>
          <w:rFonts w:ascii="Times New Roman" w:hAnsi="Times New Roman"/>
          <w:b w:val="0"/>
          <w:sz w:val="24"/>
        </w:rPr>
        <w:t>The initial allocation makes expertise uniqueness the largest component (0.25), reflecting the project’s focus on knowledge that is difficult to replace [9], [10]. Documentation gap, project criticality, and collaboration dependency each receive 0.20: documented knowledge, the consequences of loss, and transfer between people are all relevant [1], [2], [11], but the cited research does not establish that one of these three should dominate the others. Tenure receives 0.15 as contextual information; years of service alone do not establish that a person holds critical or irreplaceable knowledge. The weights add to 1.00 and keep the formula on its input scale. These particular percentages are a transparent design judgement, not a published or empirically validated optimum. AHP was used to assess a proposed alternative; under the predefined rule, an inconsistent comparison matrix cannot replace the weights already configured. Chapter 5 reports whether the collected comparisons met that rule.</w:t>
      </w:r>
    </w:p>
    <w:p>
      <w:pPr>
        <w:spacing w:line="360" w:lineRule="auto"/>
        <w:ind w:firstLine="360"/>
        <w:jc w:val="both"/>
      </w:pPr>
      <w:r>
        <w:rPr>
          <w:rFonts w:ascii="Times New Roman" w:hAnsi="Times New Roman"/>
          <w:b w:val="0"/>
          <w:sz w:val="24"/>
        </w:rP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pPr>
        <w:spacing w:line="360" w:lineRule="auto"/>
        <w:ind w:firstLine="360"/>
        <w:jc w:val="both"/>
      </w:pPr>
      <w:r>
        <w:rPr>
          <w:rFonts w:ascii="Times New Roman" w:hAnsi="Times New Roman"/>
          <w:b w:val="0"/>
          <w:sz w:val="24"/>
        </w:rP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pPr>
        <w:spacing w:line="360" w:lineRule="auto"/>
        <w:ind w:firstLine="360"/>
        <w:jc w:val="both"/>
      </w:pPr>
      <w:r>
        <w:rPr>
          <w:rFonts w:ascii="Times New Roman" w:hAnsi="Times New Roman"/>
          <w:b w:val="0"/>
          <w:sz w:val="24"/>
        </w:rPr>
        <w:t>The system offers Analytic Hierarchy Process (AHP) calibration of its five indicator weights [20]. It aggregates ten pairwise comparison columns by geometric mean, builds a reciprocal 5 × 5 matrix, normalizes columns, and averages rows to obtain proposed weights. It estimates lambda_max, then calculates CI = (lambda_max − 5)/4 and CR = CI/1.12. The user interface enables application only when CR &lt; 0.10. The calculation route returns the proposed weights and consistency ratio. The separate weight-application route should also enforce this rule on the server before deployment; in the supplied code that check is not independent of the interface. This thesis therefore reports the interface gate as implemented and does not claim tested API rejection. Consistency does not establish predictive validity.</w:t>
      </w:r>
    </w:p>
    <w:p>
      <w:pPr>
        <w:pStyle w:val="Heading3"/>
        <w:spacing w:line="360" w:lineRule="auto"/>
        <w:ind w:firstLine="0"/>
        <w:jc w:val="left"/>
      </w:pPr>
      <w:r>
        <w:rPr>
          <w:rFonts w:ascii="Times New Roman" w:hAnsi="Times New Roman"/>
          <w:b w:val="0"/>
          <w:sz w:val="24"/>
        </w:rPr>
        <w:t>4.4.3 Combining the three scores</w:t>
      </w:r>
    </w:p>
    <w:p>
      <w:pPr>
        <w:spacing w:line="360" w:lineRule="auto"/>
        <w:ind w:firstLine="360"/>
        <w:jc w:val="both"/>
      </w:pPr>
      <w:r>
        <w:rPr>
          <w:rFonts w:ascii="Times New Roman" w:hAnsi="Times New Roman"/>
          <w:b w:val="0"/>
          <w:sz w:val="24"/>
        </w:rP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pPr>
        <w:pStyle w:val="KGCaption"/>
        <w:ind w:firstLine="0"/>
        <w:jc w:val="left"/>
      </w:pPr>
      <w:r>
        <w:rPr>
          <w:rFonts w:ascii="Times New Roman" w:hAnsi="Times New Roman"/>
          <w:sz w:val="24"/>
        </w:rPr>
        <w:t>Table 4.5: Configured operational risk tiers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Tier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Final score 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Workflow interpretation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Low</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 ≤ 5.0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Record assessment and review as needed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Medium</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5.0 &lt; R ≤ 7.5</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Review exposure and supporting evidence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High</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7.5 &lt; R ≤ 9.0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Eligible holder for KT planning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Critical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 &gt; 9.0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Eligible holder for KT planning</w:t>
            </w:r>
          </w:p>
        </w:tc>
      </w:tr>
    </w:tbl>
    <w:p>
      <w:pPr>
        <w:spacing w:after="60"/>
      </w:pPr>
    </w:p>
    <w:p>
      <w:pPr>
        <w:spacing w:line="360" w:lineRule="auto"/>
        <w:ind w:firstLine="360"/>
        <w:jc w:val="both"/>
      </w:pPr>
      <w:r>
        <w:rPr>
          <w:rFonts w:ascii="Times New Roman" w:hAnsi="Times New Roman"/>
          <w:b w:val="0"/>
          <w:sz w:val="24"/>
        </w:rPr>
        <w:t>A worked test case illustrates the arithmetic. With EU = 9, DG = 8, PC = 9, CD = 7, and T = 10, the default formula gives F = 0.25(9) + 0.20(8) + 0.20(9) + 0.20(7) + 0.15(10) = 8.55. If the manager score is 8.50 and the supporting ML score is 8.50, then R = 0.30(8.55) + 0.50(8.50) + 0.20(8.50) = 8.515, rounded to 8.52 (high). These are worked demonstration values, not results observed in an organization. Chapter 5 reports the outputs actually supported by its demonstration evidence.</w:t>
      </w:r>
    </w:p>
    <w:p>
      <w:pPr>
        <w:spacing w:line="360" w:lineRule="auto"/>
        <w:ind w:firstLine="360"/>
        <w:jc w:val="both"/>
      </w:pPr>
      <w:r>
        <w:rPr>
          <w:rFonts w:ascii="Times New Roman" w:hAnsi="Times New Roman"/>
          <w:b w:val="0"/>
          <w:sz w:val="24"/>
        </w:rP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pPr>
        <w:pStyle w:val="Heading3"/>
        <w:spacing w:line="360" w:lineRule="auto"/>
        <w:ind w:firstLine="0"/>
        <w:jc w:val="left"/>
      </w:pPr>
      <w:r>
        <w:rPr>
          <w:rFonts w:ascii="Times New Roman" w:hAnsi="Times New Roman"/>
          <w:b w:val="0"/>
          <w:sz w:val="24"/>
        </w:rPr>
        <w:t>4.4.4 From risk review to knowledge transfer</w:t>
      </w:r>
    </w:p>
    <w:p>
      <w:pPr>
        <w:spacing w:line="360" w:lineRule="auto"/>
        <w:ind w:firstLine="360"/>
        <w:jc w:val="both"/>
      </w:pPr>
      <w:r>
        <w:rPr>
          <w:rFonts w:ascii="Times New Roman" w:hAnsi="Times New Roman"/>
          <w:b w:val="0"/>
          <w:sz w:val="24"/>
        </w:rPr>
        <w:t>For an eligible high- or critical-risk holder, the manager can create a KT plan with a backup employee, knowledge areas, priority, and deadline. The backend requests interview questions from an external language-model service and uses default questions if that request fails. Five task records are then created: documentation; shadowing with participant confirmations; a structured interview; independent backup practice with a manager competence rating; and final manager sign-off. The sign-off route checks that all preceding tasks are marked complete before closing the plan. A task record reports workflow completion; it does not verify long-term retention.</w:t>
      </w:r>
    </w:p>
    <w:p>
      <w:pPr>
        <w:spacing w:line="360" w:lineRule="auto"/>
        <w:ind w:firstLine="360"/>
        <w:jc w:val="both"/>
      </w:pPr>
      <w:r>
        <w:rPr>
          <w:rFonts w:ascii="Times New Roman" w:hAnsi="Times New Roman"/>
          <w:b w:val="0"/>
          <w:sz w:val="24"/>
        </w:rP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pPr>
        <w:spacing w:line="360" w:lineRule="auto"/>
        <w:ind w:firstLine="360"/>
        <w:jc w:val="both"/>
      </w:pPr>
      <w:r>
        <w:rPr>
          <w:rFonts w:ascii="Times New Roman" w:hAnsi="Times New Roman"/>
          <w:b w:val="0"/>
          <w:sz w:val="24"/>
        </w:rPr>
        <w:t>At sign-off, the KT update reads the approved evidence and competence rating. It can reduce DG by up to 3 points according to the proportion of approved documentation tasks, EU by 0–3 points according to backup competence, and CD by up to 2 points when both shadowing and interview are approved and the competence mapping permits a reduction. The code applies reductions to employee indicator scores and, if available, to validated manager scores, bounded below by 1. PC and tenure remain unchanged. The weighted formula component can consequently fall by at most 0.25(3) + 0.20(3) + 0.20(2) = 1.75 points before bounds; this is not a guaranteed cap on the final blended score because its manager and ML components are recalculated too. No later-quarter assessment is generated automatically by sign-off.</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4.5: Assessment-to-transfer workflow. Show quarterly CSV import, indicator mapping, formula and ML outputs, manager validation, risk tier, eligible KT plan, five tasks and sign-off, immediate score recalculation, and a separately imported later assessment. Label the later assessment as generated demonstration data.</w:t>
      </w:r>
    </w:p>
    <w:p>
      <w:pPr>
        <w:pStyle w:val="KGCaption"/>
        <w:ind w:firstLine="0"/>
        <w:jc w:val="center"/>
      </w:pPr>
      <w:r>
        <w:rPr>
          <w:rFonts w:ascii="Times New Roman" w:hAnsi="Times New Roman"/>
          <w:sz w:val="24"/>
        </w:rPr>
        <w:t>Figure 4.5: Assessment, knowledge-transfer and reassessment workflow.</w:t>
      </w:r>
    </w:p>
    <w:p>
      <w:pPr>
        <w:pStyle w:val="Heading2"/>
        <w:spacing w:line="360" w:lineRule="auto"/>
        <w:ind w:firstLine="0"/>
        <w:jc w:val="left"/>
      </w:pPr>
      <w:r>
        <w:rPr>
          <w:rFonts w:ascii="Times New Roman" w:hAnsi="Times New Roman"/>
          <w:b w:val="0"/>
          <w:sz w:val="24"/>
        </w:rPr>
        <w:t>4.5 Development and implementation procedure</w:t>
      </w:r>
    </w:p>
    <w:p>
      <w:pPr>
        <w:spacing w:line="360" w:lineRule="auto"/>
        <w:ind w:firstLine="360"/>
        <w:jc w:val="both"/>
      </w:pPr>
      <w:r>
        <w:rPr>
          <w:rFonts w:ascii="Times New Roman" w:hAnsi="Times New Roman"/>
          <w:b w:val="0"/>
          <w:sz w:val="24"/>
        </w:rPr>
        <w:t>Development began with an external questionnaire and the CSV import path, followed by response mapping and scoring. The application layer then integrated manager review and risk presentation. A separate service was introduced for classifier training, prediction, and anomaly analysis. Finally, the intervention workflow joined risk eligibility checks, AI-supported interview prompts, task evidence, participant confirmations, competence validation, sign-off, and recalculation. The current application stores scores and task state so the workflow can be inspected in successive steps.</w:t>
      </w:r>
    </w:p>
    <w:p>
      <w:pPr>
        <w:spacing w:line="360" w:lineRule="auto"/>
        <w:ind w:firstLine="360"/>
        <w:jc w:val="both"/>
      </w:pPr>
      <w:r>
        <w:rPr>
          <w:rFonts w:ascii="Times New Roman" w:hAnsi="Times New Roman"/>
          <w:b w:val="0"/>
          <w:sz w:val="24"/>
        </w:rP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pPr>
        <w:pStyle w:val="Heading2"/>
        <w:spacing w:line="360" w:lineRule="auto"/>
        <w:ind w:firstLine="0"/>
        <w:jc w:val="left"/>
      </w:pPr>
      <w:r>
        <w:rPr>
          <w:rFonts w:ascii="Times New Roman" w:hAnsi="Times New Roman"/>
          <w:b w:val="0"/>
          <w:sz w:val="24"/>
        </w:rPr>
        <w:t>4.6 Evaluation plan</w:t>
      </w:r>
    </w:p>
    <w:p>
      <w:pPr>
        <w:spacing w:line="360" w:lineRule="auto"/>
        <w:ind w:firstLine="360"/>
        <w:jc w:val="both"/>
      </w:pPr>
      <w:r>
        <w:rPr>
          <w:rFonts w:ascii="Times New Roman" w:hAnsi="Times New Roman"/>
          <w:b w:val="0"/>
          <w:sz w:val="24"/>
        </w:rPr>
        <w:t>Evaluation was organized against the four objectives. For O1, the inspection checks whether the test rows import, map to the intended indicators, produce tenure-based formula scores and quality warnings, and whether the AHP interface disables application when expert judgements are inconsistent. A direct API test and server-side consistency enforcement are required before deployment if the system is to claim that inconsistent weights cannot be applied outside the interface. A generated Q1–Q4 sequence checks repeated import and score-history behaviour without representing an organizational follow-up. The expert exercise aggregates ten collected comparison responses and reports proposed weights together with the unrounded and displayed consistency ratio. The predefined criterion is CR &lt; 0.10; the result and its consequences are reported in Chapter 5.</w:t>
      </w:r>
    </w:p>
    <w:p>
      <w:pPr>
        <w:pStyle w:val="KGCaption"/>
        <w:ind w:firstLine="0"/>
        <w:jc w:val="left"/>
      </w:pPr>
      <w:r>
        <w:rPr>
          <w:rFonts w:ascii="Times New Roman" w:hAnsi="Times New Roman"/>
          <w:sz w:val="24"/>
        </w:rPr>
        <w:t>Table 4.6: Evaluation measures and evidence required</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Aspect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Measure or observation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to present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Assessment processing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inputs, scores, warning state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De-identified test inputs and outputs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AHP calibration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Weights, CI and CR; CR &lt; 0.10 interface rule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Comparison output and interface response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KT controls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Eligibility, task states, sign-off and scoreDelta</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Test cases with expected and observed response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Usability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Individual SUS scores; mean and sample SD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Ten scored questionnaires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Acceptance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Mean usefulness, ease and intention ratings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Item-level scale and n for each construct</w:t>
            </w:r>
          </w:p>
        </w:tc>
      </w:tr>
    </w:tbl>
    <w:p>
      <w:pPr>
        <w:spacing w:after="60"/>
      </w:pPr>
    </w:p>
    <w:p>
      <w:pPr>
        <w:spacing w:line="360" w:lineRule="auto"/>
        <w:ind w:firstLine="360"/>
        <w:jc w:val="both"/>
      </w:pPr>
      <w:r>
        <w:rPr>
          <w:rFonts w:ascii="Times New Roman" w:hAnsi="Times New Roman"/>
          <w:b w:val="0"/>
          <w:sz w:val="24"/>
        </w:rP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pPr>
        <w:spacing w:line="360" w:lineRule="auto"/>
        <w:ind w:firstLine="360"/>
        <w:jc w:val="both"/>
      </w:pPr>
      <w:r>
        <w:rPr>
          <w:rFonts w:ascii="Times New Roman" w:hAnsi="Times New Roman"/>
          <w:b w:val="0"/>
          <w:sz w:val="24"/>
        </w:rP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pPr>
        <w:spacing w:line="360" w:lineRule="auto"/>
        <w:ind w:firstLine="360"/>
        <w:jc w:val="both"/>
      </w:pPr>
      <w:r>
        <w:rPr>
          <w:rFonts w:ascii="Times New Roman" w:hAnsi="Times New Roman"/>
          <w:b w:val="0"/>
          <w:sz w:val="24"/>
        </w:rPr>
        <w:t>The usability responses are analyzed at the individual level before averaging, rather than averaging raw item responses into an apparent SUS score. The three acceptance constructs remain separate from SUS and from functional correctness. Reporting the number of returned questionnaires beside each mean lets the reader judge the descriptive scope. A comparison with a commercial platform would require a common task protocol and comparable participants; this evaluation did not conduct such a study.</w:t>
      </w:r>
    </w:p>
    <w:p>
      <w:pPr>
        <w:spacing w:line="360" w:lineRule="auto"/>
        <w:ind w:firstLine="360"/>
        <w:jc w:val="both"/>
      </w:pPr>
      <w:r>
        <w:rPr>
          <w:rFonts w:ascii="Times New Roman" w:hAnsi="Times New Roman"/>
          <w:b w:val="0"/>
          <w:sz w:val="24"/>
        </w:rPr>
        <w:t>A KT example may compare the stored score before and immediately after sign-off and report scoreDelta as final score minus the previous score. Thus a hypothetical decrease from 8.50 to 7.00 is stored as −1.50, not +1.50. A later-quarter score in the generated four-quarter demonstration requires a separately imported assessment and must be labelled simulated. These outputs test the implemented arithmetic and records, not an observed decrease in actual disruption or knowledge loss. No independently labelled organizational departure or retention outcomes were available for validation of classifier accuracy. Nonfunctional evaluation can report only the access-control, error-handling, response-time, or other checks for which actual test records exist; unmeasured qualities are not claimed as established results.</w:t>
      </w:r>
    </w:p>
    <w:p>
      <w:pPr>
        <w:pStyle w:val="Heading2"/>
        <w:spacing w:line="360" w:lineRule="auto"/>
        <w:ind w:firstLine="0"/>
        <w:jc w:val="left"/>
      </w:pPr>
      <w:r>
        <w:rPr>
          <w:rFonts w:ascii="Times New Roman" w:hAnsi="Times New Roman"/>
          <w:b w:val="0"/>
          <w:sz w:val="24"/>
        </w:rPr>
        <w:t>4.7 Ethics and project management</w:t>
      </w:r>
    </w:p>
    <w:p>
      <w:pPr>
        <w:spacing w:line="360" w:lineRule="auto"/>
        <w:ind w:firstLine="360"/>
        <w:jc w:val="both"/>
      </w:pPr>
      <w:r>
        <w:rPr>
          <w:rFonts w:ascii="Times New Roman" w:hAnsi="Times New Roman"/>
          <w:b w:val="0"/>
          <w:sz w:val="24"/>
        </w:rPr>
        <w:t>The demonstration used generated assessment records instead of a live organization’s employee file. The separately collected AHP and system-evaluation responses should be reported in aggregate, and any appendix containing CSV extracts or screenshots should omit email addresses and other identifiers. An employee-related risk tier can affect how a manager sees a person; KnowledgeGuard therefore presents it as decision support for knowledge-transfer preparation, not as evidence for dismissal, promotion, or an individual’s likelihood of resigning. Access checks assign functions by role. External AI input should be limited to the information needed to formulate interview questions; its generated suggestions require human review.</w:t>
      </w:r>
    </w:p>
    <w:p>
      <w:pPr>
        <w:spacing w:line="360" w:lineRule="auto"/>
        <w:ind w:firstLine="360"/>
        <w:jc w:val="both"/>
      </w:pPr>
      <w:r>
        <w:rPr>
          <w:rFonts w:ascii="Times New Roman" w:hAnsi="Times New Roman"/>
          <w:b w:val="0"/>
          <w:sz w:val="24"/>
        </w:rP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pPr>
        <w:pStyle w:val="Heading2"/>
        <w:spacing w:line="360" w:lineRule="auto"/>
        <w:ind w:firstLine="0"/>
        <w:jc w:val="left"/>
      </w:pPr>
      <w:r>
        <w:rPr>
          <w:rFonts w:ascii="Times New Roman" w:hAnsi="Times New Roman"/>
          <w:b w:val="0"/>
          <w:sz w:val="24"/>
        </w:rPr>
        <w:t>4.8 Chapter summary</w:t>
      </w:r>
    </w:p>
    <w:p>
      <w:pPr>
        <w:spacing w:line="360" w:lineRule="auto"/>
        <w:ind w:firstLine="360"/>
        <w:jc w:val="both"/>
      </w:pPr>
      <w:r>
        <w:rPr>
          <w:rFonts w:ascii="Times New Roman" w:hAnsi="Times New Roman"/>
          <w:b w:val="0"/>
          <w:sz w:val="24"/>
        </w:rP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r>
        <w:br w:type="page"/>
      </w:r>
    </w:p>
    <w:p>
      <w:pPr>
        <w:pStyle w:val="Heading1"/>
        <w:spacing w:line="360" w:lineRule="auto"/>
        <w:ind w:firstLine="0"/>
        <w:jc w:val="center"/>
      </w:pPr>
      <w:r>
        <w:rPr>
          <w:rFonts w:ascii="Times New Roman" w:hAnsi="Times New Roman"/>
          <w:b w:val="0"/>
          <w:sz w:val="24"/>
        </w:rPr>
        <w:t>REFERENCES</w:t>
      </w:r>
    </w:p>
    <w:p>
      <w:pPr>
        <w:spacing w:line="360" w:lineRule="auto"/>
        <w:ind w:firstLine="360"/>
        <w:jc w:val="both"/>
      </w:pPr>
      <w:r>
        <w:rPr>
          <w:rFonts w:ascii="Times New Roman" w:hAnsi="Times New Roman"/>
          <w:b w:val="0"/>
          <w:sz w:val="24"/>
        </w:rPr>
        <w:t>[1] I. Nonaka, “A dynamic theory of organizational knowledge creation,” Organization Science, vol. 5, no. 1, pp. 14–37, 1994, doi: 10.1287/orsc.5.1.14.</w:t>
      </w:r>
    </w:p>
    <w:p>
      <w:pPr>
        <w:spacing w:line="360" w:lineRule="auto"/>
        <w:ind w:firstLine="360"/>
        <w:jc w:val="both"/>
      </w:pPr>
      <w:r>
        <w:rPr>
          <w:rFonts w:ascii="Times New Roman" w:hAnsi="Times New Roman"/>
          <w:b w:val="0"/>
          <w:sz w:val="24"/>
        </w:rPr>
        <w:t>[2] L. Argote and P. Ingram, “Knowledge transfer: A basis for competitive advantage in firms,” Organizational Behavior and Human Decision Processes, vol. 82, no. 1, pp. 150–169, 2000, doi: 10.1006/obhd.2000.2893.</w:t>
      </w:r>
    </w:p>
    <w:p>
      <w:pPr>
        <w:spacing w:line="360" w:lineRule="auto"/>
        <w:ind w:firstLine="360"/>
        <w:jc w:val="both"/>
      </w:pPr>
      <w:r>
        <w:rPr>
          <w:rFonts w:ascii="Times New Roman" w:hAnsi="Times New Roman"/>
          <w:b w:val="0"/>
          <w:sz w:val="24"/>
        </w:rPr>
        <w:t>[3] A. Daghfous, N. T. Amer, O. Belkhodja, L. C. Angell, and T. Zoubi, “Managing knowledge loss: A systematic literature review and future research directions,” Journal of Enterprise Information Management, vol. 36, no. 4, pp. 1008–1031, 2023, doi: 10.1108/JEIM-05-2022-0171.</w:t>
      </w:r>
    </w:p>
    <w:p>
      <w:pPr>
        <w:spacing w:line="360" w:lineRule="auto"/>
        <w:ind w:firstLine="360"/>
        <w:jc w:val="both"/>
      </w:pPr>
      <w:r>
        <w:rPr>
          <w:rFonts w:ascii="Times New Roman" w:hAnsi="Times New Roman"/>
          <w:b w:val="0"/>
          <w:sz w:val="24"/>
        </w:rPr>
        <w:t>[4] R. Iftikhar and M. Rashid, “Knowledge loss and retention in interorganizational projects: Evidence from public transportation projects from Pakistan,” International Journal of Managing Projects in Business, vol. 18, no. 2, pp. 241–264, 2025, doi: 10.1108/IJMPB-09-2024-0210.</w:t>
      </w:r>
    </w:p>
    <w:p>
      <w:pPr>
        <w:spacing w:line="360" w:lineRule="auto"/>
        <w:ind w:firstLine="360"/>
        <w:jc w:val="both"/>
      </w:pPr>
      <w:r>
        <w:rPr>
          <w:rFonts w:ascii="Times New Roman" w:hAnsi="Times New Roman"/>
          <w:b w:val="0"/>
          <w:sz w:val="24"/>
        </w:rPr>
        <w:t>[5] A. R. Hevner, S. T. March, J. Park, and S. Ram, “Design science in information systems research,” MIS Quarterly, vol. 28, no. 1, pp. 75–106, 2004, doi: 10.2307/25148625.</w:t>
      </w:r>
    </w:p>
    <w:p>
      <w:pPr>
        <w:spacing w:line="360" w:lineRule="auto"/>
        <w:ind w:firstLine="360"/>
        <w:jc w:val="both"/>
      </w:pPr>
      <w:r>
        <w:rPr>
          <w:rFonts w:ascii="Times New Roman" w:hAnsi="Times New Roman"/>
          <w:b w:val="0"/>
          <w:sz w:val="24"/>
        </w:rPr>
        <w:t>[6] M. S. Sumbal, A. Ključnikov, S. Durst, A. Ferraris, and L. Saeed, “Do you want to retain your relevant knowledge? The role of contextual factors in the banking sector,” Journal of Knowledge Management, vol. 27, no. 9, pp. 2414–2433, 2023, doi: 10.1108/JKM-02-2022-0128.</w:t>
      </w:r>
    </w:p>
    <w:p>
      <w:pPr>
        <w:spacing w:line="360" w:lineRule="auto"/>
        <w:ind w:firstLine="360"/>
        <w:jc w:val="both"/>
      </w:pPr>
      <w:r>
        <w:rPr>
          <w:rFonts w:ascii="Times New Roman" w:hAnsi="Times New Roman"/>
          <w:b w:val="0"/>
          <w:sz w:val="24"/>
        </w:rPr>
        <w:t>[7] S. Durst and M. Zieba, “Mapping knowledge risks: Towards a better understanding of knowledge management,” Knowledge Management Research &amp; Practice, vol. 17, no. 1, pp. 1–13, 2019, doi: 10.1080/14778238.2018.1538603.</w:t>
      </w:r>
    </w:p>
    <w:p>
      <w:pPr>
        <w:spacing w:line="360" w:lineRule="auto"/>
        <w:ind w:firstLine="360"/>
        <w:jc w:val="both"/>
      </w:pPr>
      <w:r>
        <w:rPr>
          <w:rFonts w:ascii="Times New Roman" w:hAnsi="Times New Roman"/>
          <w:b w:val="0"/>
          <w:sz w:val="24"/>
        </w:rP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pPr>
        <w:spacing w:line="360" w:lineRule="auto"/>
        <w:ind w:firstLine="360"/>
        <w:jc w:val="both"/>
      </w:pPr>
      <w:r>
        <w:rPr>
          <w:rFonts w:ascii="Times New Roman" w:hAnsi="Times New Roman"/>
          <w:b w:val="0"/>
          <w:sz w:val="24"/>
        </w:rPr>
        <w:t>[9] N. Galan, “Knowledge loss induced by organizational member turnover: A review of empirical literature, synthesis and future research directions (Part I),” The Learning Organization, vol. 30, no. 2, pp. 117–136, 2023, doi: 10.1108/TLO-09-2022-0107.</w:t>
      </w:r>
    </w:p>
    <w:p>
      <w:pPr>
        <w:spacing w:line="360" w:lineRule="auto"/>
        <w:ind w:firstLine="360"/>
        <w:jc w:val="both"/>
      </w:pPr>
      <w:r>
        <w:rPr>
          <w:rFonts w:ascii="Times New Roman" w:hAnsi="Times New Roman"/>
          <w:b w:val="0"/>
          <w:sz w:val="24"/>
        </w:rPr>
        <w:t>[10] N. Galan, “Knowledge loss induced by organizational member turnover: A review of empirical literature, synthesis and future research directions (Part II),” The Learning Organization, vol. 30, no. 2, pp. 137–161, 2023, doi: 10.1108/TLO-09-2022-0108.</w:t>
      </w:r>
    </w:p>
    <w:p>
      <w:pPr>
        <w:spacing w:line="360" w:lineRule="auto"/>
        <w:ind w:firstLine="360"/>
        <w:jc w:val="both"/>
      </w:pPr>
      <w:r>
        <w:rPr>
          <w:rFonts w:ascii="Times New Roman" w:hAnsi="Times New Roman"/>
          <w:b w:val="0"/>
          <w:sz w:val="24"/>
        </w:rPr>
        <w:t>[11] P. R. Massingham, “Measuring the impact of knowledge loss: A longitudinal study,” Journal of Knowledge Management, vol. 22, no. 4, pp. 721–758, 2018, doi: 10.1108/JKM-08-2016-0338.</w:t>
      </w:r>
    </w:p>
    <w:p>
      <w:pPr>
        <w:spacing w:line="360" w:lineRule="auto"/>
        <w:ind w:firstLine="360"/>
        <w:jc w:val="both"/>
      </w:pPr>
      <w:r>
        <w:rPr>
          <w:rFonts w:ascii="Times New Roman" w:hAnsi="Times New Roman"/>
          <w:b w:val="0"/>
          <w:sz w:val="24"/>
        </w:rPr>
        <w:t>[12] Microsoft, “Intro to file collaboration in Microsoft 365, powered by SharePoint,” Microsoft Learn, 2025. [Online]. Available: https://learn.microsoft.com/en-us/sharepoint/intro-to-file-collaboration. [Accessed: Sep. 24, 2026].</w:t>
      </w:r>
    </w:p>
    <w:p>
      <w:pPr>
        <w:spacing w:line="360" w:lineRule="auto"/>
        <w:ind w:firstLine="360"/>
        <w:jc w:val="both"/>
      </w:pPr>
      <w:r>
        <w:rPr>
          <w:rFonts w:ascii="Times New Roman" w:hAnsi="Times New Roman"/>
          <w:b w:val="0"/>
          <w:sz w:val="24"/>
        </w:rPr>
        <w:t>[13] Atlassian, “Use labels to organize content and attachments,” Confluence Cloud Support, n.d. [Online]. Available: https://support.atlassian.com/confluence-cloud/docs/use-labels-to-organize-your-content/. [Accessed: Sep. 24, 2026].</w:t>
      </w:r>
    </w:p>
    <w:p>
      <w:pPr>
        <w:spacing w:line="360" w:lineRule="auto"/>
        <w:ind w:firstLine="360"/>
        <w:jc w:val="both"/>
      </w:pPr>
      <w:r>
        <w:rPr>
          <w:rFonts w:ascii="Times New Roman" w:hAnsi="Times New Roman"/>
          <w:b w:val="0"/>
          <w:sz w:val="24"/>
        </w:rPr>
        <w:t>[14] ServiceNow, “Knowledge workflows,” ServiceNow Platform Documentation, Xanadu release, Aug. 1, 2024. [Online]. Available: https://www.servicenow.com/docs/r/xanadu/servicenow-platform/knowledge-management/r_KnowledgeWorkflows.html. [Accessed: Sep. 24, 2026].</w:t>
      </w:r>
    </w:p>
    <w:p>
      <w:pPr>
        <w:spacing w:line="360" w:lineRule="auto"/>
        <w:ind w:firstLine="360"/>
        <w:jc w:val="both"/>
      </w:pPr>
      <w:r>
        <w:rPr>
          <w:rFonts w:ascii="Times New Roman" w:hAnsi="Times New Roman"/>
          <w:b w:val="0"/>
          <w:sz w:val="24"/>
        </w:rPr>
        <w:t>[15] APQC, “APQC’s Knowledge Loss Risk Matrix,” Sep. 17, 2025. [Online]. Available: https://www.apqc.org/resource-library/resource-listing/apqcs-knowledge-loss-risk-matrix. [Accessed: Sep. 24, 2026].</w:t>
      </w:r>
    </w:p>
    <w:p>
      <w:pPr>
        <w:spacing w:line="360" w:lineRule="auto"/>
        <w:ind w:firstLine="360"/>
        <w:jc w:val="both"/>
      </w:pPr>
      <w:r>
        <w:rPr>
          <w:rFonts w:ascii="Times New Roman" w:hAnsi="Times New Roman"/>
          <w:b w:val="0"/>
          <w:sz w:val="24"/>
        </w:rPr>
        <w:t>[16] SAP, “SAP SuccessFactors Career and Talent Development,” 2026. [Online]. Available: https://www.sap.com/products/hcm/career-talent-development.html. [Accessed: Sep. 24, 2026].</w:t>
      </w:r>
    </w:p>
    <w:p>
      <w:pPr>
        <w:spacing w:line="360" w:lineRule="auto"/>
        <w:ind w:firstLine="360"/>
        <w:jc w:val="both"/>
      </w:pPr>
      <w:r>
        <w:rPr>
          <w:rFonts w:ascii="Times New Roman" w:hAnsi="Times New Roman"/>
          <w:b w:val="0"/>
          <w:sz w:val="24"/>
        </w:rPr>
        <w:t>[17] M. K. Ward and A. W. Meade, “Dealing with careless responding in survey data: Prevention, identification, and recommended best practices,” Annual Review of Psychology, vol. 74, pp. 577–596, 2023, doi: 10.1146/annurev-psych-040422-045007.</w:t>
      </w:r>
    </w:p>
    <w:p>
      <w:pPr>
        <w:spacing w:line="360" w:lineRule="auto"/>
        <w:ind w:firstLine="360"/>
        <w:jc w:val="both"/>
      </w:pPr>
      <w:r>
        <w:rPr>
          <w:rFonts w:ascii="Times New Roman" w:hAnsi="Times New Roman"/>
          <w:b w:val="0"/>
          <w:sz w:val="24"/>
        </w:rPr>
        <w:t>[18] E. Igoa-Iraola and F. Díez, “Procedures for transferring organizational knowledge during generational change: A systematic review,” Heliyon, vol. 10, no. 5, art. e27092, 2024, doi: 10.1016/j.heliyon.2024.e27092.</w:t>
      </w:r>
    </w:p>
    <w:p>
      <w:pPr>
        <w:spacing w:line="360" w:lineRule="auto"/>
        <w:ind w:firstLine="360"/>
        <w:jc w:val="both"/>
      </w:pPr>
      <w:r>
        <w:rPr>
          <w:rFonts w:ascii="Times New Roman" w:hAnsi="Times New Roman"/>
          <w:b w:val="0"/>
          <w:sz w:val="24"/>
        </w:rP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pPr>
        <w:spacing w:line="360" w:lineRule="auto"/>
        <w:ind w:firstLine="360"/>
        <w:jc w:val="both"/>
      </w:pPr>
      <w:r>
        <w:rPr>
          <w:rFonts w:ascii="Times New Roman" w:hAnsi="Times New Roman"/>
          <w:b w:val="0"/>
          <w:sz w:val="24"/>
        </w:rPr>
        <w:t>[20] T. L. Saaty, “Decision making with the analytic hierarchy process,” International Journal of Services Sciences, vol. 1, no. 1, pp. 83–98, 2008, doi: 10.1504/IJSSCI.2008.017590.</w:t>
      </w:r>
    </w:p>
    <w:p>
      <w:pPr>
        <w:spacing w:line="360" w:lineRule="auto"/>
        <w:ind w:firstLine="360"/>
        <w:jc w:val="both"/>
      </w:pPr>
      <w:r>
        <w:rPr>
          <w:rFonts w:ascii="Times New Roman" w:hAnsi="Times New Roman"/>
          <w:b w:val="0"/>
          <w:sz w:val="24"/>
        </w:rPr>
        <w:t>[21] L. Breiman, “Random forests,” Machine Learning, vol. 45, no. 1, pp. 5–32, 2001, doi: 10.1023/A:1010933404324.</w:t>
      </w:r>
    </w:p>
    <w:p>
      <w:pPr>
        <w:spacing w:line="360" w:lineRule="auto"/>
        <w:ind w:firstLine="360"/>
        <w:jc w:val="both"/>
      </w:pPr>
      <w:r>
        <w:rPr>
          <w:rFonts w:ascii="Times New Roman" w:hAnsi="Times New Roman"/>
          <w:b w:val="0"/>
          <w:sz w:val="24"/>
        </w:rPr>
        <w:t>[22] F. T. Liu, K. M. Ting, and Z.-H. Zhou, “Isolation forest,” in Proceedings of the 2008 Eighth IEEE International Conference on Data Mining, Pisa, Italy, 2008, pp. 413–422, doi: 10.1109/ICDM.2008.17.</w:t>
      </w:r>
    </w:p>
    <w:p>
      <w:pPr>
        <w:spacing w:line="360" w:lineRule="auto"/>
        <w:ind w:firstLine="360"/>
        <w:jc w:val="both"/>
      </w:pPr>
      <w:r>
        <w:rPr>
          <w:rFonts w:ascii="Times New Roman" w:hAnsi="Times New Roman"/>
          <w:b w:val="0"/>
          <w:sz w:val="24"/>
        </w:rPr>
        <w:t>[23] Q. He and Z. Yang, “Generative AI-driven knowledge management in manufacturing firms: A five-stage framework for dynamic knowledge optimization and digital innovation,” Journal of Knowledge Management, vol. 30, no. 4, pp. 1447–1467, 2026, doi: 10.1108/JKM-03-2025-0418.</w:t>
      </w:r>
    </w:p>
    <w:p>
      <w:pPr>
        <w:spacing w:line="360" w:lineRule="auto"/>
        <w:ind w:firstLine="360"/>
        <w:jc w:val="both"/>
      </w:pPr>
      <w:r>
        <w:rPr>
          <w:rFonts w:ascii="Times New Roman" w:hAnsi="Times New Roman"/>
          <w:b w:val="0"/>
          <w:sz w:val="24"/>
        </w:rPr>
        <w:t>[24] J. Brooke, “SUS: A quick and dirty usability scale,” in Usability Evaluation in Industry, P. W. Jordan, B. Thomas, B. A. Weerdmeester, and I. L. McClelland, Eds. London, U.K.: Taylor &amp; Francis, 1996, pp. 189–194.</w:t>
      </w:r>
    </w:p>
    <w:p>
      <w:pPr>
        <w:spacing w:line="360" w:lineRule="auto"/>
        <w:ind w:firstLine="360"/>
        <w:jc w:val="both"/>
      </w:pPr>
      <w:r>
        <w:rPr>
          <w:rFonts w:ascii="Times New Roman" w:hAnsi="Times New Roman"/>
          <w:b w:val="0"/>
          <w:sz w:val="24"/>
        </w:rPr>
        <w:t>[25] F. D. Davis, “Perceived usefulness, perceived ease of use, and user acceptance of information technology,” MIS Quarterly, vol. 13, no. 3, pp. 319–340, 1989, doi: 10.2307/249008.</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val="0"/>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KnowledgeGuard Thesis Chapters 1 to 4</dc:title>
  <dc:subject/>
  <dc:creator>Shanuka S. Jayakodi</dc:creator>
  <cp:keywords/>
  <dc:description>generated by python-docx</dc:description>
  <cp:lastModifiedBy/>
  <cp:revision>1</cp:revision>
  <dcterms:created xsi:type="dcterms:W3CDTF">2013-12-23T23:15:00Z</dcterms:created>
  <dcterms:modified xsi:type="dcterms:W3CDTF">2013-12-23T23:15:00Z</dcterms:modified>
  <cp:category/>
</cp:coreProperties>
</file>