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4E79"/>
          <w:sz w:val="52"/>
          <w:szCs w:val="52"/>
        </w:rPr>
        <w:t xml:space="preserve">Serfis Document Management</w:t>
      </w:r>
    </w:p>
    <w:p>
      <w:pPr>
        <w:spacing w:after="80"/>
      </w:pPr>
      <w:r>
        <w:rPr>
          <w:color w:val="595959"/>
          <w:sz w:val="30"/>
          <w:szCs w:val="30"/>
        </w:rPr>
        <w:t xml:space="preserve">In-Place Editing of Office Documents via SharePoint Online</w:t>
      </w:r>
    </w:p>
    <w:p>
      <w:pPr>
        <w:pBdr>
          <w:bottom w:val="single" w:color="1F4E79" w:sz="8"/>
        </w:pBdr>
        <w:spacing w:after="60"/>
      </w:pPr>
    </w:p>
    <w:p>
      <w:pPr>
        <w:spacing w:after="140" w:line="276"/>
      </w:pPr>
      <w:r>
        <w:t xml:space="preserve">Design proposal — August 2026    |    Status: for review    |    Audience: Management, BSA, Development Team</w:t>
      </w:r>
    </w:p>
    <w:p>
      <w:pPr>
        <w:pStyle w:val="Heading1"/>
        <w:spacing w:after="160" w:before="360"/>
      </w:pPr>
      <w:r>
        <w:t xml:space="preserve">1. Executive Summary</w:t>
      </w:r>
    </w:p>
    <w:p>
      <w:pPr>
        <w:spacing w:after="140" w:line="276"/>
      </w:pPr>
      <w:r>
        <w:t xml:space="preserve">Today, editing a Serfis document means </w:t>
      </w:r>
      <w:r>
        <w:rPr>
          <w:b/>
          <w:bCs/>
        </w:rPr>
        <w:t xml:space="preserve">download → edit → re-upload</w:t>
      </w:r>
      <w:r>
        <w:t xml:space="preserve">. This proposal removes those manual steps: when a user clicks </w:t>
      </w:r>
      <w:r>
        <w:rPr>
          <w:b/>
          <w:bCs/>
        </w:rPr>
        <w:t xml:space="preserve">View/Edit</w:t>
      </w:r>
      <w:r>
        <w:t xml:space="preserve">, the document is uploaded from the network share to SharePoint Online and opens directly in Microsoft Word. All edits save automatically, several people can edit the same document at the same time, and every change is attributed to the person who made it via Track Changes. When everyone is done, the system automatically copies the document back to the network share and removes it from SharePoint — the network share remains the system of record.</w:t>
      </w:r>
    </w:p>
    <w:p>
      <w:pPr>
        <w:spacing w:after="140" w:line="276"/>
      </w:pPr>
      <w:r>
        <w:t xml:space="preserve">The user experience is a single </w:t>
      </w:r>
      <w:r>
        <w:rPr>
          <w:b/>
          <w:bCs/>
        </w:rPr>
        <w:t xml:space="preserve">View/Edit</w:t>
      </w:r>
      <w:r>
        <w:t xml:space="preserve"> button. No download, no upload, no check-in button, no extra steps.</w:t>
      </w:r>
    </w:p>
    <w:p>
      <w:pPr>
        <w:spacing w:after="140" w:line="276"/>
      </w:pPr>
      <w:r>
        <w:rPr>
          <w:b/>
          <w:bCs/>
        </w:rPr>
        <w:t xml:space="preserve">Key design points covered in this document:</w:t>
      </w:r>
    </w:p>
    <w:p>
      <w:pPr>
        <w:pStyle w:val="ListParagraph"/>
        <w:numPr>
          <w:ilvl w:val="0"/>
          <w:numId w:val="2"/>
        </w:numPr>
        <w:spacing w:after="80" w:line="276"/>
      </w:pPr>
      <w:r>
        <w:t xml:space="preserve">How the automatic “return to network share” works, and why it is driven by server-side signals from Microsoft (Graph change notifications) rather than by a “document closed” event — which does not exist in any reliable form.</w:t>
      </w:r>
    </w:p>
    <w:p>
      <w:pPr>
        <w:pStyle w:val="ListParagraph"/>
        <w:numPr>
          <w:ilvl w:val="0"/>
          <w:numId w:val="2"/>
        </w:numPr>
        <w:spacing w:after="80" w:line="276"/>
      </w:pPr>
      <w:r>
        <w:t xml:space="preserve">How Track Changes is technically enforced on every document before it reaches SharePoint.</w:t>
      </w:r>
    </w:p>
    <w:p>
      <w:pPr>
        <w:pStyle w:val="ListParagraph"/>
        <w:numPr>
          <w:ilvl w:val="0"/>
          <w:numId w:val="2"/>
        </w:numPr>
        <w:spacing w:after="80" w:line="276"/>
      </w:pPr>
      <w:r>
        <w:t xml:space="preserve">Two known trade-offs that we accept: files must be explicitly (permanently) deleted from SharePoint, and SharePoint version history is not retained — the tracked changes inside the document itself are retained.</w:t>
      </w:r>
    </w:p>
    <w:p>
      <w:pPr>
        <w:pStyle w:val="Heading1"/>
        <w:spacing w:after="160" w:before="360"/>
      </w:pPr>
      <w:r>
        <w:t xml:space="preserve">2. Current State and Goal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700"/>
      </w:tblGrid>
      <w:tr>
        <w:trPr>
          <w:tblHeader/>
        </w:trPr>
        <w:tc>
          <w:tcPr>
            <w:tcW w:type="dxa" w:w="1500"/>
            <w:shd w:fill="1F4E79" w:val="clear"/>
            <w:tcMar>
              <w:top w:type="dxa" w:w="80"/>
              <w:left w:type="dxa" w:w="120"/>
              <w:bottom w:type="dxa" w:w="80"/>
              <w:right w:type="dxa" w:w="120"/>
            </w:tcMar>
          </w:tcPr>
          <w:p>
            <w:r>
              <w:rPr>
                <w:b/>
                <w:bCs/>
                <w:color w:val="FFFFFF"/>
                <w:sz w:val="21"/>
                <w:szCs w:val="21"/>
              </w:rPr>
              <w:t xml:space="preserve"/>
            </w:r>
          </w:p>
        </w:tc>
        <w:tc>
          <w:tcPr>
            <w:tcW w:type="dxa" w:w="3700"/>
            <w:shd w:fill="1F4E79" w:val="clear"/>
            <w:tcMar>
              <w:top w:type="dxa" w:w="80"/>
              <w:left w:type="dxa" w:w="120"/>
              <w:bottom w:type="dxa" w:w="80"/>
              <w:right w:type="dxa" w:w="120"/>
            </w:tcMar>
          </w:tcPr>
          <w:p>
            <w:r>
              <w:rPr>
                <w:b/>
                <w:bCs/>
                <w:color w:val="FFFFFF"/>
                <w:sz w:val="21"/>
                <w:szCs w:val="21"/>
              </w:rPr>
              <w:t xml:space="preserve">Today</w:t>
            </w:r>
          </w:p>
        </w:tc>
        <w:tc>
          <w:tcPr>
            <w:tcW w:type="dxa" w:w="4700"/>
            <w:shd w:fill="1F4E79" w:val="clear"/>
            <w:tcMar>
              <w:top w:type="dxa" w:w="80"/>
              <w:left w:type="dxa" w:w="120"/>
              <w:bottom w:type="dxa" w:w="80"/>
              <w:right w:type="dxa" w:w="120"/>
            </w:tcMar>
          </w:tcPr>
          <w:p>
            <w:r>
              <w:rPr>
                <w:b/>
                <w:bCs/>
                <w:color w:val="FFFFFF"/>
                <w:sz w:val="21"/>
                <w:szCs w:val="21"/>
              </w:rPr>
              <w:t xml:space="preserve">Proposed</w:t>
            </w:r>
          </w:p>
        </w:tc>
      </w:tr>
      <w:tr>
        <w:tc>
          <w:tcPr>
            <w:tcW w:type="dxa" w:w="1500"/>
            <w:tcMar>
              <w:top w:type="dxa" w:w="80"/>
              <w:left w:type="dxa" w:w="120"/>
              <w:bottom w:type="dxa" w:w="80"/>
              <w:right w:type="dxa" w:w="120"/>
            </w:tcMar>
          </w:tcPr>
          <w:p>
            <w:pPr>
              <w:spacing w:after="40"/>
            </w:pPr>
            <w:r>
              <w:rPr>
                <w:b/>
                <w:bCs/>
                <w:sz w:val="21"/>
                <w:szCs w:val="21"/>
              </w:rPr>
              <w:t xml:space="preserve">Storage</w:t>
            </w:r>
          </w:p>
        </w:tc>
        <w:tc>
          <w:tcPr>
            <w:tcW w:type="dxa" w:w="3700"/>
            <w:tcMar>
              <w:top w:type="dxa" w:w="80"/>
              <w:left w:type="dxa" w:w="120"/>
              <w:bottom w:type="dxa" w:w="80"/>
              <w:right w:type="dxa" w:w="120"/>
            </w:tcMar>
          </w:tcPr>
          <w:p>
            <w:pPr>
              <w:spacing w:after="40"/>
            </w:pPr>
            <w:r>
              <w:rPr>
                <w:sz w:val="21"/>
                <w:szCs w:val="21"/>
              </w:rPr>
              <w:t xml:space="preserve">Network share (via Serfis)</w:t>
            </w:r>
          </w:p>
        </w:tc>
        <w:tc>
          <w:tcPr>
            <w:tcW w:type="dxa" w:w="4700"/>
            <w:tcMar>
              <w:top w:type="dxa" w:w="80"/>
              <w:left w:type="dxa" w:w="120"/>
              <w:bottom w:type="dxa" w:w="80"/>
              <w:right w:type="dxa" w:w="120"/>
            </w:tcMar>
          </w:tcPr>
          <w:p>
            <w:pPr>
              <w:spacing w:after="40"/>
            </w:pPr>
            <w:r>
              <w:rPr>
                <w:sz w:val="21"/>
                <w:szCs w:val="21"/>
              </w:rPr>
              <w:t xml:space="preserve">Network share remains system of record; SharePoint Online used as a temporary editing workspace</w:t>
            </w:r>
          </w:p>
        </w:tc>
      </w:tr>
      <w:tr>
        <w:tc>
          <w:tcPr>
            <w:tcW w:type="dxa" w:w="1500"/>
            <w:shd w:fill="F2F5FB" w:val="clear"/>
            <w:tcMar>
              <w:top w:type="dxa" w:w="80"/>
              <w:left w:type="dxa" w:w="120"/>
              <w:bottom w:type="dxa" w:w="80"/>
              <w:right w:type="dxa" w:w="120"/>
            </w:tcMar>
          </w:tcPr>
          <w:p>
            <w:pPr>
              <w:spacing w:after="40"/>
            </w:pPr>
            <w:r>
              <w:rPr>
                <w:b/>
                <w:bCs/>
                <w:sz w:val="21"/>
                <w:szCs w:val="21"/>
              </w:rPr>
              <w:t xml:space="preserve">Editing</w:t>
            </w:r>
          </w:p>
        </w:tc>
        <w:tc>
          <w:tcPr>
            <w:tcW w:type="dxa" w:w="3700"/>
            <w:shd w:fill="F2F5FB" w:val="clear"/>
            <w:tcMar>
              <w:top w:type="dxa" w:w="80"/>
              <w:left w:type="dxa" w:w="120"/>
              <w:bottom w:type="dxa" w:w="80"/>
              <w:right w:type="dxa" w:w="120"/>
            </w:tcMar>
          </w:tcPr>
          <w:p>
            <w:pPr>
              <w:spacing w:after="40"/>
            </w:pPr>
            <w:r>
              <w:rPr>
                <w:sz w:val="21"/>
                <w:szCs w:val="21"/>
              </w:rPr>
              <w:t xml:space="preserve">Download → edit locally → re-upload</w:t>
            </w:r>
          </w:p>
        </w:tc>
        <w:tc>
          <w:tcPr>
            <w:tcW w:type="dxa" w:w="4700"/>
            <w:shd w:fill="F2F5FB" w:val="clear"/>
            <w:tcMar>
              <w:top w:type="dxa" w:w="80"/>
              <w:left w:type="dxa" w:w="120"/>
              <w:bottom w:type="dxa" w:w="80"/>
              <w:right w:type="dxa" w:w="120"/>
            </w:tcMar>
          </w:tcPr>
          <w:p>
            <w:pPr>
              <w:spacing w:after="40"/>
            </w:pPr>
            <w:r>
              <w:rPr>
                <w:sz w:val="21"/>
                <w:szCs w:val="21"/>
              </w:rPr>
              <w:t xml:space="preserve">Click View/Edit → opens in Word → autosaves — no manual file handling</w:t>
            </w:r>
          </w:p>
        </w:tc>
      </w:tr>
      <w:tr>
        <w:tc>
          <w:tcPr>
            <w:tcW w:type="dxa" w:w="1500"/>
            <w:tcMar>
              <w:top w:type="dxa" w:w="80"/>
              <w:left w:type="dxa" w:w="120"/>
              <w:bottom w:type="dxa" w:w="80"/>
              <w:right w:type="dxa" w:w="120"/>
            </w:tcMar>
          </w:tcPr>
          <w:p>
            <w:pPr>
              <w:spacing w:after="40"/>
            </w:pPr>
            <w:r>
              <w:rPr>
                <w:b/>
                <w:bCs/>
                <w:sz w:val="21"/>
                <w:szCs w:val="21"/>
              </w:rPr>
              <w:t xml:space="preserve">Co-authoring</w:t>
            </w:r>
          </w:p>
        </w:tc>
        <w:tc>
          <w:tcPr>
            <w:tcW w:type="dxa" w:w="3700"/>
            <w:tcMar>
              <w:top w:type="dxa" w:w="80"/>
              <w:left w:type="dxa" w:w="120"/>
              <w:bottom w:type="dxa" w:w="80"/>
              <w:right w:type="dxa" w:w="120"/>
            </w:tcMar>
          </w:tcPr>
          <w:p>
            <w:pPr>
              <w:spacing w:after="40"/>
            </w:pPr>
            <w:r>
              <w:rPr>
                <w:sz w:val="21"/>
                <w:szCs w:val="21"/>
              </w:rPr>
              <w:t xml:space="preserve">Not possible — one copy per person, conflicts resolved manually</w:t>
            </w:r>
          </w:p>
        </w:tc>
        <w:tc>
          <w:tcPr>
            <w:tcW w:type="dxa" w:w="4700"/>
            <w:tcMar>
              <w:top w:type="dxa" w:w="80"/>
              <w:left w:type="dxa" w:w="120"/>
              <w:bottom w:type="dxa" w:w="80"/>
              <w:right w:type="dxa" w:w="120"/>
            </w:tcMar>
          </w:tcPr>
          <w:p>
            <w:pPr>
              <w:spacing w:after="40"/>
            </w:pPr>
            <w:r>
              <w:rPr>
                <w:sz w:val="21"/>
                <w:szCs w:val="21"/>
              </w:rPr>
              <w:t xml:space="preserve">Multiple users edit the same document simultaneously; changes merge live</w:t>
            </w:r>
          </w:p>
        </w:tc>
      </w:tr>
      <w:tr>
        <w:tc>
          <w:tcPr>
            <w:tcW w:type="dxa" w:w="1500"/>
            <w:shd w:fill="F2F5FB" w:val="clear"/>
            <w:tcMar>
              <w:top w:type="dxa" w:w="80"/>
              <w:left w:type="dxa" w:w="120"/>
              <w:bottom w:type="dxa" w:w="80"/>
              <w:right w:type="dxa" w:w="120"/>
            </w:tcMar>
          </w:tcPr>
          <w:p>
            <w:pPr>
              <w:spacing w:after="40"/>
            </w:pPr>
            <w:r>
              <w:rPr>
                <w:b/>
                <w:bCs/>
                <w:sz w:val="21"/>
                <w:szCs w:val="21"/>
              </w:rPr>
              <w:t xml:space="preserve">Attribution</w:t>
            </w:r>
          </w:p>
        </w:tc>
        <w:tc>
          <w:tcPr>
            <w:tcW w:type="dxa" w:w="3700"/>
            <w:shd w:fill="F2F5FB" w:val="clear"/>
            <w:tcMar>
              <w:top w:type="dxa" w:w="80"/>
              <w:left w:type="dxa" w:w="120"/>
              <w:bottom w:type="dxa" w:w="80"/>
              <w:right w:type="dxa" w:w="120"/>
            </w:tcMar>
          </w:tcPr>
          <w:p>
            <w:pPr>
              <w:spacing w:after="40"/>
            </w:pPr>
            <w:r>
              <w:rPr>
                <w:sz w:val="21"/>
                <w:szCs w:val="21"/>
              </w:rPr>
              <w:t xml:space="preserve">None — whoever re-uploads last</w:t>
            </w:r>
          </w:p>
        </w:tc>
        <w:tc>
          <w:tcPr>
            <w:tcW w:type="dxa" w:w="4700"/>
            <w:shd w:fill="F2F5FB" w:val="clear"/>
            <w:tcMar>
              <w:top w:type="dxa" w:w="80"/>
              <w:left w:type="dxa" w:w="120"/>
              <w:bottom w:type="dxa" w:w="80"/>
              <w:right w:type="dxa" w:w="120"/>
            </w:tcMar>
          </w:tcPr>
          <w:p>
            <w:pPr>
              <w:spacing w:after="40"/>
            </w:pPr>
            <w:r>
              <w:rPr>
                <w:sz w:val="21"/>
                <w:szCs w:val="21"/>
              </w:rPr>
              <w:t xml:space="preserve">Track Changes records every author’s edits under their own name</w:t>
            </w:r>
          </w:p>
        </w:tc>
      </w:tr>
      <w:tr>
        <w:tc>
          <w:tcPr>
            <w:tcW w:type="dxa" w:w="1500"/>
            <w:tcMar>
              <w:top w:type="dxa" w:w="80"/>
              <w:left w:type="dxa" w:w="120"/>
              <w:bottom w:type="dxa" w:w="80"/>
              <w:right w:type="dxa" w:w="120"/>
            </w:tcMar>
          </w:tcPr>
          <w:p>
            <w:pPr>
              <w:spacing w:after="40"/>
            </w:pPr>
            <w:r>
              <w:rPr>
                <w:b/>
                <w:bCs/>
                <w:sz w:val="21"/>
                <w:szCs w:val="21"/>
              </w:rPr>
              <w:t xml:space="preserve">Authentication</w:t>
            </w:r>
          </w:p>
        </w:tc>
        <w:tc>
          <w:tcPr>
            <w:tcW w:type="dxa" w:w="3700"/>
            <w:tcMar>
              <w:top w:type="dxa" w:w="80"/>
              <w:left w:type="dxa" w:w="120"/>
              <w:bottom w:type="dxa" w:w="80"/>
              <w:right w:type="dxa" w:w="120"/>
            </w:tcMar>
          </w:tcPr>
          <w:p>
            <w:pPr>
              <w:spacing w:after="40"/>
            </w:pPr>
            <w:r>
              <w:rPr>
                <w:sz w:val="21"/>
                <w:szCs w:val="21"/>
              </w:rPr>
              <w:t xml:space="preserve">n/a</w:t>
            </w:r>
          </w:p>
        </w:tc>
        <w:tc>
          <w:tcPr>
            <w:tcW w:type="dxa" w:w="4700"/>
            <w:tcMar>
              <w:top w:type="dxa" w:w="80"/>
              <w:left w:type="dxa" w:w="120"/>
              <w:bottom w:type="dxa" w:w="80"/>
              <w:right w:type="dxa" w:w="120"/>
            </w:tcMar>
          </w:tcPr>
          <w:p>
            <w:pPr>
              <w:spacing w:after="40"/>
            </w:pPr>
            <w:r>
              <w:rPr>
                <w:sz w:val="21"/>
                <w:szCs w:val="21"/>
              </w:rPr>
              <w:t xml:space="preserve">Entra ID (Azure AD), delegated — the app always acts as the signed-in user</w:t>
            </w:r>
          </w:p>
        </w:tc>
      </w:tr>
    </w:tbl>
    <w:p>
      <w:pPr>
        <w:spacing w:after="60"/>
      </w:pPr>
      <w:r>
        <w:t xml:space="preserve"/>
      </w:r>
    </w:p>
    <w:p>
      <w:pPr>
        <w:pStyle w:val="Heading1"/>
        <w:spacing w:after="160" w:before="360"/>
      </w:pPr>
      <w:r>
        <w:t xml:space="preserve">3. Document Lifecycle (End-to-End Flow)</w:t>
      </w:r>
    </w:p>
    <w:p>
      <w:pPr>
        <w:pStyle w:val="ListParagraph"/>
        <w:numPr>
          <w:ilvl w:val="0"/>
          <w:numId w:val="3"/>
        </w:numPr>
        <w:spacing w:after="80" w:line="276"/>
      </w:pPr>
      <w:r>
        <w:rPr>
          <w:b/>
          <w:bCs/>
        </w:rPr>
        <w:t xml:space="preserve">User clicks View/Edit</w:t>
      </w:r>
      <w:r>
        <w:t xml:space="preserve"> on a document in Serfis. The document opens in edit mode — there is no separate checkout or check-in button.</w:t>
      </w:r>
    </w:p>
    <w:p>
      <w:pPr>
        <w:pStyle w:val="ListParagraph"/>
        <w:numPr>
          <w:ilvl w:val="0"/>
          <w:numId w:val="3"/>
        </w:numPr>
        <w:spacing w:after="80" w:line="276"/>
      </w:pPr>
      <w:r>
        <w:rPr>
          <w:b/>
          <w:bCs/>
        </w:rPr>
        <w:t xml:space="preserve">Serfis checks whether the document is already in SharePoint.</w:t>
      </w:r>
      <w:r>
        <w:t xml:space="preserve"> If another user is already editing, Serfis returns the existing SharePoint copy (so the second user sees all changes and joins the co-authoring session). If not, Serfis uploads the file from the network share to the SharePoint document library via Microsoft Graph. A database lock prevents two simultaneous first-clicks from creating duplicate copies.</w:t>
      </w:r>
    </w:p>
    <w:p>
      <w:pPr>
        <w:pStyle w:val="ListParagraph"/>
        <w:numPr>
          <w:ilvl w:val="0"/>
          <w:numId w:val="3"/>
        </w:numPr>
        <w:spacing w:after="80" w:line="276"/>
      </w:pPr>
      <w:r>
        <w:rPr>
          <w:b/>
          <w:bCs/>
        </w:rPr>
        <w:t xml:space="preserve">Before upload, Serfis enforces Track Changes</w:t>
      </w:r>
      <w:r>
        <w:t xml:space="preserve"> inside the document file itself (see Section 6).</w:t>
      </w:r>
    </w:p>
    <w:p>
      <w:pPr>
        <w:pStyle w:val="ListParagraph"/>
        <w:numPr>
          <w:ilvl w:val="0"/>
          <w:numId w:val="3"/>
        </w:numPr>
        <w:spacing w:after="80" w:line="276"/>
      </w:pPr>
      <w:r>
        <w:rPr>
          <w:b/>
          <w:bCs/>
        </w:rPr>
        <w:t xml:space="preserve">The document opens directly in Desktop Word</w:t>
      </w:r>
      <w:r>
        <w:t xml:space="preserve"> using the </w:t>
      </w:r>
      <w:r>
        <w:rPr>
          <w:rFonts w:ascii="Consolas" w:cs="Consolas" w:eastAsia="Consolas" w:hAnsi="Consolas"/>
          <w:sz w:val="20"/>
          <w:szCs w:val="20"/>
        </w:rPr>
        <w:t xml:space="preserve">ms-word:ofe|u|{webUrl}</w:t>
      </w:r>
      <w:r>
        <w:t xml:space="preserve"> protocol link. AutoSave is on by default because the file is opened from SharePoint — every edit is saved continuously. Multiple users can have the document open at once.</w:t>
      </w:r>
    </w:p>
    <w:p>
      <w:pPr>
        <w:pStyle w:val="ListParagraph"/>
        <w:numPr>
          <w:ilvl w:val="0"/>
          <w:numId w:val="3"/>
        </w:numPr>
        <w:spacing w:after="80" w:line="276"/>
      </w:pPr>
      <w:r>
        <w:rPr>
          <w:b/>
          <w:bCs/>
        </w:rPr>
        <w:t xml:space="preserve">The user simply closes Word when done.</w:t>
      </w:r>
      <w:r>
        <w:t xml:space="preserve"> Nothing else is required from the user.</w:t>
      </w:r>
    </w:p>
    <w:p>
      <w:pPr>
        <w:pStyle w:val="ListParagraph"/>
        <w:numPr>
          <w:ilvl w:val="0"/>
          <w:numId w:val="3"/>
        </w:numPr>
        <w:spacing w:after="80" w:line="276"/>
      </w:pPr>
      <w:r>
        <w:rPr>
          <w:b/>
          <w:bCs/>
        </w:rPr>
        <w:t xml:space="preserve">The system detects that editing has finished</w:t>
      </w:r>
      <w:r>
        <w:t xml:space="preserve"> (see Section 5), copies the final document back to the network share, and deletes it from SharePoint. The document is once again served from the network share, now containing all tracked changes.</w:t>
      </w:r>
    </w:p>
    <w:p>
      <w:pPr>
        <w:pStyle w:val="Heading1"/>
        <w:spacing w:after="160" w:before="360"/>
      </w:pPr>
      <w:r>
        <w:t xml:space="preserve">4. Why There Is No Reliable “Document Closed” Event</w:t>
      </w:r>
    </w:p>
    <w:p>
      <w:pPr>
        <w:spacing w:after="140" w:line="276"/>
      </w:pPr>
      <w:r>
        <w:t xml:space="preserve">The intuitive design — “when the user closes the document, call a webhook that copies the file back and deletes it from SharePoint” — was evaluated, including the option of building an </w:t>
      </w:r>
      <w:r>
        <w:rPr>
          <w:b/>
          <w:bCs/>
        </w:rPr>
        <w:t xml:space="preserve">Office Add-in</w:t>
      </w:r>
      <w:r>
        <w:t xml:space="preserve"> to send that signal. It cannot be made reliable, for the following reasons:</w:t>
      </w:r>
    </w:p>
    <w:p>
      <w:pPr>
        <w:pStyle w:val="ListParagraph"/>
        <w:numPr>
          <w:ilvl w:val="0"/>
          <w:numId w:val="2"/>
        </w:numPr>
        <w:spacing w:after="80" w:line="276"/>
      </w:pPr>
      <w:r>
        <w:rPr>
          <w:b/>
          <w:bCs/>
        </w:rPr>
        <w:t xml:space="preserve">The Office JavaScript API has no document-close event.</w:t>
      </w:r>
      <w:r>
        <w:t xml:space="preserve"> Word, Excel and PowerPoint add-ins expose no “onDocumentClosed” hook. When the user closes the document, the add-in’s runtime is terminated without any guaranteed callback. Microsoft deliberately does not offer one, because a process that is shutting down cannot be trusted to complete an outgoing web call.</w:t>
      </w:r>
    </w:p>
    <w:p>
      <w:pPr>
        <w:pStyle w:val="ListParagraph"/>
        <w:numPr>
          <w:ilvl w:val="0"/>
          <w:numId w:val="2"/>
        </w:numPr>
        <w:spacing w:after="80" w:line="276"/>
      </w:pPr>
      <w:r>
        <w:rPr>
          <w:b/>
          <w:bCs/>
        </w:rPr>
        <w:t xml:space="preserve">An add-in is not guaranteed to be running at all.</w:t>
      </w:r>
      <w:r>
        <w:t xml:space="preserve"> Task-pane add-ins run only while their pane is open; even auto-open (shared runtime) add-ins die with the host application. A crash, force-quit, closed laptop lid, or dropped network connection all end the session with no signal sent.</w:t>
      </w:r>
    </w:p>
    <w:p>
      <w:pPr>
        <w:pStyle w:val="ListParagraph"/>
        <w:numPr>
          <w:ilvl w:val="0"/>
          <w:numId w:val="2"/>
        </w:numPr>
        <w:spacing w:after="80" w:line="276"/>
      </w:pPr>
      <w:r>
        <w:rPr>
          <w:b/>
          <w:bCs/>
        </w:rPr>
        <w:t xml:space="preserve">Co-authoring breaks the semantics.</w:t>
      </w:r>
      <w:r>
        <w:t xml:space="preserve"> With several people in the document, a close event would fire when </w:t>
      </w:r>
      <w:r>
        <w:rPr>
          <w:b/>
          <w:bCs/>
        </w:rPr>
        <w:t xml:space="preserve">each</w:t>
      </w:r>
      <w:r>
        <w:t xml:space="preserve"> user closes. Acting on the first close would remove the file while others are still editing it. The system must know when the </w:t>
      </w:r>
      <w:r>
        <w:rPr>
          <w:b/>
          <w:bCs/>
        </w:rPr>
        <w:t xml:space="preserve">last</w:t>
      </w:r>
      <w:r>
        <w:t xml:space="preserve"> user has left — which no client-side event can tell us.</w:t>
      </w:r>
    </w:p>
    <w:p>
      <w:pPr>
        <w:spacing w:after="140" w:line="276"/>
      </w:pPr>
      <w:r>
        <w:t xml:space="preserve">Conclusion: document closure can only be </w:t>
      </w:r>
      <w:r>
        <w:rPr>
          <w:b/>
          <w:bCs/>
        </w:rPr>
        <w:t xml:space="preserve">inferred on the server</w:t>
      </w:r>
      <w:r>
        <w:t xml:space="preserve">, never signaled from the client. The next section describes how we infer it quickly and safely — while keeping the fully automatic user experience.</w:t>
      </w:r>
    </w:p>
    <w:p>
      <w:pPr>
        <w:pStyle w:val="Heading1"/>
        <w:spacing w:after="160" w:before="360"/>
      </w:pPr>
      <w:r>
        <w:t xml:space="preserve">5. Automatic Return to Network Share — Recommended Design</w:t>
      </w:r>
    </w:p>
    <w:p>
      <w:pPr>
        <w:spacing w:after="140" w:line="276"/>
      </w:pPr>
      <w:r>
        <w:t xml:space="preserve">We still use a webhook — but it comes from </w:t>
      </w:r>
      <w:r>
        <w:rPr>
          <w:b/>
          <w:bCs/>
        </w:rPr>
        <w:t xml:space="preserve">Microsoft Graph (server-side)</w:t>
      </w:r>
      <w:r>
        <w:t xml:space="preserve">, not from Word (client-side). Microsoft Graph change notifications are a supported, reliable service: SharePoint itself notifies our application every time the document is saved.</w:t>
      </w:r>
    </w:p>
    <w:p>
      <w:pPr>
        <w:pStyle w:val="ListParagraph"/>
        <w:numPr>
          <w:ilvl w:val="0"/>
          <w:numId w:val="4"/>
        </w:numPr>
        <w:spacing w:after="80" w:line="276"/>
      </w:pPr>
      <w:r>
        <w:rPr>
          <w:b/>
          <w:bCs/>
        </w:rPr>
        <w:t xml:space="preserve">Graph change notification subscription.</w:t>
      </w:r>
      <w:r>
        <w:t xml:space="preserve"> Serfis subscribes to change notifications on the document library. Every save/autosave triggers a notification to a Serfis endpoint, which updates the document’s “last activity” timestamp. (Subscriptions expire and are renewed automatically by a background task.)</w:t>
      </w:r>
    </w:p>
    <w:p>
      <w:pPr>
        <w:pStyle w:val="ListParagraph"/>
        <w:numPr>
          <w:ilvl w:val="0"/>
          <w:numId w:val="4"/>
        </w:numPr>
        <w:spacing w:after="80" w:line="276"/>
      </w:pPr>
      <w:r>
        <w:rPr>
          <w:b/>
          <w:bCs/>
        </w:rPr>
        <w:t xml:space="preserve">Inactivity detection.</w:t>
      </w:r>
      <w:r>
        <w:t xml:space="preserve"> When a checked-out document has had no activity for a configurable period (e.g. 15–30 minutes), it becomes a candidate for return.</w:t>
      </w:r>
    </w:p>
    <w:p>
      <w:pPr>
        <w:pStyle w:val="ListParagraph"/>
        <w:numPr>
          <w:ilvl w:val="0"/>
          <w:numId w:val="4"/>
        </w:numPr>
        <w:spacing w:after="80" w:line="276"/>
      </w:pPr>
      <w:r>
        <w:rPr>
          <w:b/>
          <w:bCs/>
        </w:rPr>
        <w:t xml:space="preserve">Lock probe before acting.</w:t>
      </w:r>
      <w:r>
        <w:t xml:space="preserve"> Before syncing back, Serfis attempts a SharePoint checkout on the file via Graph (</w:t>
      </w:r>
      <w:r>
        <w:rPr>
          <w:rFonts w:ascii="Consolas" w:cs="Consolas" w:eastAsia="Consolas" w:hAnsi="Consolas"/>
          <w:sz w:val="20"/>
          <w:szCs w:val="20"/>
        </w:rPr>
        <w:t xml:space="preserve">POST /driveItems/{id}/checkout</w:t>
      </w:r>
      <w:r>
        <w:t xml:space="preserve">). If any user still has the document open, SharePoint refuses with a lock error — Serfis skips the file and tries later. If the checkout succeeds, no one has it open.</w:t>
      </w:r>
    </w:p>
    <w:p>
      <w:pPr>
        <w:pStyle w:val="ListParagraph"/>
        <w:numPr>
          <w:ilvl w:val="0"/>
          <w:numId w:val="4"/>
        </w:numPr>
        <w:spacing w:after="80" w:line="276"/>
      </w:pPr>
      <w:r>
        <w:rPr>
          <w:b/>
          <w:bCs/>
        </w:rPr>
        <w:t xml:space="preserve">Sync-back.</w:t>
      </w:r>
      <w:r>
        <w:t xml:space="preserve"> Serfis downloads the final bytes, writes them to the network share, deletes the file from SharePoint, and marks the document as available again in the database.</w:t>
      </w:r>
    </w:p>
    <w:p>
      <w:pPr>
        <w:pStyle w:val="ListParagraph"/>
        <w:numPr>
          <w:ilvl w:val="0"/>
          <w:numId w:val="4"/>
        </w:numPr>
        <w:spacing w:after="80" w:line="276"/>
      </w:pPr>
      <w:r>
        <w:rPr>
          <w:b/>
          <w:bCs/>
        </w:rPr>
        <w:t xml:space="preserve">Scheduled backstop job.</w:t>
      </w:r>
      <w:r>
        <w:t xml:space="preserve"> A scheduled job (e.g. every 15 minutes, plus an overnight sweep) re-checks all outstanding documents. It catches anything a missed notification or expired subscription could leave behind, so no document can remain stranded in SharePoint.</w:t>
      </w:r>
    </w:p>
    <w:p>
      <w:pPr>
        <w:spacing w:after="140" w:line="276"/>
      </w:pPr>
      <w:r>
        <w:rPr>
          <w:b/>
          <w:bCs/>
        </w:rPr>
        <w:t xml:space="preserve">Resulting user experience: </w:t>
      </w:r>
      <w:r>
        <w:t xml:space="preserve">click View/Edit, edit, close Word. Within minutes the document is back on the network share — with zero additional user actions. If a user re-opens the document before sync-back completes, they simply get the existing SharePoint copy and the activity timer resets.</w:t>
      </w:r>
    </w:p>
    <w:p>
      <w:pPr>
        <w:pStyle w:val="Heading1"/>
        <w:spacing w:after="160" w:before="360"/>
      </w:pPr>
      <w:r>
        <w:t xml:space="preserve">6. Enforcing Track Changes</w:t>
      </w:r>
    </w:p>
    <w:p>
      <w:pPr>
        <w:spacing w:after="140" w:line="276"/>
      </w:pPr>
      <w:r>
        <w:t xml:space="preserve">Track Changes is a Word document setting, not a SharePoint permission — SharePoint cannot force it. Because Serfis handles the file bytes immediately before upload, we enforce it inside the document itself using the OpenXML SDK:</w:t>
      </w:r>
    </w:p>
    <w:p>
      <w:pPr>
        <w:pStyle w:val="ListParagraph"/>
        <w:numPr>
          <w:ilvl w:val="0"/>
          <w:numId w:val="2"/>
        </w:numPr>
        <w:spacing w:after="80" w:line="276"/>
      </w:pPr>
      <w:r>
        <w:t xml:space="preserve">Inject </w:t>
      </w:r>
      <w:r>
        <w:rPr>
          <w:rFonts w:ascii="Consolas" w:cs="Consolas" w:eastAsia="Consolas" w:hAnsi="Consolas"/>
          <w:sz w:val="20"/>
          <w:szCs w:val="20"/>
        </w:rPr>
        <w:t xml:space="preserve">&lt;w:trackChanges/&gt;</w:t>
      </w:r>
      <w:r>
        <w:t xml:space="preserve"> into the document’s </w:t>
      </w:r>
      <w:r>
        <w:rPr>
          <w:rFonts w:ascii="Consolas" w:cs="Consolas" w:eastAsia="Consolas" w:hAnsi="Consolas"/>
          <w:sz w:val="20"/>
          <w:szCs w:val="20"/>
        </w:rPr>
        <w:t xml:space="preserve">settings.xml</w:t>
      </w:r>
      <w:r>
        <w:t xml:space="preserve"> at upload time — tracking is ON for every document that reaches SharePoint, regardless of user settings.</w:t>
      </w:r>
    </w:p>
    <w:p>
      <w:pPr>
        <w:pStyle w:val="ListParagraph"/>
        <w:numPr>
          <w:ilvl w:val="0"/>
          <w:numId w:val="2"/>
        </w:numPr>
        <w:spacing w:after="80" w:line="276"/>
      </w:pPr>
      <w:r>
        <w:rPr>
          <w:b/>
          <w:bCs/>
        </w:rPr>
        <w:t xml:space="preserve">Optional hardening: </w:t>
      </w:r>
      <w:r>
        <w:t xml:space="preserve">add </w:t>
      </w:r>
      <w:r>
        <w:rPr>
          <w:rFonts w:ascii="Consolas" w:cs="Consolas" w:eastAsia="Consolas" w:hAnsi="Consolas"/>
          <w:sz w:val="20"/>
          <w:szCs w:val="20"/>
        </w:rPr>
        <w:t xml:space="preserve">documentProtection</w:t>
      </w:r>
      <w:r>
        <w:t xml:space="preserve"> with </w:t>
      </w:r>
      <w:r>
        <w:rPr>
          <w:rFonts w:ascii="Consolas" w:cs="Consolas" w:eastAsia="Consolas" w:hAnsi="Consolas"/>
          <w:sz w:val="20"/>
          <w:szCs w:val="20"/>
        </w:rPr>
        <w:t xml:space="preserve">w:edit="trackedChanges"</w:t>
      </w:r>
      <w:r>
        <w:t xml:space="preserve"> (password-locked). This prevents any user from switching tracking off or accepting/rejecting changes inside Word.</w:t>
      </w:r>
    </w:p>
    <w:p>
      <w:pPr>
        <w:pStyle w:val="ListParagraph"/>
        <w:numPr>
          <w:ilvl w:val="0"/>
          <w:numId w:val="2"/>
        </w:numPr>
        <w:spacing w:after="80" w:line="276"/>
      </w:pPr>
      <w:r>
        <w:rPr>
          <w:b/>
          <w:bCs/>
        </w:rPr>
        <w:t xml:space="preserve">Role-based “Accept Changes” in Serfis: </w:t>
      </w:r>
      <w:r>
        <w:t xml:space="preserve">with tracking locked in Word, Serfis provides the accept action server-side (OpenXML), gated by the existing Employees/Roles model — available only to the document creator, the Manager, and Principal Investigators. This is how the “only the creator (or Manager/PI) can accept changes” requirement is actually enforced; Word alone cannot restrict who accepts changes.</w:t>
      </w:r>
    </w:p>
    <w:p>
      <w:pPr>
        <w:spacing w:after="140" w:line="276"/>
      </w:pPr>
      <w:r>
        <w:t xml:space="preserve">Because all editing is done as the signed-in user (delegated authentication), every tracked change carries the real author’s name — satisfying the “who changed what” requirement.</w:t>
      </w:r>
    </w:p>
    <w:p>
      <w:pPr>
        <w:pStyle w:val="Heading1"/>
        <w:spacing w:after="160" w:before="360"/>
      </w:pPr>
      <w:r>
        <w:t xml:space="preserve">7. Known Issues and Accepted Trade-offs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4000"/>
      </w:tblGrid>
      <w:tr>
        <w:trPr>
          <w:tblHeader/>
        </w:trPr>
        <w:tc>
          <w:tcPr>
            <w:tcW w:type="dxa" w:w="2100"/>
            <w:shd w:fill="1F4E79" w:val="clear"/>
            <w:tcMar>
              <w:top w:type="dxa" w:w="80"/>
              <w:left w:type="dxa" w:w="120"/>
              <w:bottom w:type="dxa" w:w="80"/>
              <w:right w:type="dxa" w:w="120"/>
            </w:tcMar>
          </w:tcPr>
          <w:p>
            <w:r>
              <w:rPr>
                <w:b/>
                <w:bCs/>
                <w:color w:val="FFFFFF"/>
                <w:sz w:val="21"/>
                <w:szCs w:val="21"/>
              </w:rPr>
              <w:t xml:space="preserve">Issue</w:t>
            </w:r>
          </w:p>
        </w:tc>
        <w:tc>
          <w:tcPr>
            <w:tcW w:type="dxa" w:w="3800"/>
            <w:shd w:fill="1F4E79" w:val="clear"/>
            <w:tcMar>
              <w:top w:type="dxa" w:w="80"/>
              <w:left w:type="dxa" w:w="120"/>
              <w:bottom w:type="dxa" w:w="80"/>
              <w:right w:type="dxa" w:w="120"/>
            </w:tcMar>
          </w:tcPr>
          <w:p>
            <w:r>
              <w:rPr>
                <w:b/>
                <w:bCs/>
                <w:color w:val="FFFFFF"/>
                <w:sz w:val="21"/>
                <w:szCs w:val="21"/>
              </w:rPr>
              <w:t xml:space="preserve">Detail</w:t>
            </w:r>
          </w:p>
        </w:tc>
        <w:tc>
          <w:tcPr>
            <w:tcW w:type="dxa" w:w="4000"/>
            <w:shd w:fill="1F4E79" w:val="clear"/>
            <w:tcMar>
              <w:top w:type="dxa" w:w="80"/>
              <w:left w:type="dxa" w:w="120"/>
              <w:bottom w:type="dxa" w:w="80"/>
              <w:right w:type="dxa" w:w="120"/>
            </w:tcMar>
          </w:tcPr>
          <w:p>
            <w:r>
              <w:rPr>
                <w:b/>
                <w:bCs/>
                <w:color w:val="FFFFFF"/>
                <w:sz w:val="21"/>
                <w:szCs w:val="21"/>
              </w:rPr>
              <w:t xml:space="preserve">Mitigation / Position</w:t>
            </w:r>
          </w:p>
        </w:tc>
      </w:tr>
      <w:tr>
        <w:tc>
          <w:tcPr>
            <w:tcW w:type="dxa" w:w="2100"/>
            <w:tcMar>
              <w:top w:type="dxa" w:w="80"/>
              <w:left w:type="dxa" w:w="120"/>
              <w:bottom w:type="dxa" w:w="80"/>
              <w:right w:type="dxa" w:w="120"/>
            </w:tcMar>
          </w:tcPr>
          <w:p>
            <w:pPr>
              <w:spacing w:after="40"/>
            </w:pPr>
            <w:r>
              <w:rPr>
                <w:b/>
                <w:bCs/>
                <w:sz w:val="21"/>
                <w:szCs w:val="21"/>
              </w:rPr>
              <w:t xml:space="preserve">Files must be explicitly deleted from SharePoint</w:t>
            </w:r>
          </w:p>
        </w:tc>
        <w:tc>
          <w:tcPr>
            <w:tcW w:type="dxa" w:w="3800"/>
            <w:tcMar>
              <w:top w:type="dxa" w:w="80"/>
              <w:left w:type="dxa" w:w="120"/>
              <w:bottom w:type="dxa" w:w="80"/>
              <w:right w:type="dxa" w:w="120"/>
            </w:tcMar>
          </w:tcPr>
          <w:p>
            <w:pPr>
              <w:spacing w:after="40"/>
            </w:pPr>
            <w:r>
              <w:rPr>
                <w:sz w:val="21"/>
                <w:szCs w:val="21"/>
              </w:rPr>
              <w:t xml:space="preserve">Deleting a file via Graph moves it to the SharePoint recycle bin, where it remains recoverable for ~93 days. For sensitive investigation content this leaves a residual copy.</w:t>
            </w:r>
          </w:p>
        </w:tc>
        <w:tc>
          <w:tcPr>
            <w:tcW w:type="dxa" w:w="4000"/>
            <w:tcMar>
              <w:top w:type="dxa" w:w="80"/>
              <w:left w:type="dxa" w:w="120"/>
              <w:bottom w:type="dxa" w:w="80"/>
              <w:right w:type="dxa" w:w="120"/>
            </w:tcMar>
          </w:tcPr>
          <w:p>
            <w:pPr>
              <w:spacing w:after="40"/>
            </w:pPr>
            <w:r>
              <w:rPr>
                <w:sz w:val="21"/>
                <w:szCs w:val="21"/>
              </w:rPr>
              <w:t xml:space="preserve">Serfis will perform a permanent delete (Graph permanentDelete) as part of sync-back, so no copy lingers in the recycle bin. We must also confirm no tenant retention/hold policy silently blocks or duplicates deletions.</w:t>
            </w:r>
          </w:p>
        </w:tc>
      </w:tr>
      <w:tr>
        <w:tc>
          <w:tcPr>
            <w:tcW w:type="dxa" w:w="2100"/>
            <w:shd w:fill="F2F5FB" w:val="clear"/>
            <w:tcMar>
              <w:top w:type="dxa" w:w="80"/>
              <w:left w:type="dxa" w:w="120"/>
              <w:bottom w:type="dxa" w:w="80"/>
              <w:right w:type="dxa" w:w="120"/>
            </w:tcMar>
          </w:tcPr>
          <w:p>
            <w:pPr>
              <w:spacing w:after="40"/>
            </w:pPr>
            <w:r>
              <w:rPr>
                <w:b/>
                <w:bCs/>
                <w:sz w:val="21"/>
                <w:szCs w:val="21"/>
              </w:rPr>
              <w:t xml:space="preserve">SharePoint version history is lost</w:t>
            </w:r>
          </w:p>
        </w:tc>
        <w:tc>
          <w:tcPr>
            <w:tcW w:type="dxa" w:w="3800"/>
            <w:shd w:fill="F2F5FB" w:val="clear"/>
            <w:tcMar>
              <w:top w:type="dxa" w:w="80"/>
              <w:left w:type="dxa" w:w="120"/>
              <w:bottom w:type="dxa" w:w="80"/>
              <w:right w:type="dxa" w:w="120"/>
            </w:tcMar>
          </w:tcPr>
          <w:p>
            <w:pPr>
              <w:spacing w:after="40"/>
            </w:pPr>
            <w:r>
              <w:rPr>
                <w:sz w:val="21"/>
                <w:szCs w:val="21"/>
              </w:rPr>
              <w:t xml:space="preserve">Each upload/delete cycle discards the SharePoint version history for that editing session.</w:t>
            </w:r>
          </w:p>
        </w:tc>
        <w:tc>
          <w:tcPr>
            <w:tcW w:type="dxa" w:w="4000"/>
            <w:shd w:fill="F2F5FB" w:val="clear"/>
            <w:tcMar>
              <w:top w:type="dxa" w:w="80"/>
              <w:left w:type="dxa" w:w="120"/>
              <w:bottom w:type="dxa" w:w="80"/>
              <w:right w:type="dxa" w:w="120"/>
            </w:tcMar>
          </w:tcPr>
          <w:p>
            <w:pPr>
              <w:spacing w:after="40"/>
            </w:pPr>
            <w:r>
              <w:rPr>
                <w:sz w:val="21"/>
                <w:szCs w:val="21"/>
              </w:rPr>
              <w:t xml:space="preserve">Accepted: the audit trail we rely on is Track Changes inside the .docx itself, which round-trips fully intact. SharePoint versioning must not be presented as an audit mechanism.</w:t>
            </w:r>
          </w:p>
        </w:tc>
      </w:tr>
      <w:tr>
        <w:tc>
          <w:tcPr>
            <w:tcW w:type="dxa" w:w="2100"/>
            <w:tcMar>
              <w:top w:type="dxa" w:w="80"/>
              <w:left w:type="dxa" w:w="120"/>
              <w:bottom w:type="dxa" w:w="80"/>
              <w:right w:type="dxa" w:w="120"/>
            </w:tcMar>
          </w:tcPr>
          <w:p>
            <w:pPr>
              <w:spacing w:after="40"/>
            </w:pPr>
            <w:r>
              <w:rPr>
                <w:b/>
                <w:bCs/>
                <w:sz w:val="21"/>
                <w:szCs w:val="21"/>
              </w:rPr>
              <w:t xml:space="preserve">Idle-but-open documents</w:t>
            </w:r>
          </w:p>
        </w:tc>
        <w:tc>
          <w:tcPr>
            <w:tcW w:type="dxa" w:w="3800"/>
            <w:tcMar>
              <w:top w:type="dxa" w:w="80"/>
              <w:left w:type="dxa" w:w="120"/>
              <w:bottom w:type="dxa" w:w="80"/>
              <w:right w:type="dxa" w:w="120"/>
            </w:tcMar>
          </w:tcPr>
          <w:p>
            <w:pPr>
              <w:spacing w:after="40"/>
            </w:pPr>
            <w:r>
              <w:rPr>
                <w:sz w:val="21"/>
                <w:szCs w:val="21"/>
              </w:rPr>
              <w:t xml:space="preserve">A user could leave a document open for hours without editing.</w:t>
            </w:r>
          </w:p>
        </w:tc>
        <w:tc>
          <w:tcPr>
            <w:tcW w:type="dxa" w:w="4000"/>
            <w:tcMar>
              <w:top w:type="dxa" w:w="80"/>
              <w:left w:type="dxa" w:w="120"/>
              <w:bottom w:type="dxa" w:w="80"/>
              <w:right w:type="dxa" w:w="120"/>
            </w:tcMar>
          </w:tcPr>
          <w:p>
            <w:pPr>
              <w:spacing w:after="40"/>
            </w:pPr>
            <w:r>
              <w:rPr>
                <w:sz w:val="21"/>
                <w:szCs w:val="21"/>
              </w:rPr>
              <w:t xml:space="preserve">The lock probe (Section 5, step 3) prevents the file from being removed while anyone has it open — inactivity alone never triggers removal.</w:t>
            </w:r>
          </w:p>
        </w:tc>
      </w:tr>
      <w:tr>
        <w:tc>
          <w:tcPr>
            <w:tcW w:type="dxa" w:w="2100"/>
            <w:shd w:fill="F2F5FB" w:val="clear"/>
            <w:tcMar>
              <w:top w:type="dxa" w:w="80"/>
              <w:left w:type="dxa" w:w="120"/>
              <w:bottom w:type="dxa" w:w="80"/>
              <w:right w:type="dxa" w:w="120"/>
            </w:tcMar>
          </w:tcPr>
          <w:p>
            <w:pPr>
              <w:spacing w:after="40"/>
            </w:pPr>
            <w:r>
              <w:rPr>
                <w:b/>
                <w:bCs/>
                <w:sz w:val="21"/>
                <w:szCs w:val="21"/>
              </w:rPr>
              <w:t xml:space="preserve">Sync-back is near-real-time, not instant</w:t>
            </w:r>
          </w:p>
        </w:tc>
        <w:tc>
          <w:tcPr>
            <w:tcW w:type="dxa" w:w="3800"/>
            <w:shd w:fill="F2F5FB" w:val="clear"/>
            <w:tcMar>
              <w:top w:type="dxa" w:w="80"/>
              <w:left w:type="dxa" w:w="120"/>
              <w:bottom w:type="dxa" w:w="80"/>
              <w:right w:type="dxa" w:w="120"/>
            </w:tcMar>
          </w:tcPr>
          <w:p>
            <w:pPr>
              <w:spacing w:after="40"/>
            </w:pPr>
            <w:r>
              <w:rPr>
                <w:sz w:val="21"/>
                <w:szCs w:val="21"/>
              </w:rPr>
              <w:t xml:space="preserve">The document returns to the network share minutes after the last user closes it, not at the exact moment of close.</w:t>
            </w:r>
          </w:p>
        </w:tc>
        <w:tc>
          <w:tcPr>
            <w:tcW w:type="dxa" w:w="4000"/>
            <w:shd w:fill="F2F5FB" w:val="clear"/>
            <w:tcMar>
              <w:top w:type="dxa" w:w="80"/>
              <w:left w:type="dxa" w:w="120"/>
              <w:bottom w:type="dxa" w:w="80"/>
              <w:right w:type="dxa" w:w="120"/>
            </w:tcMar>
          </w:tcPr>
          <w:p>
            <w:pPr>
              <w:spacing w:after="40"/>
            </w:pPr>
            <w:r>
              <w:rPr>
                <w:sz w:val="21"/>
                <w:szCs w:val="21"/>
              </w:rPr>
              <w:t xml:space="preserve">Accepted: no user action depends on the exact moment; Serfis serves the SharePoint copy during the window, so users always see the latest version.</w:t>
            </w:r>
          </w:p>
        </w:tc>
      </w:tr>
    </w:tbl>
    <w:p>
      <w:pPr>
        <w:spacing w:after="60"/>
      </w:pPr>
      <w:r>
        <w:t xml:space="preserve"/>
      </w:r>
    </w:p>
    <w:p>
      <w:pPr>
        <w:pStyle w:val="Heading1"/>
        <w:spacing w:after="160" w:before="360"/>
      </w:pPr>
      <w:r>
        <w:t xml:space="preserve">8. Security and Permissions (Summary)</w:t>
      </w:r>
    </w:p>
    <w:p>
      <w:pPr>
        <w:pStyle w:val="ListParagraph"/>
        <w:numPr>
          <w:ilvl w:val="0"/>
          <w:numId w:val="2"/>
        </w:numPr>
        <w:spacing w:after="80" w:line="276"/>
      </w:pPr>
      <w:r>
        <w:rPr>
          <w:b/>
          <w:bCs/>
        </w:rPr>
        <w:t xml:space="preserve">App registration (Entra ID), delegated permissions: </w:t>
      </w:r>
      <w:r>
        <w:rPr>
          <w:rFonts w:ascii="Consolas" w:cs="Consolas" w:eastAsia="Consolas" w:hAnsi="Consolas"/>
          <w:sz w:val="20"/>
          <w:szCs w:val="20"/>
        </w:rPr>
        <w:t xml:space="preserve">openid, profile, offline_access, User.Read, Files.ReadWrite.All, Sites.Selected</w:t>
      </w:r>
      <w:r>
        <w:t xml:space="preserve">. </w:t>
      </w:r>
      <w:r>
        <w:rPr>
          <w:rFonts w:ascii="Consolas" w:cs="Consolas" w:eastAsia="Consolas" w:hAnsi="Consolas"/>
          <w:sz w:val="20"/>
          <w:szCs w:val="20"/>
        </w:rPr>
        <w:t xml:space="preserve">Sites.Selected</w:t>
      </w:r>
      <w:r>
        <w:t xml:space="preserve"> restricts the app to the one designated SharePoint site (least privilege).</w:t>
      </w:r>
    </w:p>
    <w:p>
      <w:pPr>
        <w:pStyle w:val="ListParagraph"/>
        <w:numPr>
          <w:ilvl w:val="0"/>
          <w:numId w:val="2"/>
        </w:numPr>
        <w:spacing w:after="80" w:line="276"/>
      </w:pPr>
      <w:r>
        <w:rPr>
          <w:b/>
          <w:bCs/>
        </w:rPr>
        <w:t xml:space="preserve">All editing happens as the user: </w:t>
      </w:r>
      <w:r>
        <w:t xml:space="preserve">the app never edits on a user’s behalf with a service identity, so SharePoint’s “Modified by” and Track Changes attribution are always correct.</w:t>
      </w:r>
    </w:p>
    <w:p>
      <w:pPr>
        <w:pStyle w:val="ListParagraph"/>
        <w:numPr>
          <w:ilvl w:val="0"/>
          <w:numId w:val="2"/>
        </w:numPr>
        <w:spacing w:after="80" w:line="276"/>
      </w:pPr>
      <w:r>
        <w:rPr>
          <w:b/>
          <w:bCs/>
        </w:rPr>
        <w:t xml:space="preserve">Per-document access (recommended): </w:t>
      </w:r>
      <w:r>
        <w:t xml:space="preserve">because the app uploads each document, it can grant access on that document only to the users assigned to the case (edit or view per their role) at upload time. Revocation is automatic — the file is deleted at sync-back, so grants live exactly as long as the SharePoint copy does. This provides real case-level isolation; a View-only link alone is a convention, not an enforcement.</w:t>
      </w:r>
    </w:p>
    <w:p>
      <w:pPr>
        <w:pStyle w:val="ListParagraph"/>
        <w:numPr>
          <w:ilvl w:val="0"/>
          <w:numId w:val="2"/>
        </w:numPr>
        <w:spacing w:after="80" w:line="276"/>
      </w:pPr>
      <w:r>
        <w:rPr>
          <w:b/>
          <w:bCs/>
        </w:rPr>
        <w:t xml:space="preserve">Short exposure window: </w:t>
      </w:r>
      <w:r>
        <w:t xml:space="preserve">documents exist in SharePoint only while actively being edited, which further limits exposure.</w:t>
      </w:r>
    </w:p>
    <w:p>
      <w:pPr>
        <w:pStyle w:val="Heading1"/>
        <w:spacing w:after="160" w:before="360"/>
      </w:pPr>
      <w:r>
        <w:t xml:space="preserve">9. Sharing as PDF</w:t>
      </w:r>
    </w:p>
    <w:p>
      <w:pPr>
        <w:spacing w:after="140" w:line="276"/>
      </w:pPr>
      <w:r>
        <w:t xml:space="preserve">The existing “share as PDF via email” feature is unchanged for documents at rest on the network share (TxTextControl / PDFGenerator). While a document is in SharePoint, a PDF can alternatively be produced in a single Graph call (</w:t>
      </w:r>
      <w:r>
        <w:rPr>
          <w:rFonts w:ascii="Consolas" w:cs="Consolas" w:eastAsia="Consolas" w:hAnsi="Consolas"/>
          <w:sz w:val="20"/>
          <w:szCs w:val="20"/>
        </w:rPr>
        <w:t xml:space="preserve">GET /content?format=pdf</w:t>
      </w:r>
      <w:r>
        <w:t xml:space="preserve">) — an option to simplify that path later, not a required change.</w:t>
      </w:r>
    </w:p>
    <w:p>
      <w:pPr>
        <w:pStyle w:val="Heading1"/>
        <w:spacing w:after="160" w:before="360"/>
      </w:pPr>
      <w:r>
        <w:t xml:space="preserve">10. Open Items / Decisions Requested</w:t>
      </w:r>
    </w:p>
    <w:p>
      <w:pPr>
        <w:pStyle w:val="ListParagraph"/>
        <w:numPr>
          <w:ilvl w:val="0"/>
          <w:numId w:val="3"/>
        </w:numPr>
        <w:spacing w:after="80" w:line="276"/>
      </w:pPr>
      <w:r>
        <w:rPr>
          <w:b/>
          <w:bCs/>
        </w:rPr>
        <w:t xml:space="preserve">Approve the “inferred close” design</w:t>
      </w:r>
      <w:r>
        <w:t xml:space="preserve"> (Graph notifications + inactivity + lock probe + scheduled backstop) as the implementation of the requirement “on close, copy back to network share and delete from SharePoint.” The behavior is fully automatic for users; the trigger is server-side inference rather than a literal close event, which does not exist.</w:t>
      </w:r>
    </w:p>
    <w:p>
      <w:pPr>
        <w:pStyle w:val="ListParagraph"/>
        <w:numPr>
          <w:ilvl w:val="0"/>
          <w:numId w:val="3"/>
        </w:numPr>
        <w:spacing w:after="80" w:line="276"/>
      </w:pPr>
      <w:r>
        <w:rPr>
          <w:b/>
          <w:bCs/>
        </w:rPr>
        <w:t xml:space="preserve">Confirm the case-isolation requirement:</w:t>
      </w:r>
      <w:r>
        <w:t xml:space="preserve"> may an investigator open documents from a case they are not assigned to? If not (expected for investigation data), per-document grants as described in Section 8 will be implemented.</w:t>
      </w:r>
    </w:p>
    <w:p>
      <w:pPr>
        <w:pStyle w:val="ListParagraph"/>
        <w:numPr>
          <w:ilvl w:val="0"/>
          <w:numId w:val="3"/>
        </w:numPr>
        <w:spacing w:after="80" w:line="276"/>
      </w:pPr>
      <w:r>
        <w:rPr>
          <w:b/>
          <w:bCs/>
        </w:rPr>
        <w:t xml:space="preserve">Confirm tenant policies:</w:t>
      </w:r>
      <w:r>
        <w:t xml:space="preserve"> no retention/hold policy on the SharePoint site that blocks permanent deletion; Conditional Access permits development sign-in.</w:t>
      </w:r>
    </w:p>
    <w:p>
      <w:pPr>
        <w:pStyle w:val="ListParagraph"/>
        <w:numPr>
          <w:ilvl w:val="0"/>
          <w:numId w:val="3"/>
        </w:numPr>
        <w:spacing w:after="80" w:line="276"/>
      </w:pPr>
      <w:r>
        <w:rPr>
          <w:b/>
          <w:bCs/>
        </w:rPr>
        <w:t xml:space="preserve">Choose the inactivity threshold</w:t>
      </w:r>
      <w:r>
        <w:t xml:space="preserve"> (proposed default: 30 minutes) and whether the Track Changes password lock (Section 6) is enabled from day one.</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4E79"/>
      <w:sz w:val="32"/>
      <w:szCs w:val="32"/>
    </w:rPr>
  </w:style>
  <w:style w:type="paragraph" w:styleId="Heading2">
    <w:name w:val="Heading 2"/>
    <w:basedOn w:val="Normal"/>
    <w:next w:val="Normal"/>
    <w:qFormat/>
    <w:rPr>
      <w:rFonts w:ascii="Calibri Light" w:cs="Calibri Light" w:eastAsia="Calibri Light" w:hAnsi="Calibri Light"/>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2026-08-04T04:24:27.675Z</dcterms:created>
  <dcterms:modified xsi:type="dcterms:W3CDTF">2026-08-04T04:24:27.676Z</dcterms:modified>
</cp:coreProperties>
</file>

<file path=docProps/custom.xml><?xml version="1.0" encoding="utf-8"?>
<Properties xmlns="http://schemas.openxmlformats.org/officeDocument/2006/custom-properties" xmlns:vt="http://schemas.openxmlformats.org/officeDocument/2006/docPropsVTypes"/>
</file>