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1F4E79"/>
          <w:sz w:val="48"/>
          <w:szCs w:val="48"/>
        </w:rPr>
        <w:t xml:space="preserve">Serfis Document Management — Scenario 2</w:t>
      </w:r>
    </w:p>
    <w:p>
      <w:pPr>
        <w:spacing w:after="80"/>
      </w:pPr>
      <w:r>
        <w:rPr>
          <w:color w:val="595959"/>
          <w:sz w:val="28"/>
          <w:szCs w:val="28"/>
        </w:rPr>
        <w:t xml:space="preserve">SharePoint Online as the System of Record, with a Sealed Library and Just-in-Time Access</w:t>
      </w:r>
    </w:p>
    <w:p>
      <w:pPr>
        <w:pBdr>
          <w:bottom w:val="single" w:color="1F4E79" w:sz="8"/>
        </w:pBdr>
        <w:spacing w:after="60"/>
      </w:pPr>
    </w:p>
    <w:p>
      <w:pPr>
        <w:spacing w:after="140" w:line="276"/>
      </w:pPr>
      <w:r>
        <w:t xml:space="preserve">Design proposal — August 2026    |    Status: for review (recommended option)    |    Companion to: “In-Place Editing via SharePoint Online” (Scenario 1)</w:t>
      </w:r>
    </w:p>
    <w:p>
      <w:pPr>
        <w:pStyle w:val="Heading1"/>
        <w:spacing w:after="160" w:before="360"/>
      </w:pPr>
      <w:r>
        <w:t xml:space="preserve">1. Executive Summary</w:t>
      </w:r>
    </w:p>
    <w:p>
      <w:pPr>
        <w:spacing w:after="140" w:line="276"/>
      </w:pPr>
      <w:r>
        <w:t xml:space="preserve">Scenario 1 uses SharePoint only as a temporary editing workspace and keeps the network share as the system of record. This document proposes going one step further: </w:t>
      </w:r>
      <w:r>
        <w:rPr>
          <w:b/>
          <w:bCs/>
        </w:rPr>
        <w:t xml:space="preserve">store all Serfis documents permanently in SharePoint Online</w:t>
      </w:r>
      <w:r>
        <w:t xml:space="preserve"> and retire the network share as document storage. Users keep exactly the same experience — click </w:t>
      </w:r>
      <w:r>
        <w:rPr>
          <w:b/>
          <w:bCs/>
        </w:rPr>
        <w:t xml:space="preserve">View/Edit</w:t>
      </w:r>
      <w:r>
        <w:t xml:space="preserve">, edit in Word with autosave and co-authoring, close when done — but the organization gains what a network share can never provide:</w:t>
      </w:r>
    </w:p>
    <w:p>
      <w:pPr>
        <w:pStyle w:val="ListParagraph"/>
        <w:numPr>
          <w:ilvl w:val="0"/>
          <w:numId w:val="2"/>
        </w:numPr>
        <w:spacing w:after="80" w:line="276"/>
      </w:pPr>
      <w:r>
        <w:rPr>
          <w:b/>
          <w:bCs/>
        </w:rPr>
        <w:t xml:space="preserve">Full version management: </w:t>
      </w:r>
      <w:r>
        <w:t xml:space="preserve">every editing session builds version history automatically; any previous version can be viewed, compared, and restored to become the current version — native SharePoint functionality, no custom code.</w:t>
      </w:r>
    </w:p>
    <w:p>
      <w:pPr>
        <w:pStyle w:val="ListParagraph"/>
        <w:numPr>
          <w:ilvl w:val="0"/>
          <w:numId w:val="2"/>
        </w:numPr>
        <w:spacing w:after="80" w:line="276"/>
      </w:pPr>
      <w:r>
        <w:rPr>
          <w:b/>
          <w:bCs/>
        </w:rPr>
        <w:t xml:space="preserve">Enforced retention: </w:t>
      </w:r>
      <w:r>
        <w:t xml:space="preserve">deleted documents are recoverable for ~93 days from the recycle bin by default, and a Microsoft Purview retention policy can enforce a strict 90/180-day (or longer) retention rule at the compliance layer — stronger than anything possible on a file server.</w:t>
      </w:r>
    </w:p>
    <w:p>
      <w:pPr>
        <w:pStyle w:val="ListParagraph"/>
        <w:numPr>
          <w:ilvl w:val="0"/>
          <w:numId w:val="2"/>
        </w:numPr>
        <w:spacing w:after="80" w:line="276"/>
      </w:pPr>
      <w:r>
        <w:rPr>
          <w:b/>
          <w:bCs/>
        </w:rPr>
        <w:t xml:space="preserve">A second, independent audit trail: </w:t>
      </w:r>
      <w:r>
        <w:t xml:space="preserve">SharePoint/Purview audit logs record every open, edit, and permission change, alongside the application’s own records.</w:t>
      </w:r>
    </w:p>
    <w:p>
      <w:pPr>
        <w:spacing w:after="140" w:line="276"/>
      </w:pPr>
      <w:r>
        <w:t xml:space="preserve">The security concern — “everyone would have access to everything” — is addressed with a </w:t>
      </w:r>
      <w:r>
        <w:rPr>
          <w:b/>
          <w:bCs/>
        </w:rPr>
        <w:t xml:space="preserve">sealed library and just-in-time (JIT) access</w:t>
      </w:r>
      <w:r>
        <w:t xml:space="preserve">: no user or group has any standing access to the document library. Access to a single document is granted to a single user at the moment they open it, based on their role in the Serfis database, and withdrawn automatically shortly after they finish. Even browsing SharePoint directly, a user sees only the documents they are currently working on. The Serfis database remains the single source of truth for who may access what.</w:t>
      </w:r>
    </w:p>
    <w:p>
      <w:pPr>
        <w:pStyle w:val="Heading1"/>
        <w:spacing w:after="160" w:before="360"/>
      </w:pPr>
      <w:r>
        <w:t xml:space="preserve">2. Security Model: Sealed Library + Just-in-Time Access</w:t>
      </w:r>
    </w:p>
    <w:p>
      <w:pPr>
        <w:spacing w:after="140" w:line="276"/>
      </w:pPr>
      <w:r>
        <w:rPr>
          <w:b/>
          <w:bCs/>
        </w:rPr>
        <w:t xml:space="preserve">Baseline: nobody has access.</w:t>
      </w:r>
    </w:p>
    <w:p>
      <w:pPr>
        <w:pStyle w:val="ListParagraph"/>
        <w:numPr>
          <w:ilvl w:val="0"/>
          <w:numId w:val="2"/>
        </w:numPr>
        <w:spacing w:after="80" w:line="276"/>
      </w:pPr>
      <w:r>
        <w:t xml:space="preserve">Permission inheritance on the document library is broken; no user or group is granted anything.</w:t>
      </w:r>
    </w:p>
    <w:p>
      <w:pPr>
        <w:pStyle w:val="ListParagraph"/>
        <w:numPr>
          <w:ilvl w:val="0"/>
          <w:numId w:val="2"/>
        </w:numPr>
        <w:spacing w:after="80" w:line="276"/>
      </w:pPr>
      <w:r>
        <w:t xml:space="preserve">The only standing identity is the </w:t>
      </w:r>
      <w:r>
        <w:rPr>
          <w:b/>
          <w:bCs/>
        </w:rPr>
        <w:t xml:space="preserve">application itself</w:t>
      </w:r>
      <w:r>
        <w:t xml:space="preserve"> — the Serfis app registration acting as an app-only service principal with application permissions restricted to this one site via </w:t>
      </w:r>
      <w:r>
        <w:rPr>
          <w:rFonts w:ascii="Consolas" w:cs="Consolas" w:eastAsia="Consolas" w:hAnsi="Consolas"/>
          <w:sz w:val="20"/>
          <w:szCs w:val="20"/>
        </w:rPr>
        <w:t xml:space="preserve">Sites.Selected</w:t>
      </w:r>
      <w:r>
        <w:t xml:space="preserve">. Unlike a traditional “service account” user, it has no mailbox, cannot be phished, and cannot sign in interactively.</w:t>
      </w:r>
    </w:p>
    <w:p>
      <w:pPr>
        <w:spacing w:after="140" w:line="276"/>
      </w:pPr>
      <w:r>
        <w:rPr>
          <w:b/>
          <w:bCs/>
        </w:rPr>
        <w:t xml:space="preserve">Just-in-time grant (on View/Edit click):</w:t>
      </w:r>
    </w:p>
    <w:p>
      <w:pPr>
        <w:pStyle w:val="ListParagraph"/>
        <w:numPr>
          <w:ilvl w:val="0"/>
          <w:numId w:val="3"/>
        </w:numPr>
        <w:spacing w:after="80" w:line="276"/>
      </w:pPr>
      <w:r>
        <w:t xml:space="preserve">Serfis verifies the user’s entitlement against the application database (role, case assignment).</w:t>
      </w:r>
    </w:p>
    <w:p>
      <w:pPr>
        <w:pStyle w:val="ListParagraph"/>
        <w:numPr>
          <w:ilvl w:val="0"/>
          <w:numId w:val="3"/>
        </w:numPr>
        <w:spacing w:after="80" w:line="276"/>
      </w:pPr>
      <w:r>
        <w:t xml:space="preserve">Serfis (as the service principal) grants the user permission on </w:t>
      </w:r>
      <w:r>
        <w:rPr>
          <w:b/>
          <w:bCs/>
        </w:rPr>
        <w:t xml:space="preserve">that one document</w:t>
      </w:r>
      <w:r>
        <w:t xml:space="preserve"> via Microsoft Graph (</w:t>
      </w:r>
      <w:r>
        <w:rPr>
          <w:rFonts w:ascii="Consolas" w:cs="Consolas" w:eastAsia="Consolas" w:hAnsi="Consolas"/>
          <w:sz w:val="20"/>
          <w:szCs w:val="20"/>
        </w:rPr>
        <w:t xml:space="preserve">POST /drives/{driveId}/items/{itemId}/invite</w:t>
      </w:r>
      <w:r>
        <w:t xml:space="preserve">), with role </w:t>
      </w:r>
      <w:r>
        <w:rPr>
          <w:rFonts w:ascii="Consolas" w:cs="Consolas" w:eastAsia="Consolas" w:hAnsi="Consolas"/>
          <w:sz w:val="20"/>
          <w:szCs w:val="20"/>
        </w:rPr>
        <w:t xml:space="preserve">read</w:t>
      </w:r>
      <w:r>
        <w:t xml:space="preserve"> or </w:t>
      </w:r>
      <w:r>
        <w:rPr>
          <w:rFonts w:ascii="Consolas" w:cs="Consolas" w:eastAsia="Consolas" w:hAnsi="Consolas"/>
          <w:sz w:val="20"/>
          <w:szCs w:val="20"/>
        </w:rPr>
        <w:t xml:space="preserve">write</w:t>
      </w:r>
      <w:r>
        <w:t xml:space="preserve"> according to their Serfis role.</w:t>
      </w:r>
    </w:p>
    <w:p>
      <w:pPr>
        <w:pStyle w:val="ListParagraph"/>
        <w:numPr>
          <w:ilvl w:val="0"/>
          <w:numId w:val="3"/>
        </w:numPr>
        <w:spacing w:after="80" w:line="276"/>
      </w:pPr>
      <w:r>
        <w:t xml:space="preserve">The grant is recorded in the database: user, document, role, timestamp, and the </w:t>
      </w:r>
      <w:r>
        <w:rPr>
          <w:b/>
          <w:bCs/>
        </w:rPr>
        <w:t xml:space="preserve">permission ID</w:t>
      </w:r>
      <w:r>
        <w:t xml:space="preserve"> returned by Graph — so revocation later is a precise </w:t>
      </w:r>
      <w:r>
        <w:rPr>
          <w:rFonts w:ascii="Consolas" w:cs="Consolas" w:eastAsia="Consolas" w:hAnsi="Consolas"/>
          <w:sz w:val="20"/>
          <w:szCs w:val="20"/>
        </w:rPr>
        <w:t xml:space="preserve">DELETE /permissions/{id}</w:t>
      </w:r>
      <w:r>
        <w:t xml:space="preserve">, not a search.</w:t>
      </w:r>
    </w:p>
    <w:p>
      <w:pPr>
        <w:pStyle w:val="ListParagraph"/>
        <w:numPr>
          <w:ilvl w:val="0"/>
          <w:numId w:val="3"/>
        </w:numPr>
        <w:spacing w:after="80" w:line="276"/>
      </w:pPr>
      <w:r>
        <w:t xml:space="preserve">The document opens in Word </w:t>
      </w:r>
      <w:r>
        <w:rPr>
          <w:b/>
          <w:bCs/>
        </w:rPr>
        <w:t xml:space="preserve">as the signed-in user</w:t>
      </w:r>
      <w:r>
        <w:t xml:space="preserve"> (delegated), exactly as in Scenario 1. Track Changes enforcement (injected </w:t>
      </w:r>
      <w:r>
        <w:rPr>
          <w:rFonts w:ascii="Consolas" w:cs="Consolas" w:eastAsia="Consolas" w:hAnsi="Consolas"/>
          <w:sz w:val="20"/>
          <w:szCs w:val="20"/>
        </w:rPr>
        <w:t xml:space="preserve">&lt;w:trackChanges/&gt;</w:t>
      </w:r>
      <w:r>
        <w:t xml:space="preserve">) applies at document creation.</w:t>
      </w:r>
    </w:p>
    <w:p>
      <w:pPr>
        <w:spacing w:after="140" w:line="276"/>
      </w:pPr>
      <w:r>
        <w:rPr>
          <w:b/>
          <w:bCs/>
        </w:rPr>
        <w:t xml:space="preserve">Automatic revocation (same proven mechanism as Scenario 1):</w:t>
      </w:r>
    </w:p>
    <w:p>
      <w:pPr>
        <w:pStyle w:val="ListParagraph"/>
        <w:numPr>
          <w:ilvl w:val="0"/>
          <w:numId w:val="2"/>
        </w:numPr>
        <w:spacing w:after="80" w:line="276"/>
      </w:pPr>
      <w:r>
        <w:t xml:space="preserve">Graph change notifications update the document’s last-activity timestamp on every save/autosave.</w:t>
      </w:r>
    </w:p>
    <w:p>
      <w:pPr>
        <w:pStyle w:val="ListParagraph"/>
        <w:numPr>
          <w:ilvl w:val="0"/>
          <w:numId w:val="2"/>
        </w:numPr>
        <w:spacing w:after="80" w:line="276"/>
      </w:pPr>
      <w:r>
        <w:t xml:space="preserve">After the inactivity threshold, a checkout lock-probe confirms no one still has the document open; then the app revokes the temporary permissions. If the file is still open, revocation is postponed — access is never pulled out from under an active editor.</w:t>
      </w:r>
    </w:p>
    <w:p>
      <w:pPr>
        <w:pStyle w:val="ListParagraph"/>
        <w:numPr>
          <w:ilvl w:val="0"/>
          <w:numId w:val="2"/>
        </w:numPr>
        <w:spacing w:after="80" w:line="276"/>
      </w:pPr>
      <w:r>
        <w:rPr>
          <w:b/>
          <w:bCs/>
        </w:rPr>
        <w:t xml:space="preserve">Reconciliation job: </w:t>
      </w:r>
      <w:r>
        <w:t xml:space="preserve">a scheduled task lists the actual permissions on items via Graph, compares them against the database, and removes any grant that should not exist. The system is self-healing — a missed revocation cannot survive the next sweep — and the database is demonstrably the single source of truth for access.</w:t>
      </w:r>
    </w:p>
    <w:p>
      <w:pPr>
        <w:spacing w:after="140" w:line="276"/>
      </w:pPr>
      <w:r>
        <w:rPr>
          <w:b/>
          <w:bCs/>
        </w:rPr>
        <w:t xml:space="preserve">What a user sees in SharePoint directly: </w:t>
      </w:r>
      <w:r>
        <w:t xml:space="preserve">SharePoint security-trims all views and search results. A user browsing the library or searching sees only the documents they currently hold a grant on. After revocation, the document disappears from their view and their search results. This can be demonstrated live.</w:t>
      </w:r>
    </w:p>
    <w:p>
      <w:pPr>
        <w:spacing w:after="140" w:line="276"/>
      </w:pPr>
      <w:r>
        <w:rPr>
          <w:b/>
          <w:bCs/>
        </w:rPr>
        <w:t xml:space="preserve">Important design rule — the service principal is the custodian, not the editor: </w:t>
      </w:r>
      <w:r>
        <w:t xml:space="preserve">users always edit under their own identity via their temporary grant. If editing happened through the application’s identity, Track Changes attribution and “Modified by” in version history would show the application instead of the person — losing two capabilities the business explicitly requires.</w:t>
      </w:r>
    </w:p>
    <w:p>
      <w:pPr>
        <w:pStyle w:val="Heading1"/>
        <w:spacing w:after="160" w:before="360"/>
      </w:pPr>
      <w:r>
        <w:t xml:space="preserve">3. What This Scenario Adds — and Removes</w:t>
      </w:r>
    </w:p>
    <w:p>
      <w:pPr>
        <w:spacing w:after="140" w:line="276"/>
      </w:pPr>
      <w:r>
        <w:rPr>
          <w:b/>
          <w:bCs/>
        </w:rPr>
        <w:t xml:space="preserve">Added capabilities (native SharePoint, no custom code):</w:t>
      </w:r>
    </w:p>
    <w:p>
      <w:pPr>
        <w:pStyle w:val="ListParagraph"/>
        <w:numPr>
          <w:ilvl w:val="0"/>
          <w:numId w:val="2"/>
        </w:numPr>
        <w:spacing w:after="80" w:line="276"/>
      </w:pPr>
      <w:r>
        <w:rPr>
          <w:b/>
          <w:bCs/>
        </w:rPr>
        <w:t xml:space="preserve">Version history with restore: </w:t>
      </w:r>
      <w:r>
        <w:t xml:space="preserve">view any previous version, compare, and promote an older version to current.</w:t>
      </w:r>
    </w:p>
    <w:p>
      <w:pPr>
        <w:pStyle w:val="ListParagraph"/>
        <w:numPr>
          <w:ilvl w:val="0"/>
          <w:numId w:val="2"/>
        </w:numPr>
        <w:spacing w:after="80" w:line="276"/>
      </w:pPr>
      <w:r>
        <w:rPr>
          <w:b/>
          <w:bCs/>
        </w:rPr>
        <w:t xml:space="preserve">Retention &amp; recovery: </w:t>
      </w:r>
      <w:r>
        <w:t xml:space="preserve">recycle bin (~93 days) plus Purview retention policies for strict 90/180-day rules or legal hold.</w:t>
      </w:r>
    </w:p>
    <w:p>
      <w:pPr>
        <w:pStyle w:val="ListParagraph"/>
        <w:numPr>
          <w:ilvl w:val="0"/>
          <w:numId w:val="2"/>
        </w:numPr>
        <w:spacing w:after="80" w:line="276"/>
      </w:pPr>
      <w:r>
        <w:rPr>
          <w:b/>
          <w:bCs/>
        </w:rPr>
        <w:t xml:space="preserve">Audit logging: </w:t>
      </w:r>
      <w:r>
        <w:t xml:space="preserve">every open, edit, deletion and permission change recorded by Microsoft, independent of the application.</w:t>
      </w:r>
    </w:p>
    <w:p>
      <w:pPr>
        <w:spacing w:after="140" w:line="276"/>
      </w:pPr>
      <w:r>
        <w:rPr>
          <w:b/>
          <w:bCs/>
        </w:rPr>
        <w:t xml:space="preserve">Removed complexity (compared to Scenario 1):</w:t>
      </w:r>
    </w:p>
    <w:p>
      <w:pPr>
        <w:pStyle w:val="ListParagraph"/>
        <w:numPr>
          <w:ilvl w:val="0"/>
          <w:numId w:val="2"/>
        </w:numPr>
        <w:spacing w:after="80" w:line="276"/>
      </w:pPr>
      <w:r>
        <w:t xml:space="preserve">No sync-back subsystem: no copy-to-network-share, no delete-from-SharePoint, no permanent-delete handling, no “file stranded in SharePoint” failure mode.</w:t>
      </w:r>
    </w:p>
    <w:p>
      <w:pPr>
        <w:pStyle w:val="ListParagraph"/>
        <w:numPr>
          <w:ilvl w:val="0"/>
          <w:numId w:val="2"/>
        </w:numPr>
        <w:spacing w:after="80" w:line="276"/>
      </w:pPr>
      <w:r>
        <w:t xml:space="preserve">The inferred-close machinery now only flips a permission. If it runs late, the consequence is “a user kept access a few extra minutes to a document they had just legitimately edited” — not a misplaced file.</w:t>
      </w:r>
    </w:p>
    <w:p>
      <w:pPr>
        <w:pStyle w:val="ListParagraph"/>
        <w:numPr>
          <w:ilvl w:val="0"/>
          <w:numId w:val="2"/>
        </w:numPr>
        <w:spacing w:after="80" w:line="276"/>
      </w:pPr>
      <w:r>
        <w:t xml:space="preserve">The version-history and recycle-bin trade-offs documented as known issues in Scenario 1 disappear entirely — they were consequences of treating SharePoint as temporary storage.</w:t>
      </w:r>
    </w:p>
    <w:p>
      <w:pPr>
        <w:pStyle w:val="Heading1"/>
        <w:spacing w:after="160" w:before="360"/>
      </w:pPr>
      <w:r>
        <w:t xml:space="preserve">4. Scenario Comparison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4100"/>
      </w:tblGrid>
      <w:tr>
        <w:trPr>
          <w:tblHeader/>
        </w:trPr>
        <w:tc>
          <w:tcPr>
            <w:tcW w:type="dxa" w:w="1900"/>
            <w:shd w:fill="1F4E79" w:val="clear"/>
            <w:tcMar>
              <w:top w:type="dxa" w:w="80"/>
              <w:left w:type="dxa" w:w="120"/>
              <w:bottom w:type="dxa" w:w="80"/>
              <w:right w:type="dxa" w:w="120"/>
            </w:tcMar>
          </w:tcPr>
          <w:p>
            <w:r>
              <w:rPr>
                <w:b/>
                <w:bCs/>
                <w:color w:val="FFFFFF"/>
                <w:sz w:val="21"/>
                <w:szCs w:val="21"/>
              </w:rPr>
              <w:t xml:space="preserve"/>
            </w:r>
          </w:p>
        </w:tc>
        <w:tc>
          <w:tcPr>
            <w:tcW w:type="dxa" w:w="3900"/>
            <w:shd w:fill="1F4E79" w:val="clear"/>
            <w:tcMar>
              <w:top w:type="dxa" w:w="80"/>
              <w:left w:type="dxa" w:w="120"/>
              <w:bottom w:type="dxa" w:w="80"/>
              <w:right w:type="dxa" w:w="120"/>
            </w:tcMar>
          </w:tcPr>
          <w:p>
            <w:r>
              <w:rPr>
                <w:b/>
                <w:bCs/>
                <w:color w:val="FFFFFF"/>
                <w:sz w:val="21"/>
                <w:szCs w:val="21"/>
              </w:rPr>
              <w:t xml:space="preserve">Scenario 1 — Transient (network share is master)</w:t>
            </w:r>
          </w:p>
        </w:tc>
        <w:tc>
          <w:tcPr>
            <w:tcW w:type="dxa" w:w="4100"/>
            <w:shd w:fill="1F4E79" w:val="clear"/>
            <w:tcMar>
              <w:top w:type="dxa" w:w="80"/>
              <w:left w:type="dxa" w:w="120"/>
              <w:bottom w:type="dxa" w:w="80"/>
              <w:right w:type="dxa" w:w="120"/>
            </w:tcMar>
          </w:tcPr>
          <w:p>
            <w:r>
              <w:rPr>
                <w:b/>
                <w:bCs/>
                <w:color w:val="FFFFFF"/>
                <w:sz w:val="21"/>
                <w:szCs w:val="21"/>
              </w:rPr>
              <w:t xml:space="preserve">Scenario 2 — SharePoint is master (recommended)</w:t>
            </w:r>
          </w:p>
        </w:tc>
      </w:tr>
      <w:tr>
        <w:tc>
          <w:tcPr>
            <w:tcW w:type="dxa" w:w="1900"/>
            <w:tcMar>
              <w:top w:type="dxa" w:w="80"/>
              <w:left w:type="dxa" w:w="120"/>
              <w:bottom w:type="dxa" w:w="80"/>
              <w:right w:type="dxa" w:w="120"/>
            </w:tcMar>
          </w:tcPr>
          <w:p>
            <w:pPr>
              <w:spacing w:after="40"/>
            </w:pPr>
            <w:r>
              <w:rPr>
                <w:b/>
                <w:bCs/>
                <w:sz w:val="21"/>
                <w:szCs w:val="21"/>
              </w:rPr>
              <w:t xml:space="preserve">User experience</w:t>
            </w:r>
          </w:p>
        </w:tc>
        <w:tc>
          <w:tcPr>
            <w:tcW w:type="dxa" w:w="3900"/>
            <w:tcMar>
              <w:top w:type="dxa" w:w="80"/>
              <w:left w:type="dxa" w:w="120"/>
              <w:bottom w:type="dxa" w:w="80"/>
              <w:right w:type="dxa" w:w="120"/>
            </w:tcMar>
          </w:tcPr>
          <w:p>
            <w:pPr>
              <w:spacing w:after="40"/>
            </w:pPr>
            <w:r>
              <w:rPr>
                <w:sz w:val="21"/>
                <w:szCs w:val="21"/>
              </w:rPr>
              <w:t xml:space="preserve">View/Edit → Word → autosave → close</w:t>
            </w:r>
          </w:p>
        </w:tc>
        <w:tc>
          <w:tcPr>
            <w:tcW w:type="dxa" w:w="4100"/>
            <w:tcMar>
              <w:top w:type="dxa" w:w="80"/>
              <w:left w:type="dxa" w:w="120"/>
              <w:bottom w:type="dxa" w:w="80"/>
              <w:right w:type="dxa" w:w="120"/>
            </w:tcMar>
          </w:tcPr>
          <w:p>
            <w:pPr>
              <w:spacing w:after="40"/>
            </w:pPr>
            <w:r>
              <w:rPr>
                <w:sz w:val="21"/>
                <w:szCs w:val="21"/>
              </w:rPr>
              <w:t xml:space="preserve">Identical — View/Edit → Word → autosave → close</w:t>
            </w:r>
          </w:p>
        </w:tc>
      </w:tr>
      <w:tr>
        <w:tc>
          <w:tcPr>
            <w:tcW w:type="dxa" w:w="1900"/>
            <w:shd w:fill="F2F5FB" w:val="clear"/>
            <w:tcMar>
              <w:top w:type="dxa" w:w="80"/>
              <w:left w:type="dxa" w:w="120"/>
              <w:bottom w:type="dxa" w:w="80"/>
              <w:right w:type="dxa" w:w="120"/>
            </w:tcMar>
          </w:tcPr>
          <w:p>
            <w:pPr>
              <w:spacing w:after="40"/>
            </w:pPr>
            <w:r>
              <w:rPr>
                <w:b/>
                <w:bCs/>
                <w:sz w:val="21"/>
                <w:szCs w:val="21"/>
              </w:rPr>
              <w:t xml:space="preserve">Co-authoring &amp; attribution</w:t>
            </w:r>
          </w:p>
        </w:tc>
        <w:tc>
          <w:tcPr>
            <w:tcW w:type="dxa" w:w="3900"/>
            <w:shd w:fill="F2F5FB" w:val="clear"/>
            <w:tcMar>
              <w:top w:type="dxa" w:w="80"/>
              <w:left w:type="dxa" w:w="120"/>
              <w:bottom w:type="dxa" w:w="80"/>
              <w:right w:type="dxa" w:w="120"/>
            </w:tcMar>
          </w:tcPr>
          <w:p>
            <w:pPr>
              <w:spacing w:after="40"/>
            </w:pPr>
            <w:r>
              <w:rPr>
                <w:sz w:val="21"/>
                <w:szCs w:val="21"/>
              </w:rPr>
              <w:t xml:space="preserve">Yes (while in SharePoint)</w:t>
            </w:r>
          </w:p>
        </w:tc>
        <w:tc>
          <w:tcPr>
            <w:tcW w:type="dxa" w:w="4100"/>
            <w:shd w:fill="F2F5FB" w:val="clear"/>
            <w:tcMar>
              <w:top w:type="dxa" w:w="80"/>
              <w:left w:type="dxa" w:w="120"/>
              <w:bottom w:type="dxa" w:w="80"/>
              <w:right w:type="dxa" w:w="120"/>
            </w:tcMar>
          </w:tcPr>
          <w:p>
            <w:pPr>
              <w:spacing w:after="40"/>
            </w:pPr>
            <w:r>
              <w:rPr>
                <w:sz w:val="21"/>
                <w:szCs w:val="21"/>
              </w:rPr>
              <w:t xml:space="preserve">Yes, always</w:t>
            </w:r>
          </w:p>
        </w:tc>
      </w:tr>
      <w:tr>
        <w:tc>
          <w:tcPr>
            <w:tcW w:type="dxa" w:w="1900"/>
            <w:tcMar>
              <w:top w:type="dxa" w:w="80"/>
              <w:left w:type="dxa" w:w="120"/>
              <w:bottom w:type="dxa" w:w="80"/>
              <w:right w:type="dxa" w:w="120"/>
            </w:tcMar>
          </w:tcPr>
          <w:p>
            <w:pPr>
              <w:spacing w:after="40"/>
            </w:pPr>
            <w:r>
              <w:rPr>
                <w:b/>
                <w:bCs/>
                <w:sz w:val="21"/>
                <w:szCs w:val="21"/>
              </w:rPr>
              <w:t xml:space="preserve">Version history</w:t>
            </w:r>
          </w:p>
        </w:tc>
        <w:tc>
          <w:tcPr>
            <w:tcW w:type="dxa" w:w="3900"/>
            <w:tcMar>
              <w:top w:type="dxa" w:w="80"/>
              <w:left w:type="dxa" w:w="120"/>
              <w:bottom w:type="dxa" w:w="80"/>
              <w:right w:type="dxa" w:w="120"/>
            </w:tcMar>
          </w:tcPr>
          <w:p>
            <w:pPr>
              <w:spacing w:after="40"/>
            </w:pPr>
            <w:r>
              <w:rPr>
                <w:sz w:val="21"/>
                <w:szCs w:val="21"/>
              </w:rPr>
              <w:t xml:space="preserve">Lost on every editing cycle (known issue)</w:t>
            </w:r>
          </w:p>
        </w:tc>
        <w:tc>
          <w:tcPr>
            <w:tcW w:type="dxa" w:w="4100"/>
            <w:tcMar>
              <w:top w:type="dxa" w:w="80"/>
              <w:left w:type="dxa" w:w="120"/>
              <w:bottom w:type="dxa" w:w="80"/>
              <w:right w:type="dxa" w:w="120"/>
            </w:tcMar>
          </w:tcPr>
          <w:p>
            <w:pPr>
              <w:spacing w:after="40"/>
            </w:pPr>
            <w:r>
              <w:rPr>
                <w:sz w:val="21"/>
                <w:szCs w:val="21"/>
              </w:rPr>
              <w:t xml:space="preserve">Full history retained; any version restorable</w:t>
            </w:r>
          </w:p>
        </w:tc>
      </w:tr>
      <w:tr>
        <w:tc>
          <w:tcPr>
            <w:tcW w:type="dxa" w:w="1900"/>
            <w:shd w:fill="F2F5FB" w:val="clear"/>
            <w:tcMar>
              <w:top w:type="dxa" w:w="80"/>
              <w:left w:type="dxa" w:w="120"/>
              <w:bottom w:type="dxa" w:w="80"/>
              <w:right w:type="dxa" w:w="120"/>
            </w:tcMar>
          </w:tcPr>
          <w:p>
            <w:pPr>
              <w:spacing w:after="40"/>
            </w:pPr>
            <w:r>
              <w:rPr>
                <w:b/>
                <w:bCs/>
                <w:sz w:val="21"/>
                <w:szCs w:val="21"/>
              </w:rPr>
              <w:t xml:space="preserve">Retention / recovery</w:t>
            </w:r>
          </w:p>
        </w:tc>
        <w:tc>
          <w:tcPr>
            <w:tcW w:type="dxa" w:w="3900"/>
            <w:shd w:fill="F2F5FB" w:val="clear"/>
            <w:tcMar>
              <w:top w:type="dxa" w:w="80"/>
              <w:left w:type="dxa" w:w="120"/>
              <w:bottom w:type="dxa" w:w="80"/>
              <w:right w:type="dxa" w:w="120"/>
            </w:tcMar>
          </w:tcPr>
          <w:p>
            <w:pPr>
              <w:spacing w:after="40"/>
            </w:pPr>
            <w:r>
              <w:rPr>
                <w:sz w:val="21"/>
                <w:szCs w:val="21"/>
              </w:rPr>
              <w:t xml:space="preserve">Depends on network share backups; SharePoint recycle bin must be explicitly emptied (known issue)</w:t>
            </w:r>
          </w:p>
        </w:tc>
        <w:tc>
          <w:tcPr>
            <w:tcW w:type="dxa" w:w="4100"/>
            <w:shd w:fill="F2F5FB" w:val="clear"/>
            <w:tcMar>
              <w:top w:type="dxa" w:w="80"/>
              <w:left w:type="dxa" w:w="120"/>
              <w:bottom w:type="dxa" w:w="80"/>
              <w:right w:type="dxa" w:w="120"/>
            </w:tcMar>
          </w:tcPr>
          <w:p>
            <w:pPr>
              <w:spacing w:after="40"/>
            </w:pPr>
            <w:r>
              <w:rPr>
                <w:sz w:val="21"/>
                <w:szCs w:val="21"/>
              </w:rPr>
              <w:t xml:space="preserve">Recycle bin ~93 days + Purview retention policy (90/180 days, or legal hold)</w:t>
            </w:r>
          </w:p>
        </w:tc>
      </w:tr>
      <w:tr>
        <w:tc>
          <w:tcPr>
            <w:tcW w:type="dxa" w:w="1900"/>
            <w:tcMar>
              <w:top w:type="dxa" w:w="80"/>
              <w:left w:type="dxa" w:w="120"/>
              <w:bottom w:type="dxa" w:w="80"/>
              <w:right w:type="dxa" w:w="120"/>
            </w:tcMar>
          </w:tcPr>
          <w:p>
            <w:pPr>
              <w:spacing w:after="40"/>
            </w:pPr>
            <w:r>
              <w:rPr>
                <w:b/>
                <w:bCs/>
                <w:sz w:val="21"/>
                <w:szCs w:val="21"/>
              </w:rPr>
              <w:t xml:space="preserve">Standing user access</w:t>
            </w:r>
          </w:p>
        </w:tc>
        <w:tc>
          <w:tcPr>
            <w:tcW w:type="dxa" w:w="3900"/>
            <w:tcMar>
              <w:top w:type="dxa" w:w="80"/>
              <w:left w:type="dxa" w:w="120"/>
              <w:bottom w:type="dxa" w:w="80"/>
              <w:right w:type="dxa" w:w="120"/>
            </w:tcMar>
          </w:tcPr>
          <w:p>
            <w:pPr>
              <w:spacing w:after="40"/>
            </w:pPr>
            <w:r>
              <w:rPr>
                <w:sz w:val="21"/>
                <w:szCs w:val="21"/>
              </w:rPr>
              <w:t xml:space="preserve">Users need enough library access to upload/edit during the editing window</w:t>
            </w:r>
          </w:p>
        </w:tc>
        <w:tc>
          <w:tcPr>
            <w:tcW w:type="dxa" w:w="4100"/>
            <w:tcMar>
              <w:top w:type="dxa" w:w="80"/>
              <w:left w:type="dxa" w:w="120"/>
              <w:bottom w:type="dxa" w:w="80"/>
              <w:right w:type="dxa" w:w="120"/>
            </w:tcMar>
          </w:tcPr>
          <w:p>
            <w:pPr>
              <w:spacing w:after="40"/>
            </w:pPr>
            <w:r>
              <w:rPr>
                <w:sz w:val="21"/>
                <w:szCs w:val="21"/>
              </w:rPr>
              <w:t xml:space="preserve">None — sealed library; only the app service principal; per-document JIT grants</w:t>
            </w:r>
          </w:p>
        </w:tc>
      </w:tr>
      <w:tr>
        <w:tc>
          <w:tcPr>
            <w:tcW w:type="dxa" w:w="1900"/>
            <w:shd w:fill="F2F5FB" w:val="clear"/>
            <w:tcMar>
              <w:top w:type="dxa" w:w="80"/>
              <w:left w:type="dxa" w:w="120"/>
              <w:bottom w:type="dxa" w:w="80"/>
              <w:right w:type="dxa" w:w="120"/>
            </w:tcMar>
          </w:tcPr>
          <w:p>
            <w:pPr>
              <w:spacing w:after="40"/>
            </w:pPr>
            <w:r>
              <w:rPr>
                <w:b/>
                <w:bCs/>
                <w:sz w:val="21"/>
                <w:szCs w:val="21"/>
              </w:rPr>
              <w:t xml:space="preserve">What users see browsing SharePoint</w:t>
            </w:r>
          </w:p>
        </w:tc>
        <w:tc>
          <w:tcPr>
            <w:tcW w:type="dxa" w:w="3900"/>
            <w:shd w:fill="F2F5FB" w:val="clear"/>
            <w:tcMar>
              <w:top w:type="dxa" w:w="80"/>
              <w:left w:type="dxa" w:w="120"/>
              <w:bottom w:type="dxa" w:w="80"/>
              <w:right w:type="dxa" w:w="120"/>
            </w:tcMar>
          </w:tcPr>
          <w:p>
            <w:pPr>
              <w:spacing w:after="40"/>
            </w:pPr>
            <w:r>
              <w:rPr>
                <w:sz w:val="21"/>
                <w:szCs w:val="21"/>
              </w:rPr>
              <w:t xml:space="preserve">Documents currently checked out (per permission option chosen)</w:t>
            </w:r>
          </w:p>
        </w:tc>
        <w:tc>
          <w:tcPr>
            <w:tcW w:type="dxa" w:w="4100"/>
            <w:shd w:fill="F2F5FB" w:val="clear"/>
            <w:tcMar>
              <w:top w:type="dxa" w:w="80"/>
              <w:left w:type="dxa" w:w="120"/>
              <w:bottom w:type="dxa" w:w="80"/>
              <w:right w:type="dxa" w:w="120"/>
            </w:tcMar>
          </w:tcPr>
          <w:p>
            <w:pPr>
              <w:spacing w:after="40"/>
            </w:pPr>
            <w:r>
              <w:rPr>
                <w:sz w:val="21"/>
                <w:szCs w:val="21"/>
              </w:rPr>
              <w:t xml:space="preserve">Only documents they currently hold a grant on; nothing else appears in views or search</w:t>
            </w:r>
          </w:p>
        </w:tc>
      </w:tr>
      <w:tr>
        <w:tc>
          <w:tcPr>
            <w:tcW w:type="dxa" w:w="1900"/>
            <w:tcMar>
              <w:top w:type="dxa" w:w="80"/>
              <w:left w:type="dxa" w:w="120"/>
              <w:bottom w:type="dxa" w:w="80"/>
              <w:right w:type="dxa" w:w="120"/>
            </w:tcMar>
          </w:tcPr>
          <w:p>
            <w:pPr>
              <w:spacing w:after="40"/>
            </w:pPr>
            <w:r>
              <w:rPr>
                <w:b/>
                <w:bCs/>
                <w:sz w:val="21"/>
                <w:szCs w:val="21"/>
              </w:rPr>
              <w:t xml:space="preserve">Moving parts</w:t>
            </w:r>
          </w:p>
        </w:tc>
        <w:tc>
          <w:tcPr>
            <w:tcW w:type="dxa" w:w="3900"/>
            <w:tcMar>
              <w:top w:type="dxa" w:w="80"/>
              <w:left w:type="dxa" w:w="120"/>
              <w:bottom w:type="dxa" w:w="80"/>
              <w:right w:type="dxa" w:w="120"/>
            </w:tcMar>
          </w:tcPr>
          <w:p>
            <w:pPr>
              <w:spacing w:after="40"/>
            </w:pPr>
            <w:r>
              <w:rPr>
                <w:sz w:val="21"/>
                <w:szCs w:val="21"/>
              </w:rPr>
              <w:t xml:space="preserve">Upload, notifications, inactivity, lock probe, sync-back, permanent delete</w:t>
            </w:r>
          </w:p>
        </w:tc>
        <w:tc>
          <w:tcPr>
            <w:tcW w:type="dxa" w:w="4100"/>
            <w:tcMar>
              <w:top w:type="dxa" w:w="80"/>
              <w:left w:type="dxa" w:w="120"/>
              <w:bottom w:type="dxa" w:w="80"/>
              <w:right w:type="dxa" w:w="120"/>
            </w:tcMar>
          </w:tcPr>
          <w:p>
            <w:pPr>
              <w:spacing w:after="40"/>
            </w:pPr>
            <w:r>
              <w:rPr>
                <w:sz w:val="21"/>
                <w:szCs w:val="21"/>
              </w:rPr>
              <w:t xml:space="preserve">Notifications, inactivity, lock probe, permission revoke, reconciliation — no file movement at all</w:t>
            </w:r>
          </w:p>
        </w:tc>
      </w:tr>
      <w:tr>
        <w:tc>
          <w:tcPr>
            <w:tcW w:type="dxa" w:w="1900"/>
            <w:shd w:fill="F2F5FB" w:val="clear"/>
            <w:tcMar>
              <w:top w:type="dxa" w:w="80"/>
              <w:left w:type="dxa" w:w="120"/>
              <w:bottom w:type="dxa" w:w="80"/>
              <w:right w:type="dxa" w:w="120"/>
            </w:tcMar>
          </w:tcPr>
          <w:p>
            <w:pPr>
              <w:spacing w:after="40"/>
            </w:pPr>
            <w:r>
              <w:rPr>
                <w:b/>
                <w:bCs/>
                <w:sz w:val="21"/>
                <w:szCs w:val="21"/>
              </w:rPr>
              <w:t xml:space="preserve">Failure impact if automation runs late</w:t>
            </w:r>
          </w:p>
        </w:tc>
        <w:tc>
          <w:tcPr>
            <w:tcW w:type="dxa" w:w="3900"/>
            <w:shd w:fill="F2F5FB" w:val="clear"/>
            <w:tcMar>
              <w:top w:type="dxa" w:w="80"/>
              <w:left w:type="dxa" w:w="120"/>
              <w:bottom w:type="dxa" w:w="80"/>
              <w:right w:type="dxa" w:w="120"/>
            </w:tcMar>
          </w:tcPr>
          <w:p>
            <w:pPr>
              <w:spacing w:after="40"/>
            </w:pPr>
            <w:r>
              <w:rPr>
                <w:sz w:val="21"/>
                <w:szCs w:val="21"/>
              </w:rPr>
              <w:t xml:space="preserve">File remains in SharePoint until backstop job runs</w:t>
            </w:r>
          </w:p>
        </w:tc>
        <w:tc>
          <w:tcPr>
            <w:tcW w:type="dxa" w:w="4100"/>
            <w:shd w:fill="F2F5FB" w:val="clear"/>
            <w:tcMar>
              <w:top w:type="dxa" w:w="80"/>
              <w:left w:type="dxa" w:w="120"/>
              <w:bottom w:type="dxa" w:w="80"/>
              <w:right w:type="dxa" w:w="120"/>
            </w:tcMar>
          </w:tcPr>
          <w:p>
            <w:pPr>
              <w:spacing w:after="40"/>
            </w:pPr>
            <w:r>
              <w:rPr>
                <w:sz w:val="21"/>
                <w:szCs w:val="21"/>
              </w:rPr>
              <w:t xml:space="preserve">A recent editor keeps access a few extra minutes; reconciliation corrects it</w:t>
            </w:r>
          </w:p>
        </w:tc>
      </w:tr>
      <w:tr>
        <w:tc>
          <w:tcPr>
            <w:tcW w:type="dxa" w:w="1900"/>
            <w:tcMar>
              <w:top w:type="dxa" w:w="80"/>
              <w:left w:type="dxa" w:w="120"/>
              <w:bottom w:type="dxa" w:w="80"/>
              <w:right w:type="dxa" w:w="120"/>
            </w:tcMar>
          </w:tcPr>
          <w:p>
            <w:pPr>
              <w:spacing w:after="40"/>
            </w:pPr>
            <w:r>
              <w:rPr>
                <w:b/>
                <w:bCs/>
                <w:sz w:val="21"/>
                <w:szCs w:val="21"/>
              </w:rPr>
              <w:t xml:space="preserve">Audit trail</w:t>
            </w:r>
          </w:p>
        </w:tc>
        <w:tc>
          <w:tcPr>
            <w:tcW w:type="dxa" w:w="3900"/>
            <w:tcMar>
              <w:top w:type="dxa" w:w="80"/>
              <w:left w:type="dxa" w:w="120"/>
              <w:bottom w:type="dxa" w:w="80"/>
              <w:right w:type="dxa" w:w="120"/>
            </w:tcMar>
          </w:tcPr>
          <w:p>
            <w:pPr>
              <w:spacing w:after="40"/>
            </w:pPr>
            <w:r>
              <w:rPr>
                <w:sz w:val="21"/>
                <w:szCs w:val="21"/>
              </w:rPr>
              <w:t xml:space="preserve">Track Changes inside the document + application DB</w:t>
            </w:r>
          </w:p>
        </w:tc>
        <w:tc>
          <w:tcPr>
            <w:tcW w:type="dxa" w:w="4100"/>
            <w:tcMar>
              <w:top w:type="dxa" w:w="80"/>
              <w:left w:type="dxa" w:w="120"/>
              <w:bottom w:type="dxa" w:w="80"/>
              <w:right w:type="dxa" w:w="120"/>
            </w:tcMar>
          </w:tcPr>
          <w:p>
            <w:pPr>
              <w:spacing w:after="40"/>
            </w:pPr>
            <w:r>
              <w:rPr>
                <w:sz w:val="21"/>
                <w:szCs w:val="21"/>
              </w:rPr>
              <w:t xml:space="preserve">Track Changes + application DB + SharePoint/Purview audit logs</w:t>
            </w:r>
          </w:p>
        </w:tc>
      </w:tr>
    </w:tbl>
    <w:p>
      <w:pPr>
        <w:spacing w:after="60"/>
      </w:pPr>
      <w:r>
        <w:t xml:space="preserve"/>
      </w:r>
    </w:p>
    <w:p>
      <w:pPr>
        <w:pStyle w:val="Heading1"/>
        <w:spacing w:after="160" w:before="360"/>
      </w:pPr>
      <w:r>
        <w:t xml:space="preserve">5. Points to State Openly (Credibility Safeguards)</w:t>
      </w:r>
    </w:p>
    <w:p>
      <w:pPr>
        <w:pStyle w:val="ListParagraph"/>
        <w:numPr>
          <w:ilvl w:val="0"/>
          <w:numId w:val="4"/>
        </w:numPr>
        <w:spacing w:after="80" w:line="276"/>
      </w:pPr>
      <w:r>
        <w:rPr>
          <w:b/>
          <w:bCs/>
        </w:rPr>
        <w:t xml:space="preserve">“Access removed after closing” means minutes after, not the instant of close.</w:t>
      </w:r>
      <w:r>
        <w:t xml:space="preserve"> There is no reliable client-side close event (see Scenario 1, Section 4). Access expires automatically shortly after editing ends — via change notifications, inactivity detection and the lock probe. No vendor or design can honestly promise instant revocation on close.</w:t>
      </w:r>
    </w:p>
    <w:p>
      <w:pPr>
        <w:pStyle w:val="ListParagraph"/>
        <w:numPr>
          <w:ilvl w:val="0"/>
          <w:numId w:val="4"/>
        </w:numPr>
        <w:spacing w:after="80" w:line="276"/>
      </w:pPr>
      <w:r>
        <w:rPr>
          <w:b/>
          <w:bCs/>
        </w:rPr>
        <w:t xml:space="preserve">“No one has any access” carries one asterisk: administrators.</w:t>
      </w:r>
      <w:r>
        <w:t xml:space="preserve"> SharePoint site collection administrators and Microsoft 365 Global Admins can always reach content. This is not a regression — file server administrators can read the network share today — but it should be stated before someone else raises it. Mitigations: admin activity is captured in Purview audit logs; privileged access management can be layered on if required.</w:t>
      </w:r>
    </w:p>
    <w:p>
      <w:pPr>
        <w:pStyle w:val="ListParagraph"/>
        <w:numPr>
          <w:ilvl w:val="0"/>
          <w:numId w:val="4"/>
        </w:numPr>
        <w:spacing w:after="80" w:line="276"/>
      </w:pPr>
      <w:r>
        <w:rPr>
          <w:b/>
          <w:bCs/>
        </w:rPr>
        <w:t xml:space="preserve">Item-level permission scale limits.</w:t>
      </w:r>
      <w:r>
        <w:t xml:space="preserve"> SharePoint supports up to ~50,000 unique permission scopes per library, and Microsoft’s performance guidance recommends staying well below that. JIT grants make every document uniquely scoped. Mitigation: partition storage — e.g. one library per case, per year, or per department — which also keeps libraries under the 5,000-item view threshold. A design task, not a blocker.</w:t>
      </w:r>
    </w:p>
    <w:p>
      <w:pPr>
        <w:pStyle w:val="ListParagraph"/>
        <w:numPr>
          <w:ilvl w:val="0"/>
          <w:numId w:val="4"/>
        </w:numPr>
        <w:spacing w:after="80" w:line="276"/>
      </w:pPr>
      <w:r>
        <w:rPr>
          <w:b/>
          <w:bCs/>
        </w:rPr>
        <w:t xml:space="preserve">Co-authoring and revocation.</w:t>
      </w:r>
      <w:r>
        <w:t xml:space="preserve"> Multiple users each receive their own grant on the same document and co-author normally. Revocation is evaluated per document: grants are removed when the whole document goes idle and unlocked. Per-user instant revocation while others continue editing is not promised (and not needed).</w:t>
      </w:r>
    </w:p>
    <w:p>
      <w:pPr>
        <w:pStyle w:val="ListParagraph"/>
        <w:numPr>
          <w:ilvl w:val="0"/>
          <w:numId w:val="4"/>
        </w:numPr>
        <w:spacing w:after="80" w:line="276"/>
      </w:pPr>
      <w:r>
        <w:rPr>
          <w:b/>
          <w:bCs/>
        </w:rPr>
        <w:t xml:space="preserve">The database is authoritative; SharePoint is enforcing.</w:t>
      </w:r>
      <w:r>
        <w:t xml:space="preserve"> Access decisions live in the Serfis Employees/Roles/Case model. SharePoint permissions are a projection of that model, kept honest by the reconciliation job. This is the architecture statement for security review.</w:t>
      </w:r>
    </w:p>
    <w:p>
      <w:pPr>
        <w:pStyle w:val="Heading1"/>
        <w:spacing w:after="160" w:before="360"/>
      </w:pPr>
      <w:r>
        <w:t xml:space="preserve">6. Adoption Path</w:t>
      </w:r>
    </w:p>
    <w:p>
      <w:pPr>
        <w:pStyle w:val="ListParagraph"/>
        <w:numPr>
          <w:ilvl w:val="0"/>
          <w:numId w:val="2"/>
        </w:numPr>
        <w:spacing w:after="80" w:line="276"/>
      </w:pPr>
      <w:r>
        <w:rPr>
          <w:b/>
          <w:bCs/>
        </w:rPr>
        <w:t xml:space="preserve">Phase 1: </w:t>
      </w:r>
      <w:r>
        <w:t xml:space="preserve">implement Scenario 1 mechanics (JIT flow, notifications, inactivity, lock probe, Track Changes injection) — all of it carries forward unchanged.</w:t>
      </w:r>
    </w:p>
    <w:p>
      <w:pPr>
        <w:pStyle w:val="ListParagraph"/>
        <w:numPr>
          <w:ilvl w:val="0"/>
          <w:numId w:val="2"/>
        </w:numPr>
        <w:spacing w:after="80" w:line="276"/>
      </w:pPr>
      <w:r>
        <w:rPr>
          <w:b/>
          <w:bCs/>
        </w:rPr>
        <w:t xml:space="preserve">Phase 2: </w:t>
      </w:r>
      <w:r>
        <w:t xml:space="preserve">point document creation at SharePoint instead of the network share; switch “sync-back and delete” to “revoke permissions.” Existing network-share documents can be migrated per case, on first touch, or in bulk.</w:t>
      </w:r>
    </w:p>
    <w:p>
      <w:pPr>
        <w:pStyle w:val="ListParagraph"/>
        <w:numPr>
          <w:ilvl w:val="0"/>
          <w:numId w:val="2"/>
        </w:numPr>
        <w:spacing w:after="80" w:line="276"/>
      </w:pPr>
      <w:r>
        <w:rPr>
          <w:b/>
          <w:bCs/>
        </w:rPr>
        <w:t xml:space="preserve">Rollback safety: </w:t>
      </w:r>
      <w:r>
        <w:t xml:space="preserve">because Scenario 2 is a superset of Scenario 1’s machinery, falling back to the transient model remains possible at any point before the network share is retired.</w:t>
      </w:r>
    </w:p>
    <w:p>
      <w:pPr>
        <w:pStyle w:val="Heading1"/>
        <w:spacing w:after="160" w:before="360"/>
      </w:pPr>
      <w:r>
        <w:t xml:space="preserve">7. Decisions Requested</w:t>
      </w:r>
    </w:p>
    <w:p>
      <w:pPr>
        <w:pStyle w:val="ListParagraph"/>
        <w:numPr>
          <w:ilvl w:val="0"/>
          <w:numId w:val="5"/>
        </w:numPr>
        <w:spacing w:after="80" w:line="276"/>
      </w:pPr>
      <w:r>
        <w:rPr>
          <w:b/>
          <w:bCs/>
        </w:rPr>
        <w:t xml:space="preserve">Approve Scenario 2 in principle</w:t>
      </w:r>
      <w:r>
        <w:t xml:space="preserve"> — SharePoint as the system of record with the sealed-library / JIT access model — subject to a security review of Section 2.</w:t>
      </w:r>
    </w:p>
    <w:p>
      <w:pPr>
        <w:pStyle w:val="ListParagraph"/>
        <w:numPr>
          <w:ilvl w:val="0"/>
          <w:numId w:val="5"/>
        </w:numPr>
        <w:spacing w:after="80" w:line="276"/>
      </w:pPr>
      <w:r>
        <w:rPr>
          <w:b/>
          <w:bCs/>
        </w:rPr>
        <w:t xml:space="preserve">Confirm retention requirements</w:t>
      </w:r>
      <w:r>
        <w:t xml:space="preserve"> (90 vs 180 days, and whether any document classes need legal hold) so the Purview retention policy can be specified.</w:t>
      </w:r>
    </w:p>
    <w:p>
      <w:pPr>
        <w:pStyle w:val="ListParagraph"/>
        <w:numPr>
          <w:ilvl w:val="0"/>
          <w:numId w:val="5"/>
        </w:numPr>
        <w:spacing w:after="80" w:line="276"/>
      </w:pPr>
      <w:r>
        <w:rPr>
          <w:b/>
          <w:bCs/>
        </w:rPr>
        <w:t xml:space="preserve">Choose the library partitioning scheme</w:t>
      </w:r>
      <w:r>
        <w:t xml:space="preserve"> (per case / per year / per department) with SharePoint scale limits in mind.</w:t>
      </w:r>
    </w:p>
    <w:p>
      <w:pPr>
        <w:pStyle w:val="ListParagraph"/>
        <w:numPr>
          <w:ilvl w:val="0"/>
          <w:numId w:val="5"/>
        </w:numPr>
        <w:spacing w:after="80" w:line="276"/>
      </w:pPr>
      <w:r>
        <w:rPr>
          <w:b/>
          <w:bCs/>
        </w:rPr>
        <w:t xml:space="preserve">Confirm the admin-access position</w:t>
      </w:r>
      <w:r>
        <w:t xml:space="preserve"> (accept with audit logging, or require additional privileged-access controls).</w:t>
      </w:r>
    </w:p>
    <w:sectPr>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Light" w:cs="Calibri Light" w:eastAsia="Calibri Light" w:hAnsi="Calibri Light"/>
      <w:b/>
      <w:bCs/>
      <w:color w:val="1F4E79"/>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2026-08-04T04:36:24.089Z</dcterms:created>
  <dcterms:modified xsi:type="dcterms:W3CDTF">2026-08-04T04:36:24.094Z</dcterms:modified>
</cp:coreProperties>
</file>

<file path=docProps/custom.xml><?xml version="1.0" encoding="utf-8"?>
<Properties xmlns="http://schemas.openxmlformats.org/officeDocument/2006/custom-properties" xmlns:vt="http://schemas.openxmlformats.org/officeDocument/2006/docPropsVTypes"/>
</file>