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LLM Evaluator Project Progress</w:t>
      </w:r>
    </w:p>
    <w:p>
      <w:r>
        <w:t>As of 13 October 2026, we have audited two benchmark datasets, prepared fixed evaluation inputs, and completed runs with two models. The project evaluates existing LLMs; it does not train a model or build an app that independently checks whether any claim is true.</w:t>
      </w:r>
    </w:p>
    <w:p>
      <w:pPr>
        <w:pStyle w:val="Heading1"/>
      </w:pPr>
      <w:r>
        <w:t>What the evaluator does</w:t>
      </w:r>
    </w:p>
    <w:p>
      <w:r>
        <w:t>We give a model a claim and a piece of evidence, then ask it to answer SUPPORTED, REFUTED, or NOT ENOUGH INFORMATION. We compare its answer with the dataset label. We also test whether it repeats answers reliably, ignores irrelevant evidence, and responds correctly when meaningful evidence changes.</w:t>
      </w:r>
    </w:p>
    <w:p>
      <w:r>
        <w:t>FEVER mainly tests answers against supplied Wikipedia evidence. VitaminC lets us compare two versions of evidence for the same claim. In a VitaminC pair, the model must get both versions right to earn credit for that pair.</w:t>
      </w:r>
    </w:p>
    <w:p>
      <w:pPr>
        <w:pStyle w:val="Heading1"/>
      </w:pPr>
      <w:r>
        <w:t>What we did before the larger runs</w:t>
      </w:r>
    </w:p>
    <w:p>
      <w:r>
        <w:t>We first tested the idea and the code with Llama 3.2 3B: 150 FEVER claims and 100 VitaminC pairs from its test file. We also repeated the FEVER inputs five times and tried changes such as reordering evidence or adding an irrelevant sentence. These were pilot experiments, not the later larger evaluation. They showed why a model can be consistent but wrong, or change its answer when irrelevant text is added.</w:t>
      </w:r>
    </w:p>
    <w:p>
      <w:r>
        <w:t>We then audited the data in the FEVER notebook and the VitaminC notebook: file integrity, labels, duplicates, evidence links, text quality, and which cases could be used. FEVER's development file has 19,998 claims. We found 54 groups where the same claim text has conflicting labels, covering 124 records. After accounting for different encodings of accented Wikipedia page names, all 7,100 distinct evidence sentence references could be found. We flagged questionable records rather than changing the raw data.</w:t>
      </w:r>
    </w:p>
    <w:p>
      <w:pPr>
        <w:pStyle w:val="Heading1"/>
      </w:pPr>
      <w:r>
        <w:t>What went into the completed runs</w:t>
      </w:r>
    </w:p>
    <w:p>
      <w:pPr>
        <w:pStyle w:val="ListBullet"/>
        <w:spacing w:after="80"/>
        <w:ind w:left="374" w:hanging="202"/>
      </w:pPr>
      <w:r>
        <w:t>FEVER: 13,332 claims with the dataset's reference evidence: 6,666 SUPPORTED and 6,666 REFUTED. FEVER's 6,666 NOT ENOUGH INFO claims have no supplied reference evidence, so they are not in this particular test. The run does not cover all 19,998 FEVER claims.</w:t>
      </w:r>
    </w:p>
    <w:p>
      <w:pPr>
        <w:pStyle w:val="ListBullet"/>
        <w:spacing w:after="80"/>
        <w:ind w:left="374" w:hanging="202"/>
      </w:pPr>
      <w:r>
        <w:t>VitaminC: 2,102 fixed pairs from the audited train file: 1,000 SUPPORTED versus REFUTED, 1,000 SUPPORTED versus NOT ENOUGH INFORMATION, and 102 REFUTED versus NOT ENOUGH INFORMATION. That is 4,204 model inputs. Here, NOT ENOUGH INFORMATION does have a passage; the passage is meant to leave the claim undecided. We evaluate existing models on this file—we do not train on it.</w:t>
      </w:r>
    </w:p>
    <w:p>
      <w:r>
        <w:t>"Completed" means every case in these fixed experiment inputs, not every row in either raw dataset. The same selected cases, evidence, and prompt went to both models. The runner saves each answer and can resume after an interruption. We completed the FEVER and VitaminC runs for Llama 3.2 3B and Qwen 2.5 7B, and 69 automated tests passed. The exact selection and scoring rules are in the full evaluation protocol.</w:t>
      </w:r>
    </w:p>
    <w:p>
      <w:pPr>
        <w:pStyle w:val="Heading1"/>
        <w:pageBreakBefore/>
      </w:pPr>
      <w:r>
        <w:t>Results so far</w:t>
      </w:r>
    </w:p>
    <w:p>
      <w:r>
        <w:t>These are the original strict scores: an answer counts only if it exactly matches an allowed label. FEVER counts individual claims; VitaminC counts pairs where both answers are correct. The two datasets should not be combined into one accuracy number.</w:t>
      </w:r>
    </w:p>
    <w:tbl>
      <w:tblPr>
        <w:tblW w:type="auto" w:w="0"/>
        <w:tblLayout w:type="fixed"/>
        <w:tblLook w:firstColumn="1" w:firstRow="1" w:lastColumn="0" w:lastRow="0" w:noHBand="0" w:noVBand="1" w:val="04A0"/>
      </w:tblPr>
      <w:tblGrid>
        <w:gridCol w:w="3331"/>
        <w:gridCol w:w="3331"/>
        <w:gridCol w:w="3331"/>
      </w:tblGrid>
      <w:tr>
        <w:tc>
          <w:tcPr>
            <w:tcW w:type="dxa" w:w="43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294862"/>
          </w:tcPr>
          <w:p>
            <w:pPr>
              <w:spacing w:after="0" w:line="252" w:lineRule="auto"/>
              <w:jc w:val="left"/>
            </w:pPr>
            <w:r>
              <w:rPr>
                <w:rFonts w:ascii="Arial" w:hAnsi="Arial"/>
                <w:b/>
                <w:color w:val="FFFFFF"/>
                <w:sz w:val="18"/>
              </w:rPr>
              <w:t>Measure</w:t>
            </w:r>
          </w:p>
        </w:tc>
        <w:tc>
          <w:tcPr>
            <w:tcW w:type="dxa" w:w="2837"/>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294862"/>
          </w:tcPr>
          <w:p>
            <w:pPr>
              <w:spacing w:after="0" w:line="252" w:lineRule="auto"/>
              <w:jc w:val="center"/>
            </w:pPr>
            <w:r>
              <w:rPr>
                <w:rFonts w:ascii="Arial" w:hAnsi="Arial"/>
                <w:b/>
                <w:color w:val="FFFFFF"/>
                <w:sz w:val="18"/>
              </w:rPr>
              <w:t>Llama 3.2 3B</w:t>
            </w:r>
          </w:p>
        </w:tc>
        <w:tc>
          <w:tcPr>
            <w:tcW w:type="dxa" w:w="2837"/>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294862"/>
          </w:tcPr>
          <w:p>
            <w:pPr>
              <w:spacing w:after="0" w:line="252" w:lineRule="auto"/>
              <w:jc w:val="center"/>
            </w:pPr>
            <w:r>
              <w:rPr>
                <w:rFonts w:ascii="Arial" w:hAnsi="Arial"/>
                <w:b/>
                <w:color w:val="FFFFFF"/>
                <w:sz w:val="18"/>
              </w:rPr>
              <w:t>Qwen 2.5 7B</w:t>
            </w:r>
          </w:p>
        </w:tc>
      </w:tr>
      <w:tr>
        <w:tc>
          <w:tcPr>
            <w:tcW w:type="dxa" w:w="43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jc w:val="left"/>
            </w:pPr>
            <w:r>
              <w:rPr>
                <w:rFonts w:ascii="Arial" w:hAnsi="Arial"/>
                <w:sz w:val="18"/>
              </w:rPr>
              <w:t>FEVER correct claims</w:t>
            </w:r>
          </w:p>
        </w:tc>
        <w:tc>
          <w:tcPr>
            <w:tcW w:type="dxa" w:w="2837"/>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jc w:val="center"/>
            </w:pPr>
            <w:r>
              <w:rPr>
                <w:rFonts w:ascii="Arial" w:hAnsi="Arial"/>
                <w:sz w:val="18"/>
              </w:rPr>
              <w:t>9,191 / 13,332 (68.94%)</w:t>
            </w:r>
          </w:p>
        </w:tc>
        <w:tc>
          <w:tcPr>
            <w:tcW w:type="dxa" w:w="2837"/>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jc w:val="center"/>
            </w:pPr>
            <w:r>
              <w:rPr>
                <w:rFonts w:ascii="Arial" w:hAnsi="Arial"/>
                <w:sz w:val="18"/>
              </w:rPr>
              <w:t>11,976 / 13,332 (89.83%)</w:t>
            </w:r>
          </w:p>
        </w:tc>
      </w:tr>
      <w:tr>
        <w:tc>
          <w:tcPr>
            <w:tcW w:type="dxa" w:w="43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3F6F8"/>
          </w:tcPr>
          <w:p>
            <w:pPr>
              <w:spacing w:after="0" w:line="252" w:lineRule="auto"/>
              <w:jc w:val="left"/>
            </w:pPr>
            <w:r>
              <w:rPr>
                <w:rFonts w:ascii="Arial" w:hAnsi="Arial"/>
                <w:sz w:val="18"/>
              </w:rPr>
              <w:t>VitaminC SUPPORTED–REFUTED pairs</w:t>
            </w:r>
          </w:p>
        </w:tc>
        <w:tc>
          <w:tcPr>
            <w:tcW w:type="dxa" w:w="2837"/>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3F6F8"/>
          </w:tcPr>
          <w:p>
            <w:pPr>
              <w:spacing w:after="0" w:line="252" w:lineRule="auto"/>
              <w:jc w:val="center"/>
            </w:pPr>
            <w:r>
              <w:rPr>
                <w:rFonts w:ascii="Arial" w:hAnsi="Arial"/>
                <w:sz w:val="18"/>
              </w:rPr>
              <w:t>311 / 1,000 (31.1%)</w:t>
            </w:r>
          </w:p>
        </w:tc>
        <w:tc>
          <w:tcPr>
            <w:tcW w:type="dxa" w:w="2837"/>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3F6F8"/>
          </w:tcPr>
          <w:p>
            <w:pPr>
              <w:spacing w:after="0" w:line="252" w:lineRule="auto"/>
              <w:jc w:val="center"/>
            </w:pPr>
            <w:r>
              <w:rPr>
                <w:rFonts w:ascii="Arial" w:hAnsi="Arial"/>
                <w:sz w:val="18"/>
              </w:rPr>
              <w:t>584 / 1,000 (58.4%)</w:t>
            </w:r>
          </w:p>
        </w:tc>
      </w:tr>
      <w:tr>
        <w:tc>
          <w:tcPr>
            <w:tcW w:type="dxa" w:w="43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jc w:val="left"/>
            </w:pPr>
            <w:r>
              <w:rPr>
                <w:rFonts w:ascii="Arial" w:hAnsi="Arial"/>
                <w:sz w:val="18"/>
              </w:rPr>
              <w:t>VitaminC SUPPORTED–NEI pairs</w:t>
            </w:r>
          </w:p>
        </w:tc>
        <w:tc>
          <w:tcPr>
            <w:tcW w:type="dxa" w:w="2837"/>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jc w:val="center"/>
            </w:pPr>
            <w:r>
              <w:rPr>
                <w:rFonts w:ascii="Arial" w:hAnsi="Arial"/>
                <w:sz w:val="18"/>
              </w:rPr>
              <w:t>300 / 1,000 (30.0%)</w:t>
            </w:r>
          </w:p>
        </w:tc>
        <w:tc>
          <w:tcPr>
            <w:tcW w:type="dxa" w:w="2837"/>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spacing w:after="0" w:line="252" w:lineRule="auto"/>
              <w:jc w:val="center"/>
            </w:pPr>
            <w:r>
              <w:rPr>
                <w:rFonts w:ascii="Arial" w:hAnsi="Arial"/>
                <w:sz w:val="18"/>
              </w:rPr>
              <w:t>201 / 1,000 (20.1%)</w:t>
            </w:r>
          </w:p>
        </w:tc>
      </w:tr>
      <w:tr>
        <w:tc>
          <w:tcPr>
            <w:tcW w:type="dxa" w:w="43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3F6F8"/>
          </w:tcPr>
          <w:p>
            <w:pPr>
              <w:spacing w:after="0" w:line="252" w:lineRule="auto"/>
              <w:jc w:val="left"/>
            </w:pPr>
            <w:r>
              <w:rPr>
                <w:rFonts w:ascii="Arial" w:hAnsi="Arial"/>
                <w:sz w:val="18"/>
              </w:rPr>
              <w:t>VitaminC REFUTED–NEI pairs</w:t>
            </w:r>
          </w:p>
        </w:tc>
        <w:tc>
          <w:tcPr>
            <w:tcW w:type="dxa" w:w="2837"/>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3F6F8"/>
          </w:tcPr>
          <w:p>
            <w:pPr>
              <w:spacing w:after="0" w:line="252" w:lineRule="auto"/>
              <w:jc w:val="center"/>
            </w:pPr>
            <w:r>
              <w:rPr>
                <w:rFonts w:ascii="Arial" w:hAnsi="Arial"/>
                <w:sz w:val="18"/>
              </w:rPr>
              <w:t>27 / 102 (26.5%)</w:t>
            </w:r>
          </w:p>
        </w:tc>
        <w:tc>
          <w:tcPr>
            <w:tcW w:type="dxa" w:w="2837"/>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3F6F8"/>
          </w:tcPr>
          <w:p>
            <w:pPr>
              <w:spacing w:after="0" w:line="252" w:lineRule="auto"/>
              <w:jc w:val="center"/>
            </w:pPr>
            <w:r>
              <w:rPr>
                <w:rFonts w:ascii="Arial" w:hAnsi="Arial"/>
                <w:sz w:val="18"/>
              </w:rPr>
              <w:t>3 / 102 (2.9%)</w:t>
            </w:r>
          </w:p>
        </w:tc>
      </w:tr>
    </w:tbl>
    <w:p>
      <w:pPr>
        <w:spacing w:after="0"/>
      </w:pPr>
    </w:p>
    <w:p>
      <w:r>
        <w:t>Qwen sometimes misspelled REFUTED in an otherwise clear answer. We kept the original strict scores and added a secondary typo-tolerant score that maps only four observed misspellings to REFUTED. Under that rule, Qwen scores 12,217 / 13,332 (91.64%) on FEVER and 608 / 1,000 (60.8%) on VitaminC SUPPORTED–REFUTED pairs. Its two NEI pair scores do not change. Llama's scores do not change. The saved raw answers remain untouched. Full counts and run hashes are in the evaluation summary.</w:t>
      </w:r>
    </w:p>
    <w:p>
      <w:pPr>
        <w:pStyle w:val="Heading1"/>
      </w:pPr>
      <w:r>
        <w:t>How to read these results</w:t>
      </w:r>
    </w:p>
    <w:p>
      <w:r>
        <w:t>The scores measure agreement with benchmark labels when evidence is supplied. They do not measure finding evidence, checking live information, or general real-world truth. Public benchmark material may also have appeared in a model's pretraining.</w:t>
      </w:r>
    </w:p>
    <w:p>
      <w:r>
        <w:t>The very low REFUTED–NEI result needs extra caution. In a fixed random check of 12 of its 102 pairs, we found several apparent mismatches between labels and evidence. For example, a March 4 claim saying a film earned over $22.5 million is labelled NOT ENOUGH INFORMATION even though its March 4 evidence says $23 million. This small check does not tell us the error rate of all 102 pairs, and it does not mean every model disagreement is a dataset error.</w:t>
      </w:r>
    </w:p>
    <w:p>
      <w:pPr>
        <w:pStyle w:val="Heading1"/>
      </w:pPr>
      <w:r>
        <w:t>What remains</w:t>
      </w:r>
    </w:p>
    <w:p>
      <w:r>
        <w:t>We need to decide how to present the REFUTED–NEI result with its label-quality warning. A separate FEVER NOT ENOUGH INFO test still needs an evidence-selection rule. A third model, if time and computing resources allow, should receive the same fixed inputs. We also plan a small demonstration app that shows how the evaluator works and presents the saved full-run results; a handful of live demo cases must not be presented as a model's measured accuracy. The current full runner uses Ollama; support for other model providers and the app are not yet implemented.</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Evaluator Project Progress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