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eastAsia"/>
        </w:rPr>
      </w:pPr>
      <w:bookmarkStart w:id="0" w:name="_Toc345773554"/>
      <w:r>
        <w:rPr>
          <w:rFonts w:hint="eastAsia"/>
        </w:rPr>
        <w:t>华金证券有限责任公司融资融券投资者知识测评</w:t>
      </w:r>
      <w:bookmarkEnd w:id="0"/>
      <w:r>
        <w:rPr>
          <w:rFonts w:hint="eastAsia"/>
          <w:color w:val="FF0000"/>
        </w:rPr>
        <w:t>（答案）</w:t>
      </w:r>
    </w:p>
    <w:p>
      <w:pPr>
        <w:pStyle w:val="6"/>
        <w:rPr>
          <w:rFonts w:hint="eastAsia"/>
        </w:rPr>
      </w:pPr>
    </w:p>
    <w:p>
      <w:pPr>
        <w:adjustRightInd w:val="0"/>
        <w:snapToGrid w:val="0"/>
        <w:spacing w:line="400" w:lineRule="exact"/>
        <w:ind w:left="-735" w:leftChars="-350" w:right="-716" w:rightChars="-341"/>
        <w:rPr>
          <w:rFonts w:hint="eastAsia" w:ascii="宋体"/>
          <w:bCs/>
          <w:sz w:val="24"/>
          <w:szCs w:val="32"/>
        </w:rPr>
      </w:pPr>
      <w:r>
        <w:rPr>
          <w:rFonts w:hint="eastAsia" w:ascii="宋体"/>
          <w:bCs/>
          <w:sz w:val="24"/>
          <w:szCs w:val="32"/>
        </w:rPr>
        <w:t>营业部：</w:t>
      </w:r>
      <w:r>
        <w:rPr>
          <w:rFonts w:hint="eastAsia" w:ascii="宋体"/>
          <w:bCs/>
          <w:sz w:val="24"/>
          <w:szCs w:val="32"/>
          <w:u w:val="single"/>
        </w:rPr>
        <w:t xml:space="preserve">               </w:t>
      </w:r>
      <w:r>
        <w:rPr>
          <w:rFonts w:hint="eastAsia" w:ascii="宋体"/>
          <w:bCs/>
          <w:sz w:val="24"/>
          <w:szCs w:val="32"/>
        </w:rPr>
        <w:t xml:space="preserve"> 投资者姓名：</w:t>
      </w:r>
      <w:r>
        <w:rPr>
          <w:rFonts w:hint="eastAsia" w:ascii="宋体"/>
          <w:bCs/>
          <w:sz w:val="24"/>
          <w:szCs w:val="32"/>
          <w:u w:val="single"/>
        </w:rPr>
        <w:t xml:space="preserve">               </w:t>
      </w:r>
      <w:r>
        <w:rPr>
          <w:rFonts w:hint="eastAsia" w:ascii="宋体"/>
          <w:bCs/>
          <w:sz w:val="24"/>
          <w:szCs w:val="32"/>
        </w:rPr>
        <w:t xml:space="preserve"> 资金账号：</w:t>
      </w:r>
      <w:r>
        <w:rPr>
          <w:rFonts w:hint="eastAsia" w:ascii="宋体"/>
          <w:bCs/>
          <w:sz w:val="24"/>
          <w:szCs w:val="32"/>
          <w:u w:val="single"/>
        </w:rPr>
        <w:t xml:space="preserve">                </w:t>
      </w:r>
    </w:p>
    <w:p>
      <w:pPr>
        <w:adjustRightInd w:val="0"/>
        <w:snapToGrid w:val="0"/>
        <w:spacing w:line="360" w:lineRule="exact"/>
        <w:ind w:left="-735" w:leftChars="-350" w:right="-716" w:rightChars="-341"/>
        <w:rPr>
          <w:rFonts w:hint="eastAsia" w:ascii="宋体" w:hAnsi="宋体"/>
          <w:bCs/>
          <w:szCs w:val="21"/>
        </w:rPr>
      </w:pP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单项选择题：（总分100分，每题5分）</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szCs w:val="21"/>
        </w:rPr>
        <w:t>1. </w:t>
      </w:r>
      <w:r>
        <w:rPr>
          <w:rFonts w:hint="eastAsia" w:ascii="宋体" w:hAnsi="宋体"/>
          <w:bCs/>
          <w:szCs w:val="21"/>
        </w:rPr>
        <w:t>当投资者信用账户维持担保</w:t>
      </w:r>
      <w:bookmarkStart w:id="1" w:name="_GoBack"/>
      <w:bookmarkEnd w:id="1"/>
      <w:r>
        <w:rPr>
          <w:rFonts w:hint="eastAsia" w:ascii="宋体" w:hAnsi="宋体"/>
          <w:bCs/>
          <w:szCs w:val="21"/>
        </w:rPr>
        <w:t>比例达到或低于130%时，需要在（  ）个交易日内补足担保物，使维持担保比例达到（  ）以上。</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 xml:space="preserve">A、2 ，130%       B、1，150%        C、1 ，130%          </w:t>
      </w:r>
      <w:r>
        <w:rPr>
          <w:rFonts w:hint="eastAsia" w:ascii="宋体" w:hAnsi="宋体"/>
          <w:bCs/>
          <w:color w:val="FF0000"/>
          <w:szCs w:val="21"/>
        </w:rPr>
        <w:t xml:space="preserve"> </w:t>
      </w:r>
      <w:r>
        <w:rPr>
          <w:rFonts w:hint="eastAsia" w:ascii="宋体" w:hAnsi="宋体"/>
          <w:bCs/>
          <w:color w:val="FF0000"/>
          <w:szCs w:val="21"/>
          <w:highlight w:val="yellow"/>
        </w:rPr>
        <w:t>D、2，140%</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szCs w:val="21"/>
        </w:rPr>
        <w:t>2. </w:t>
      </w:r>
      <w:r>
        <w:rPr>
          <w:rFonts w:hint="eastAsia" w:ascii="宋体" w:hAnsi="宋体"/>
          <w:bCs/>
          <w:szCs w:val="21"/>
        </w:rPr>
        <w:t>当信用账户维持担保比例高于（  ）时，投资者可以提取信用账户中的保证金，但提取后信用账户维持担保比例不得低于（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color w:val="FF0000"/>
          <w:szCs w:val="21"/>
          <w:highlight w:val="yellow"/>
        </w:rPr>
        <w:t>A、300%，300%</w:t>
      </w:r>
      <w:r>
        <w:rPr>
          <w:rFonts w:hint="eastAsia" w:ascii="宋体" w:hAnsi="宋体"/>
          <w:bCs/>
          <w:color w:val="FF0000"/>
          <w:szCs w:val="21"/>
        </w:rPr>
        <w:t xml:space="preserve"> </w:t>
      </w:r>
      <w:r>
        <w:rPr>
          <w:rFonts w:hint="eastAsia" w:ascii="宋体" w:hAnsi="宋体"/>
          <w:bCs/>
          <w:szCs w:val="21"/>
        </w:rPr>
        <w:t xml:space="preserve">    B、150%，300%     C、300% ，150%        D、150%，150%</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szCs w:val="21"/>
        </w:rPr>
        <w:t>3. </w:t>
      </w:r>
      <w:r>
        <w:rPr>
          <w:rFonts w:hint="eastAsia" w:ascii="宋体" w:hAnsi="宋体"/>
          <w:bCs/>
          <w:szCs w:val="21"/>
        </w:rPr>
        <w:t>当触发强制平仓条件时，我公司按以下那种（   ）平仓委托顺序进行强制平仓。</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 xml:space="preserve">A、由投资者自行确定 </w:t>
      </w:r>
    </w:p>
    <w:p>
      <w:pPr>
        <w:adjustRightInd w:val="0"/>
        <w:snapToGrid w:val="0"/>
        <w:spacing w:line="360" w:lineRule="exact"/>
        <w:ind w:left="-735" w:leftChars="-350" w:right="-716" w:rightChars="-341"/>
        <w:rPr>
          <w:rFonts w:hint="eastAsia" w:ascii="宋体" w:hAnsi="宋体"/>
          <w:bCs/>
          <w:color w:val="FF0000"/>
          <w:szCs w:val="21"/>
        </w:rPr>
      </w:pPr>
      <w:r>
        <w:rPr>
          <w:rFonts w:hint="eastAsia" w:ascii="宋体" w:hAnsi="宋体"/>
          <w:bCs/>
          <w:color w:val="FF0000"/>
          <w:szCs w:val="21"/>
          <w:highlight w:val="yellow"/>
        </w:rPr>
        <w:t>B、证券公司有权根据市场情况自行决定平仓顺序</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szCs w:val="21"/>
        </w:rPr>
        <w:t>4. </w:t>
      </w:r>
      <w:r>
        <w:rPr>
          <w:rFonts w:hint="eastAsia" w:ascii="宋体" w:hAnsi="宋体"/>
          <w:bCs/>
          <w:szCs w:val="21"/>
        </w:rPr>
        <w:t>当信用账户维持担保比例低于130%时，投资者应及时采取主动补仓或平仓措施，否则（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A、投资者信用账户将有可能被采取强制平仓</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B、证券公司有可能终止与投资者的融资融券合同，取消投资者的融资融券业务资格</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C、投资者有可能被列入证券公司融资融券业务黑名单</w:t>
      </w:r>
    </w:p>
    <w:p>
      <w:pPr>
        <w:adjustRightInd w:val="0"/>
        <w:snapToGrid w:val="0"/>
        <w:spacing w:line="360" w:lineRule="exact"/>
        <w:ind w:left="-735" w:leftChars="-350" w:right="-716" w:rightChars="-341"/>
        <w:rPr>
          <w:rFonts w:hint="eastAsia" w:ascii="宋体" w:hAnsi="宋体"/>
          <w:bCs/>
          <w:color w:val="FF0000"/>
          <w:szCs w:val="21"/>
          <w:highlight w:val="yellow"/>
        </w:rPr>
      </w:pPr>
      <w:r>
        <w:rPr>
          <w:rFonts w:hint="eastAsia" w:ascii="宋体" w:hAnsi="宋体"/>
          <w:bCs/>
          <w:color w:val="FF0000"/>
          <w:szCs w:val="21"/>
          <w:highlight w:val="yellow"/>
        </w:rPr>
        <w:t>D、以上皆对</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szCs w:val="21"/>
        </w:rPr>
        <w:t>5. </w:t>
      </w:r>
      <w:r>
        <w:rPr>
          <w:rFonts w:hint="eastAsia" w:ascii="宋体" w:hAnsi="宋体"/>
          <w:bCs/>
          <w:szCs w:val="21"/>
        </w:rPr>
        <w:t>融券期间，本人或关联人卖出与所融入证券相同的证券的，投资者应当自该事实发生之日起（  ）内向证券公司申报。</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 xml:space="preserve">A、1个交易日     B、 5个交易日   </w:t>
      </w:r>
      <w:r>
        <w:rPr>
          <w:rFonts w:hint="eastAsia" w:ascii="宋体" w:hAnsi="宋体"/>
          <w:bCs/>
          <w:color w:val="FF0000"/>
          <w:szCs w:val="21"/>
        </w:rPr>
        <w:t xml:space="preserve"> </w:t>
      </w:r>
      <w:r>
        <w:rPr>
          <w:rFonts w:hint="eastAsia" w:ascii="宋体" w:hAnsi="宋体"/>
          <w:bCs/>
          <w:color w:val="FF0000"/>
          <w:szCs w:val="21"/>
          <w:highlight w:val="yellow"/>
        </w:rPr>
        <w:t>C、 3个交易日</w:t>
      </w:r>
      <w:r>
        <w:rPr>
          <w:rFonts w:hint="eastAsia" w:ascii="宋体" w:hAnsi="宋体"/>
          <w:bCs/>
          <w:szCs w:val="21"/>
        </w:rPr>
        <w:t xml:space="preserve">      D、2个交易日</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szCs w:val="21"/>
        </w:rPr>
        <w:t xml:space="preserve">6. </w:t>
      </w:r>
      <w:r>
        <w:rPr>
          <w:rFonts w:hint="eastAsia" w:ascii="宋体" w:hAnsi="宋体"/>
          <w:bCs/>
          <w:szCs w:val="21"/>
        </w:rPr>
        <w:t>假设投资者已经融券卖出的证券被交易所公告将要终止上市，则需要（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A、不用采取任何措施</w:t>
      </w:r>
    </w:p>
    <w:p>
      <w:pPr>
        <w:adjustRightInd w:val="0"/>
        <w:snapToGrid w:val="0"/>
        <w:spacing w:line="360" w:lineRule="exact"/>
        <w:ind w:left="-735" w:leftChars="-350" w:right="-716" w:rightChars="-341"/>
        <w:rPr>
          <w:rFonts w:hint="eastAsia" w:ascii="宋体" w:hAnsi="宋体"/>
          <w:bCs/>
          <w:color w:val="FF0000"/>
          <w:szCs w:val="21"/>
        </w:rPr>
      </w:pPr>
      <w:r>
        <w:rPr>
          <w:rFonts w:hint="eastAsia" w:ascii="宋体" w:hAnsi="宋体"/>
          <w:bCs/>
          <w:color w:val="FF0000"/>
          <w:szCs w:val="21"/>
          <w:highlight w:val="yellow"/>
        </w:rPr>
        <w:t>B、 在交易所公告终止上市之日后五个交易日内买券还券或现券还券</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szCs w:val="21"/>
        </w:rPr>
        <w:t>7.</w:t>
      </w:r>
      <w:r>
        <w:rPr>
          <w:rFonts w:hint="eastAsia" w:ascii="宋体" w:hAnsi="宋体"/>
          <w:bCs/>
          <w:szCs w:val="21"/>
        </w:rPr>
        <w:t xml:space="preserve"> 投资者联络方式发生变动或因旅行、出差、出国等原因可能造成联络不畅通的，投资者应该（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 xml:space="preserve">A、电话通知证券公司   </w:t>
      </w:r>
      <w:r>
        <w:rPr>
          <w:rFonts w:hint="eastAsia" w:ascii="宋体" w:hAnsi="宋体"/>
          <w:bCs/>
          <w:color w:val="FF0000"/>
          <w:szCs w:val="21"/>
          <w:highlight w:val="yellow"/>
        </w:rPr>
        <w:t>B、及时到我公司临柜变更联络方式</w:t>
      </w:r>
      <w:r>
        <w:rPr>
          <w:rFonts w:hint="eastAsia" w:ascii="宋体" w:hAnsi="宋体"/>
          <w:bCs/>
          <w:szCs w:val="21"/>
        </w:rPr>
        <w:t xml:space="preserve">   C、不采取任何措施</w:t>
      </w:r>
    </w:p>
    <w:p>
      <w:pPr>
        <w:tabs>
          <w:tab w:val="left" w:pos="7980"/>
        </w:tabs>
        <w:adjustRightInd w:val="0"/>
        <w:snapToGrid w:val="0"/>
        <w:spacing w:line="360" w:lineRule="exact"/>
        <w:ind w:left="-735" w:leftChars="-350" w:right="-716" w:rightChars="-341"/>
        <w:rPr>
          <w:rFonts w:hint="eastAsia" w:ascii="宋体" w:hAnsi="宋体"/>
          <w:bCs/>
          <w:szCs w:val="21"/>
        </w:rPr>
      </w:pPr>
      <w:r>
        <w:rPr>
          <w:rFonts w:hint="eastAsia" w:ascii="宋体" w:hAnsi="宋体"/>
          <w:b/>
          <w:szCs w:val="21"/>
        </w:rPr>
        <w:t>8. </w:t>
      </w:r>
      <w:r>
        <w:rPr>
          <w:rFonts w:hint="eastAsia" w:ascii="宋体" w:hAnsi="宋体"/>
          <w:bCs/>
          <w:szCs w:val="21"/>
        </w:rPr>
        <w:t>证券公司与投资者约定的融资、融券期限自投资者实际使用资金或使用证券之日起计算，融资、融券期限不得超过（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color w:val="FF0000"/>
          <w:szCs w:val="21"/>
          <w:highlight w:val="yellow"/>
        </w:rPr>
        <w:t>A、6个月</w:t>
      </w:r>
      <w:r>
        <w:rPr>
          <w:rFonts w:hint="eastAsia" w:ascii="宋体" w:hAnsi="宋体"/>
          <w:bCs/>
          <w:szCs w:val="21"/>
        </w:rPr>
        <w:t xml:space="preserve">          B、一年               C、3个月            D、9个月</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szCs w:val="21"/>
        </w:rPr>
        <w:t>9. </w:t>
      </w:r>
      <w:r>
        <w:rPr>
          <w:rFonts w:hint="eastAsia" w:ascii="宋体" w:hAnsi="宋体"/>
          <w:bCs/>
          <w:szCs w:val="21"/>
        </w:rPr>
        <w:t>当融券卖出的证券发生红利、红股、配股、增发等权益时，按照《融资融券合同》的约定，投资者必须在股权登记日前主动买券还券，偿还融券负债，上述说法（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 xml:space="preserve">A、正确                                 </w:t>
      </w:r>
      <w:r>
        <w:rPr>
          <w:rFonts w:hint="eastAsia" w:ascii="宋体" w:hAnsi="宋体"/>
          <w:bCs/>
          <w:szCs w:val="21"/>
          <w:highlight w:val="yellow"/>
        </w:rPr>
        <w:t xml:space="preserve"> </w:t>
      </w:r>
      <w:r>
        <w:rPr>
          <w:rFonts w:hint="eastAsia" w:ascii="宋体" w:hAnsi="宋体"/>
          <w:bCs/>
          <w:color w:val="FF0000"/>
          <w:szCs w:val="21"/>
          <w:highlight w:val="yellow"/>
        </w:rPr>
        <w:t>B、 错误</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szCs w:val="21"/>
        </w:rPr>
        <w:t>10. </w:t>
      </w:r>
      <w:r>
        <w:rPr>
          <w:rFonts w:hint="eastAsia" w:ascii="宋体" w:hAnsi="宋体"/>
          <w:bCs/>
          <w:szCs w:val="21"/>
        </w:rPr>
        <w:t>证券公司向投资者收取融资融券“利息费用”时，按（  ）时间标准计算。</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color w:val="FF0000"/>
          <w:szCs w:val="21"/>
          <w:highlight w:val="yellow"/>
        </w:rPr>
        <w:t>A、按“天”计息</w:t>
      </w:r>
      <w:r>
        <w:rPr>
          <w:rFonts w:hint="eastAsia" w:ascii="宋体" w:hAnsi="宋体"/>
          <w:bCs/>
          <w:color w:val="FF0000"/>
          <w:szCs w:val="21"/>
        </w:rPr>
        <w:t xml:space="preserve"> </w:t>
      </w:r>
      <w:r>
        <w:rPr>
          <w:rFonts w:hint="eastAsia" w:ascii="宋体" w:hAnsi="宋体"/>
          <w:bCs/>
          <w:szCs w:val="21"/>
        </w:rPr>
        <w:t xml:space="preserve">                         B、按“月”计息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C、按“季度”计息                        D、按“年度”计息</w:t>
      </w:r>
    </w:p>
    <w:p>
      <w:pPr>
        <w:adjustRightInd w:val="0"/>
        <w:snapToGrid w:val="0"/>
        <w:spacing w:line="360" w:lineRule="exact"/>
        <w:ind w:left="-735" w:leftChars="-350" w:right="-716" w:rightChars="-341"/>
        <w:rPr>
          <w:rFonts w:hint="eastAsia" w:ascii="宋体" w:hAnsi="宋体"/>
          <w:bCs/>
          <w:szCs w:val="21"/>
        </w:rPr>
      </w:pP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bCs/>
          <w:szCs w:val="21"/>
        </w:rPr>
        <w:t>11.</w:t>
      </w:r>
      <w:r>
        <w:rPr>
          <w:rFonts w:hint="eastAsia" w:ascii="宋体" w:hAnsi="宋体"/>
          <w:bCs/>
          <w:szCs w:val="21"/>
        </w:rPr>
        <w:t xml:space="preserve"> 融券卖出的申报价格不得低于该证券的（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 xml:space="preserve">A、收盘价                            B、前一日平均成交价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color w:val="FF0000"/>
          <w:szCs w:val="21"/>
          <w:highlight w:val="yellow"/>
        </w:rPr>
        <w:t>C、最新成交价</w:t>
      </w:r>
      <w:r>
        <w:rPr>
          <w:rFonts w:hint="eastAsia" w:ascii="宋体" w:hAnsi="宋体"/>
          <w:bCs/>
          <w:szCs w:val="21"/>
        </w:rPr>
        <w:t xml:space="preserve">                        D、净值</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bCs/>
          <w:szCs w:val="21"/>
        </w:rPr>
        <w:t xml:space="preserve">12. </w:t>
      </w:r>
      <w:r>
        <w:rPr>
          <w:rFonts w:hint="eastAsia" w:ascii="宋体" w:hAnsi="宋体"/>
          <w:bCs/>
          <w:szCs w:val="21"/>
        </w:rPr>
        <w:t xml:space="preserve">投资者用于一家证券交易所上市证券融资融券交易的信用证券账户只能有（  ）。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color w:val="FF0000"/>
          <w:szCs w:val="21"/>
          <w:highlight w:val="yellow"/>
        </w:rPr>
        <w:t>A、一个</w:t>
      </w:r>
      <w:r>
        <w:rPr>
          <w:rFonts w:hint="eastAsia" w:ascii="宋体" w:hAnsi="宋体"/>
          <w:bCs/>
          <w:szCs w:val="21"/>
        </w:rPr>
        <w:t xml:space="preserve">          B、两个         C、三个          D、四个</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bCs/>
          <w:szCs w:val="21"/>
        </w:rPr>
        <w:t>13.</w:t>
      </w:r>
      <w:r>
        <w:rPr>
          <w:rFonts w:hint="eastAsia" w:ascii="宋体" w:hAnsi="宋体"/>
          <w:bCs/>
          <w:szCs w:val="21"/>
        </w:rPr>
        <w:t xml:space="preserve"> 投资者融资买入或融券卖出时所使用的保证金不得超过其（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A、账户可用资金                      B、账户现金</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color w:val="FF0000"/>
          <w:szCs w:val="21"/>
          <w:highlight w:val="yellow"/>
        </w:rPr>
        <w:t>C、保证金可用余额</w:t>
      </w:r>
      <w:r>
        <w:rPr>
          <w:rFonts w:hint="eastAsia" w:ascii="宋体" w:hAnsi="宋体"/>
          <w:bCs/>
          <w:color w:val="FF0000"/>
          <w:szCs w:val="21"/>
        </w:rPr>
        <w:t xml:space="preserve"> </w:t>
      </w:r>
      <w:r>
        <w:rPr>
          <w:rFonts w:hint="eastAsia" w:ascii="宋体" w:hAnsi="宋体"/>
          <w:bCs/>
          <w:szCs w:val="21"/>
        </w:rPr>
        <w:t xml:space="preserve">                   D、账户总资产</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bCs/>
          <w:szCs w:val="21"/>
        </w:rPr>
        <w:t xml:space="preserve">14. </w:t>
      </w:r>
      <w:r>
        <w:rPr>
          <w:rFonts w:hint="eastAsia" w:ascii="宋体" w:hAnsi="宋体"/>
          <w:bCs/>
          <w:szCs w:val="21"/>
        </w:rPr>
        <w:t>投资者融券卖出后，可以通过现券还券或（  ）的方式向证券公司偿还融入证券。</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 xml:space="preserve">A、直接还款       B、卖券还款        C、融资买入      </w:t>
      </w:r>
      <w:r>
        <w:rPr>
          <w:rFonts w:hint="eastAsia" w:ascii="宋体" w:hAnsi="宋体"/>
          <w:bCs/>
          <w:color w:val="FF0000"/>
          <w:szCs w:val="21"/>
          <w:highlight w:val="yellow"/>
        </w:rPr>
        <w:t>D、买券还券</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bCs/>
          <w:szCs w:val="21"/>
        </w:rPr>
        <w:t>15.</w:t>
      </w:r>
      <w:r>
        <w:rPr>
          <w:rFonts w:hint="eastAsia" w:ascii="宋体" w:hAnsi="宋体"/>
          <w:bCs/>
          <w:szCs w:val="21"/>
        </w:rPr>
        <w:t xml:space="preserve"> 某投资者信用账户内有60万现金和50万市值的A证券，假设A证券的折算率为60%，那么该投资者信用账户内的保证金金额为（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 xml:space="preserve">A、110万元        B、66万元        </w:t>
      </w:r>
      <w:r>
        <w:rPr>
          <w:rFonts w:hint="eastAsia" w:ascii="宋体" w:hAnsi="宋体"/>
          <w:bCs/>
          <w:color w:val="FF0000"/>
          <w:szCs w:val="21"/>
        </w:rPr>
        <w:t xml:space="preserve"> </w:t>
      </w:r>
      <w:r>
        <w:rPr>
          <w:rFonts w:hint="eastAsia" w:ascii="宋体" w:hAnsi="宋体"/>
          <w:bCs/>
          <w:color w:val="FF0000"/>
          <w:szCs w:val="21"/>
          <w:highlight w:val="yellow"/>
        </w:rPr>
        <w:t>C、90万元</w:t>
      </w:r>
      <w:r>
        <w:rPr>
          <w:rFonts w:hint="eastAsia" w:ascii="宋体" w:hAnsi="宋体"/>
          <w:bCs/>
          <w:szCs w:val="21"/>
        </w:rPr>
        <w:t xml:space="preserve">       D、85万元</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bCs/>
          <w:szCs w:val="21"/>
        </w:rPr>
        <w:t>16.</w:t>
      </w:r>
      <w:r>
        <w:rPr>
          <w:rFonts w:hint="eastAsia" w:ascii="宋体" w:hAnsi="宋体"/>
          <w:bCs/>
          <w:szCs w:val="21"/>
        </w:rPr>
        <w:t xml:space="preserve"> 某投资者信用账户中有100万元保证金可用余额，如融资保证金比例为80%，则该投资者可融资买入（  ）市值的证券。</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 xml:space="preserve">A、80万元         </w:t>
      </w:r>
      <w:r>
        <w:rPr>
          <w:rFonts w:hint="eastAsia" w:ascii="宋体" w:hAnsi="宋体"/>
          <w:bCs/>
          <w:color w:val="FF0000"/>
          <w:szCs w:val="21"/>
          <w:highlight w:val="yellow"/>
        </w:rPr>
        <w:t>B、125万元</w:t>
      </w:r>
      <w:r>
        <w:rPr>
          <w:rFonts w:hint="eastAsia" w:ascii="宋体" w:hAnsi="宋体"/>
          <w:bCs/>
          <w:szCs w:val="21"/>
        </w:rPr>
        <w:t xml:space="preserve">        C、200万元      D、300万元</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bCs/>
          <w:szCs w:val="21"/>
        </w:rPr>
        <w:t>17.</w:t>
      </w:r>
      <w:r>
        <w:rPr>
          <w:rFonts w:hint="eastAsia" w:ascii="宋体" w:hAnsi="宋体"/>
          <w:bCs/>
          <w:szCs w:val="21"/>
        </w:rPr>
        <w:t xml:space="preserve"> 投资者提交的保证金以及投资者融资买入的全部证券和融券卖出所得的全部价款，（  ）作为投资者对证券公司融资融券所生债务的担保物。</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color w:val="FF0000"/>
          <w:szCs w:val="21"/>
          <w:highlight w:val="yellow"/>
        </w:rPr>
        <w:t>A、全部</w:t>
      </w:r>
      <w:r>
        <w:rPr>
          <w:rFonts w:hint="eastAsia" w:ascii="宋体" w:hAnsi="宋体"/>
          <w:bCs/>
          <w:szCs w:val="21"/>
        </w:rPr>
        <w:t xml:space="preserve">         B、一半           C、按一定比例       D、全部都不是</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bCs/>
          <w:szCs w:val="21"/>
        </w:rPr>
        <w:t>18.</w:t>
      </w:r>
      <w:r>
        <w:rPr>
          <w:rFonts w:hint="eastAsia" w:ascii="宋体" w:hAnsi="宋体"/>
          <w:bCs/>
          <w:szCs w:val="21"/>
        </w:rPr>
        <w:t xml:space="preserve"> 证券公司对投资者提交的担保物进行整体监控，并计算其维持担保比例。维持担保比例是指投资者（  ）之间的比例。</w:t>
      </w:r>
    </w:p>
    <w:p>
      <w:pPr>
        <w:adjustRightInd w:val="0"/>
        <w:snapToGrid w:val="0"/>
        <w:spacing w:line="360" w:lineRule="exact"/>
        <w:ind w:left="-735" w:leftChars="-350" w:right="-716" w:rightChars="-341"/>
        <w:rPr>
          <w:rFonts w:hint="eastAsia" w:ascii="宋体" w:hAnsi="宋体"/>
          <w:bCs/>
          <w:color w:val="FF0000"/>
          <w:szCs w:val="21"/>
        </w:rPr>
      </w:pPr>
      <w:r>
        <w:rPr>
          <w:rFonts w:hint="eastAsia" w:ascii="宋体" w:hAnsi="宋体"/>
          <w:bCs/>
          <w:color w:val="FF0000"/>
          <w:szCs w:val="21"/>
          <w:highlight w:val="yellow"/>
        </w:rPr>
        <w:t>A、担保物价值与其融资融券债务</w:t>
      </w:r>
      <w:r>
        <w:rPr>
          <w:rFonts w:hint="eastAsia" w:ascii="宋体" w:hAnsi="宋体"/>
          <w:bCs/>
          <w:color w:val="FF0000"/>
          <w:szCs w:val="21"/>
        </w:rPr>
        <w:t xml:space="preserve">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B、投资者交付的保证金与融资、融券交易金额</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C、担保物价值与其融资债务</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D、账户现金与其融资融券债务</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bCs/>
          <w:szCs w:val="21"/>
        </w:rPr>
        <w:t>19.</w:t>
      </w:r>
      <w:r>
        <w:rPr>
          <w:rFonts w:hint="eastAsia" w:ascii="宋体" w:hAnsi="宋体"/>
          <w:bCs/>
          <w:szCs w:val="21"/>
        </w:rPr>
        <w:t xml:space="preserve"> 某股票A的折算率为65%，则100万股票市值的A股票可以充抵的保证金是（  ）。</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 xml:space="preserve">A、100万         B、80万              C、70万           </w:t>
      </w:r>
      <w:r>
        <w:rPr>
          <w:rFonts w:hint="eastAsia" w:ascii="宋体" w:hAnsi="宋体"/>
          <w:bCs/>
          <w:color w:val="FF0000"/>
          <w:szCs w:val="21"/>
        </w:rPr>
        <w:t xml:space="preserve"> </w:t>
      </w:r>
      <w:r>
        <w:rPr>
          <w:rFonts w:hint="eastAsia" w:ascii="宋体" w:hAnsi="宋体"/>
          <w:bCs/>
          <w:color w:val="FF0000"/>
          <w:szCs w:val="21"/>
          <w:highlight w:val="yellow"/>
        </w:rPr>
        <w:t>D、65万</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
          <w:bCs/>
          <w:szCs w:val="21"/>
        </w:rPr>
        <w:t xml:space="preserve">20. </w:t>
      </w:r>
      <w:r>
        <w:rPr>
          <w:rFonts w:hint="eastAsia" w:ascii="宋体" w:hAnsi="宋体"/>
          <w:bCs/>
          <w:szCs w:val="21"/>
        </w:rPr>
        <w:t>融资保证金比例是指投资者融资买入时交付的保证金与融资交易金额的比例，计算公式为（  ）。</w:t>
      </w:r>
    </w:p>
    <w:p>
      <w:pPr>
        <w:adjustRightInd w:val="0"/>
        <w:snapToGrid w:val="0"/>
        <w:spacing w:line="360" w:lineRule="exact"/>
        <w:ind w:left="-735" w:leftChars="-350" w:right="-716" w:rightChars="-341"/>
        <w:rPr>
          <w:rFonts w:hint="eastAsia" w:ascii="宋体" w:hAnsi="宋体"/>
          <w:bCs/>
          <w:color w:val="FF0000"/>
          <w:szCs w:val="21"/>
          <w:highlight w:val="yellow"/>
        </w:rPr>
      </w:pPr>
      <w:r>
        <w:rPr>
          <w:rFonts w:hint="eastAsia" w:ascii="宋体" w:hAnsi="宋体"/>
          <w:bCs/>
          <w:color w:val="FF0000"/>
          <w:szCs w:val="21"/>
          <w:highlight w:val="yellow"/>
        </w:rPr>
        <w:t>A、融资保证金比例 = 保证金/（融资买入证券数量×买入价格）×100%</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B、融资保证金比例 = 保证金/（买入证券数量×买入价格）×100%</w:t>
      </w:r>
    </w:p>
    <w:p>
      <w:pPr>
        <w:adjustRightInd w:val="0"/>
        <w:snapToGrid w:val="0"/>
        <w:spacing w:line="360" w:lineRule="exact"/>
        <w:ind w:left="-735" w:leftChars="-350" w:right="-716" w:rightChars="-341"/>
        <w:rPr>
          <w:rFonts w:hint="eastAsia" w:ascii="宋体" w:hAnsi="宋体"/>
          <w:bCs/>
          <w:szCs w:val="21"/>
        </w:rPr>
      </w:pPr>
      <w:r>
        <w:rPr>
          <w:rFonts w:hint="eastAsia" w:ascii="宋体" w:hAnsi="宋体"/>
          <w:bCs/>
          <w:szCs w:val="21"/>
        </w:rPr>
        <w:t>C、融资保证金比例 = 保证金/（融资买入证券数量×证券市值）×100%</w:t>
      </w:r>
    </w:p>
    <w:p>
      <w:pPr>
        <w:adjustRightInd w:val="0"/>
        <w:snapToGrid w:val="0"/>
        <w:rPr>
          <w:rFonts w:hint="eastAsia" w:ascii="宋体"/>
          <w:b/>
          <w:bCs/>
          <w:sz w:val="24"/>
          <w:szCs w:val="16"/>
        </w:rPr>
      </w:pPr>
    </w:p>
    <w:p>
      <w:pPr>
        <w:adjustRightInd w:val="0"/>
        <w:snapToGrid w:val="0"/>
        <w:spacing w:line="320" w:lineRule="exact"/>
        <w:ind w:left="3" w:leftChars="-342" w:hanging="721" w:hangingChars="342"/>
        <w:rPr>
          <w:rFonts w:hint="eastAsia"/>
          <w:b/>
          <w:bCs/>
          <w:szCs w:val="21"/>
        </w:rPr>
      </w:pPr>
    </w:p>
    <w:p>
      <w:pPr>
        <w:adjustRightInd w:val="0"/>
        <w:snapToGrid w:val="0"/>
        <w:spacing w:line="320" w:lineRule="exact"/>
        <w:ind w:left="106" w:leftChars="-342" w:hanging="824" w:hangingChars="342"/>
        <w:rPr>
          <w:rFonts w:hint="eastAsia"/>
          <w:b/>
          <w:bCs/>
          <w:sz w:val="24"/>
          <w:szCs w:val="24"/>
        </w:rPr>
      </w:pPr>
      <w:r>
        <w:rPr>
          <w:rFonts w:hint="eastAsia"/>
          <w:b/>
          <w:bCs/>
          <w:sz w:val="24"/>
          <w:szCs w:val="24"/>
        </w:rPr>
        <w:t xml:space="preserve">客户签名：      </w:t>
      </w:r>
      <w:r>
        <w:rPr>
          <w:rFonts w:hint="eastAsia" w:ascii="宋体"/>
          <w:b/>
          <w:bCs/>
          <w:sz w:val="24"/>
          <w:szCs w:val="24"/>
        </w:rPr>
        <w:t xml:space="preserve">融资融券业务推荐人：                   融资融券业务风控专员：  </w:t>
      </w:r>
    </w:p>
    <w:p>
      <w:pPr>
        <w:adjustRightInd w:val="0"/>
        <w:snapToGrid w:val="0"/>
        <w:spacing w:line="320" w:lineRule="exact"/>
        <w:ind w:leftChars="-342" w:hanging="718" w:hangingChars="298"/>
        <w:rPr>
          <w:rFonts w:hint="eastAsia" w:ascii="宋体"/>
          <w:b/>
          <w:bCs/>
          <w:sz w:val="24"/>
          <w:szCs w:val="24"/>
        </w:rPr>
      </w:pPr>
    </w:p>
    <w:p>
      <w:pPr>
        <w:adjustRightInd w:val="0"/>
        <w:snapToGrid w:val="0"/>
        <w:spacing w:line="320" w:lineRule="exact"/>
        <w:ind w:leftChars="-342" w:hanging="718" w:hangingChars="298"/>
        <w:rPr>
          <w:rFonts w:hint="eastAsia" w:ascii="宋体"/>
          <w:b/>
          <w:bCs/>
          <w:sz w:val="24"/>
          <w:szCs w:val="24"/>
        </w:rPr>
      </w:pPr>
    </w:p>
    <w:p>
      <w:pPr>
        <w:adjustRightInd w:val="0"/>
        <w:snapToGrid w:val="0"/>
        <w:spacing w:line="320" w:lineRule="exact"/>
        <w:ind w:leftChars="-342" w:hanging="718" w:hangingChars="298"/>
        <w:rPr>
          <w:rFonts w:hint="eastAsia" w:ascii="宋体"/>
          <w:b/>
          <w:bCs/>
          <w:sz w:val="24"/>
          <w:szCs w:val="24"/>
        </w:rPr>
      </w:pPr>
      <w:r>
        <w:rPr>
          <w:rFonts w:hint="eastAsia" w:ascii="宋体"/>
          <w:b/>
          <w:bCs/>
          <w:sz w:val="24"/>
          <w:szCs w:val="24"/>
        </w:rPr>
        <w:t xml:space="preserve">                                                      营业部盖章：</w:t>
      </w:r>
    </w:p>
    <w:p>
      <w:pPr>
        <w:adjustRightInd w:val="0"/>
        <w:snapToGrid w:val="0"/>
        <w:spacing w:line="320" w:lineRule="exact"/>
        <w:ind w:leftChars="-342" w:hanging="718" w:hangingChars="298"/>
        <w:rPr>
          <w:rFonts w:hint="eastAsia" w:ascii="宋体"/>
          <w:b/>
          <w:bCs/>
          <w:sz w:val="24"/>
          <w:szCs w:val="24"/>
        </w:rPr>
      </w:pPr>
    </w:p>
    <w:p>
      <w:pPr>
        <w:ind w:left="-2" w:leftChars="-342" w:hanging="716" w:hangingChars="297"/>
      </w:pPr>
      <w:r>
        <w:rPr>
          <w:rFonts w:hint="eastAsia" w:ascii="宋体"/>
          <w:b/>
          <w:bCs/>
          <w:sz w:val="24"/>
          <w:szCs w:val="24"/>
        </w:rPr>
        <w:t>日期：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96E"/>
    <w:rsid w:val="00411F3A"/>
    <w:rsid w:val="0044439B"/>
    <w:rsid w:val="004D5CEE"/>
    <w:rsid w:val="006C1CD6"/>
    <w:rsid w:val="00971641"/>
    <w:rsid w:val="00B3596E"/>
    <w:rsid w:val="00B75022"/>
    <w:rsid w:val="00B9100E"/>
    <w:rsid w:val="00DC4630"/>
    <w:rsid w:val="1FE9789B"/>
    <w:rsid w:val="51AB5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paragraph" w:customStyle="1" w:styleId="6">
    <w:name w:val="样式4"/>
    <w:basedOn w:val="1"/>
    <w:qFormat/>
    <w:uiPriority w:val="0"/>
    <w:pPr>
      <w:adjustRightInd w:val="0"/>
      <w:snapToGrid w:val="0"/>
      <w:jc w:val="center"/>
    </w:pPr>
    <w:rPr>
      <w:b/>
      <w:sz w:val="32"/>
      <w:szCs w:val="32"/>
    </w:rPr>
  </w:style>
  <w:style w:type="character" w:customStyle="1" w:styleId="7">
    <w:name w:val="页眉 Char"/>
    <w:basedOn w:val="5"/>
    <w:link w:val="3"/>
    <w:uiPriority w:val="0"/>
    <w:rPr>
      <w:kern w:val="2"/>
      <w:sz w:val="18"/>
      <w:szCs w:val="18"/>
    </w:rPr>
  </w:style>
  <w:style w:type="character" w:customStyle="1" w:styleId="8">
    <w:name w:val="页脚 Char"/>
    <w:basedOn w:val="5"/>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373</Words>
  <Characters>2130</Characters>
  <Lines>17</Lines>
  <Paragraphs>4</Paragraphs>
  <TotalTime>21</TotalTime>
  <ScaleCrop>false</ScaleCrop>
  <LinksUpToDate>false</LinksUpToDate>
  <CharactersWithSpaces>2499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2016-05-03T09:21:00Z</dcterms:created>
  <dc:creator>王蓓</dc:creator>
  <cp:lastModifiedBy>秋月·阑珊</cp:lastModifiedBy>
  <cp:lastPrinted>2020-10-21T03:58:20Z</cp:lastPrinted>
  <dcterms:modified xsi:type="dcterms:W3CDTF">2020-10-21T04:16:27Z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