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12.0.0 -->
  <w:body>
    <w:p w:rsidR="00AC03DB">
      <w:pPr>
        <w:pStyle w:val="Heading3"/>
        <w:spacing w:before="93" w:after="93"/>
        <w:rPr>
          <w:rFonts w:hint="eastAsia"/>
        </w:rPr>
      </w:pPr>
      <w:r>
        <w:drawing>
          <wp:anchor simplePos="0" relativeHeight="251658240" behindDoc="1" locked="0" layoutInCell="1" allowOverlap="1">
            <wp:simplePos x="0" y="0"/>
            <wp:positionH relativeFrom="page">
              <wp:posOffset>0</wp:posOffset>
            </wp:positionH>
            <wp:positionV relativeFrom="page">
              <wp:posOffset>0</wp:posOffset>
            </wp:positionV>
            <wp:extent cx="7560310" cy="10692130"/>
            <wp:wrapNone/>
            <wp:docPr id="100014" name=""/>
            <wp:cNvGraphicFramePr/>
            <a:graphic xmlns:a="http://schemas.openxmlformats.org/drawingml/2006/main">
              <a:graphicData uri="http://schemas.openxmlformats.org/drawingml/2006/picture">
                <pic:pic xmlns:pic="http://schemas.openxmlformats.org/drawingml/2006/picture">
                  <pic:nvPicPr>
                    <pic:cNvPr id="100014" name=""/>
                    <pic:cNvPicPr/>
                  </pic:nvPicPr>
                  <pic:blipFill>
                    <a:blip xmlns:r="http://schemas.openxmlformats.org/officeDocument/2006/relationships" r:embed="rId6"/>
                    <a:stretch>
                      <a:fillRect/>
                    </a:stretch>
                  </pic:blipFill>
                  <pic:spPr>
                    <a:xfrm>
                      <a:off x="0" y="0"/>
                      <a:ext cx="7560310" cy="10692130"/>
                    </a:xfrm>
                    <a:prstGeom prst="rect">
                      <a:avLst/>
                    </a:prstGeom>
                  </pic:spPr>
                </pic:pic>
              </a:graphicData>
            </a:graphic>
          </wp:anchor>
        </w:drawing>
      </w:r>
      <w:r>
        <w:pict>
          <v:shapetype id="_x0000_t202" coordsize="21600,21600" o:spt="202" path="m,l,21600r21600,l21600,xe">
            <v:stroke joinstyle="miter"/>
            <v:path gradientshapeok="t" o:connecttype="rect"/>
          </v:shapetype>
          <v:shape id="_x0000_s1025" type="#_x0000_t202" style="height:0;margin-left:0;margin-top:158.38pt;mso-position-horizontal:left;mso-position-horizontal-relative:margin;mso-position-vertical-relative:top-margin-area;position:absolute;width:538.6pt;z-index:251659264" stroked="f">
            <v:fill opacity="0"/>
            <v:path strokeok="f" textboxrect="0,0,21600,21600"/>
            <v:textbox style="mso-fit-shape-to-text:t" inset=",0,,0">
              <w:txbxContent>
                <w:p>
                  <w:pPr>
                    <w:jc w:val="left"/>
                  </w:pPr>
                  <w:r>
                    <w:rPr>
                      <w:rFonts w:ascii="微软雅黑" w:eastAsia="微软雅黑" w:hAnsi="微软雅黑" w:cs="微软雅黑"/>
                      <w:b/>
                      <w:color w:val="FFFFFF"/>
                      <w:spacing w:val="0"/>
                      <w:sz w:val="80"/>
                    </w:rPr>
                    <w:t>企业信用决策报告</w:t>
                  </w:r>
                </w:p>
              </w:txbxContent>
            </v:textbox>
          </v:shape>
        </w:pict>
      </w:r>
      <w:r>
        <w:pict>
          <v:shape id="_x0000_s1026" type="#_x0000_t202" style="height:0;margin-left:0;margin-top:263.03pt;mso-position-horizontal:left;mso-position-horizontal-relative:margin;mso-position-vertical-relative:top-margin-area;position:absolute;width:538.6pt;z-index:251660288" stroked="f">
            <v:fill opacity="0"/>
            <v:path strokeok="f" textboxrect="0,0,21600,21600"/>
            <v:textbox style="mso-fit-shape-to-text:t" inset=",0,,0">
              <w:txbxContent>
                <w:p>
                  <w:pPr>
                    <w:jc w:val="left"/>
                  </w:pPr>
                  <w:r>
                    <w:rPr>
                      <w:rFonts w:ascii="微软雅黑" w:eastAsia="微软雅黑" w:hAnsi="微软雅黑" w:cs="微软雅黑"/>
                      <w:b w:val="0"/>
                      <w:color w:val="FFFFFF"/>
                      <w:spacing w:val="0"/>
                      <w:sz w:val="36"/>
                    </w:rPr>
                    <w:t>江苏鑫合易家信息技术有限责任公司</w:t>
                  </w:r>
                </w:p>
              </w:txbxContent>
            </v:textbox>
          </v:shape>
        </w:pict>
      </w:r>
    </w:p>
    <w:p w:rsidR="00AC03DB">
      <w:pPr>
        <w:pStyle w:val="Heading3"/>
        <w:spacing w:before="93" w:after="93"/>
        <w:rPr>
          <w:rFonts w:hint="eastAsia"/>
        </w:rPr>
        <w:sectPr w:rsidSect="0016644D">
          <w:headerReference w:type="even" r:id="rId7"/>
          <w:headerReference w:type="default" r:id="rId8"/>
          <w:footerReference w:type="even" r:id="rId9"/>
          <w:footerReference w:type="default" r:id="rId10"/>
          <w:headerReference w:type="first" r:id="rId11"/>
          <w:footerReference w:type="first" r:id="rId12"/>
          <w:pgSz w:w="11906" w:h="16838"/>
          <w:pgMar w:top="1134" w:right="567" w:bottom="1134" w:left="567" w:header="397" w:footer="340" w:gutter="0"/>
          <w:pgNumType w:start="1"/>
          <w:cols w:space="425"/>
          <w:docGrid w:type="lines" w:linePitch="312"/>
        </w:sectPr>
      </w:pPr>
      <w:r>
        <w:pict>
          <v:shape id="_x0000_s1027" type="#_x0000_t202" style="height:0;margin-left:0;margin-top:618.26pt;mso-position-horizontal:left;mso-position-horizontal-relative:margin;mso-position-vertical-relative:page;position:absolute;width:538.6pt;z-index:251661312" stroked="f">
            <v:fill opacity="0"/>
            <v:path strokeok="f" textboxrect="0,0,21600,21600"/>
            <v:textbox style="mso-fit-shape-to-text:t" inset=",0,,0">
              <w:txbxContent>
                <w:p>
                  <w:pPr>
                    <w:jc w:val="left"/>
                  </w:pPr>
                  <w:r>
                    <w:rPr>
                      <w:rFonts w:ascii="微软雅黑" w:eastAsia="微软雅黑" w:hAnsi="微软雅黑" w:cs="微软雅黑"/>
                      <w:b w:val="0"/>
                      <w:color w:val="333333"/>
                      <w:spacing w:val="0"/>
                      <w:sz w:val="20"/>
                    </w:rPr>
                    <w:t>本报告生成时间为 2026年06月03日 15:08:31，您所看的内容为截止时间点的数据快照。</w:t>
                  </w:r>
                </w:p>
              </w:txbxContent>
            </v:textbox>
          </v:shape>
        </w:pict>
      </w:r>
      <w:r>
        <w:pict>
          <v:shape id="_x0000_s1028" type="#_x0000_t202" style="height:0;margin-left:0;margin-top:657.86pt;mso-position-horizontal:left;mso-position-horizontal-relative:margin;mso-position-vertical-relative:page;position:absolute;width:429.9pt;z-index:251662336" stroked="f">
            <v:fill opacity="0"/>
            <v:path strokeok="f" textboxrect="0,0,21600,21600"/>
            <v:textbox style="mso-fit-shape-to-text:t" inset=",0,,0">
              <w:txbxContent>
                <w:p>
                  <w:pPr>
                    <w:jc w:val="left"/>
                  </w:pPr>
                  <w:r>
                    <w:rPr>
                      <w:rFonts w:ascii="微软雅黑" w:eastAsia="微软雅黑" w:hAnsi="微软雅黑" w:cs="微软雅黑"/>
                      <w:b w:val="0"/>
                      <w:color w:val="808080"/>
                      <w:spacing w:val="0"/>
                      <w:sz w:val="14"/>
                    </w:rPr>
                    <w:t>本报告内容为截至该时间点信用主体在相关信息公示、公开信息数据整理分析所得，我司不对本报告的全面、准确、真实性进行分辨和核验，不负相关法律责任，本报告内容不构成我们对任何人或企业之明示或暗示的观点或保证，仅为您提供参考，真实结果请以各官方网站的公布结果为准。</w:t>
                  </w:r>
                </w:p>
                <w:p>
                  <w:pPr>
                    <w:jc w:val="left"/>
                  </w:pPr>
                  <w:r>
                    <w:rPr>
                      <w:rFonts w:ascii="微软雅黑" w:eastAsia="微软雅黑" w:hAnsi="微软雅黑" w:cs="微软雅黑"/>
                      <w:b w:val="0"/>
                      <w:color w:val="808080"/>
                      <w:spacing w:val="0"/>
                      <w:sz w:val="14"/>
                    </w:rPr>
                    <w:t>本报告仅供商业决策参考之用，不构成企查查对任何人之明示或暗示的观点或保证。您不得将本数据向任何第三方出售/向境外传输/在境外存储、使用；同时您不得利用本数据从事任何违法违规行为。否则，由此产生的一切后果由您自行承担。</w:t>
                  </w:r>
                </w:p>
                <w:p>
                  <w:pPr>
                    <w:jc w:val="left"/>
                  </w:pPr>
                  <w:r>
                    <w:rPr>
                      <w:rFonts w:ascii="微软雅黑" w:eastAsia="微软雅黑" w:hAnsi="微软雅黑" w:cs="微软雅黑"/>
                      <w:b w:val="0"/>
                      <w:color w:val="808080"/>
                      <w:spacing w:val="0"/>
                      <w:sz w:val="14"/>
                    </w:rPr>
                    <w:t>出具单位：企查查科技股份有限公司。</w:t>
                  </w:r>
                </w:p>
              </w:txbxContent>
            </v:textbox>
          </v:shape>
        </w:pict>
      </w:r>
    </w:p>
    <w:p w:rsidR="00AC03DB">
      <w:pPr>
        <w:pStyle w:val="Heading3"/>
        <w:spacing w:before="93" w:after="93"/>
        <w:rPr>
          <w:rFonts w:hint="eastAsia"/>
        </w:rPr>
      </w:pPr>
    </w:p>
    <w:p w:rsidR="00AC03DB">
      <w:pPr>
        <w:spacing w:before="120" w:after="40"/>
        <w:ind w:firstLine="0"/>
        <w:jc w:val="center"/>
        <w:rPr>
          <w:rFonts w:ascii="微软雅黑" w:eastAsia="微软雅黑" w:hAnsi="微软雅黑" w:cs="微软雅黑" w:hint="eastAsia"/>
          <w:b/>
          <w:color w:val="000000"/>
          <w:sz w:val="40"/>
          <w:u w:val="none"/>
        </w:rPr>
      </w:pPr>
      <w:r>
        <w:rPr>
          <w:rFonts w:ascii="微软雅黑" w:eastAsia="微软雅黑" w:hAnsi="微软雅黑" w:cs="微软雅黑" w:hint="eastAsia"/>
          <w:b/>
          <w:color w:val="000000"/>
          <w:sz w:val="40"/>
          <w:u w:val="none"/>
        </w:rPr>
        <w:t>企业信用决策报告</w:t>
      </w:r>
    </w:p>
    <w:p w:rsidR="00AC03DB">
      <w:pPr>
        <w:spacing w:before="84" w:after="28"/>
        <w:ind w:firstLine="0"/>
        <w:jc w:val="center"/>
        <w:rPr>
          <w:rFonts w:ascii="微软雅黑" w:eastAsia="微软雅黑" w:hAnsi="微软雅黑" w:cs="微软雅黑" w:hint="eastAsia"/>
          <w:b/>
          <w:color w:val="000000"/>
          <w:sz w:val="28"/>
          <w:u w:val="none"/>
        </w:rPr>
      </w:pPr>
      <w:r>
        <w:rPr>
          <w:rFonts w:ascii="微软雅黑" w:eastAsia="微软雅黑" w:hAnsi="微软雅黑" w:cs="微软雅黑" w:hint="eastAsia"/>
          <w:b/>
          <w:color w:val="000000"/>
          <w:sz w:val="28"/>
          <w:u w:val="none"/>
        </w:rPr>
        <w:t>江苏鑫合易家信息技术有限责任公司</w:t>
      </w:r>
    </w:p>
    <w:p>
      <w:pPr>
        <w:pStyle w:val="TOC1"/>
        <w:tabs>
          <w:tab w:val="right" w:leader="dot" w:pos="10762"/>
        </w:tabs>
        <w:rPr>
          <w:rFonts w:asciiTheme="minorHAnsi" w:hAnsiTheme="minorHAnsi"/>
          <w:noProof/>
          <w:sz w:val="22"/>
        </w:rPr>
      </w:pPr>
      <w:r w:rsidR="00AC03DB">
        <w:rPr>
          <w:rFonts w:ascii="微软雅黑" w:eastAsia="微软雅黑" w:hAnsi="微软雅黑" w:cs="微软雅黑" w:hint="eastAsia"/>
          <w:b/>
          <w:color w:val="000000"/>
          <w:sz w:val="28"/>
          <w:u w:val="none"/>
        </w:rPr>
        <w:fldChar w:fldCharType="begin"/>
      </w:r>
      <w:r w:rsidR="00AC03DB">
        <w:rPr>
          <w:rFonts w:ascii="微软雅黑" w:eastAsia="微软雅黑" w:hAnsi="微软雅黑" w:cs="微软雅黑" w:hint="eastAsia"/>
          <w:b/>
          <w:color w:val="000000"/>
          <w:sz w:val="28"/>
          <w:u w:val="none"/>
        </w:rPr>
        <w:instrText>TOC \o "1-3" \h \z \u</w:instrText>
      </w:r>
      <w:r w:rsidR="00AC03DB">
        <w:rPr>
          <w:rFonts w:ascii="微软雅黑" w:eastAsia="微软雅黑" w:hAnsi="微软雅黑" w:cs="微软雅黑" w:hint="eastAsia"/>
          <w:b/>
          <w:color w:val="000000"/>
          <w:sz w:val="28"/>
          <w:u w:val="none"/>
        </w:rPr>
        <w:fldChar w:fldCharType="separate"/>
      </w:r>
      <w:r>
        <w:fldChar w:fldCharType="begin"/>
      </w:r>
      <w:r>
        <w:rPr>
          <w:rStyle w:val="Hyperlink"/>
        </w:rPr>
        <w:instrText xml:space="preserve"> HYPERLINK \l "_Toc256000003" </w:instrText>
      </w:r>
      <w:r>
        <w:fldChar w:fldCharType="separate"/>
      </w:r>
      <w:r w:rsidR="00AC03DB">
        <w:rPr>
          <w:rStyle w:val="Hyperlink"/>
          <w:rFonts w:ascii="微软雅黑" w:hAnsi="微软雅黑" w:cs="微软雅黑" w:hint="eastAsia"/>
        </w:rPr>
        <w:t>1 企业概要</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"_Toc256000004" </w:instrText>
      </w:r>
      <w:r>
        <w:fldChar w:fldCharType="separate"/>
      </w:r>
      <w:r w:rsidR="00AC03DB">
        <w:rPr>
          <w:rStyle w:val="Hyperlink"/>
          <w:rFonts w:cs="微软雅黑" w:hint="eastAsia"/>
        </w:rPr>
        <w:t>1.1 企查分</w:t>
      </w:r>
      <w:r>
        <w:rPr>
          <w:rStyle w:val="Hyperlink"/>
        </w:rPr>
        <w:tab/>
      </w:r>
      <w:r>
        <w:fldChar w:fldCharType="begin"/>
      </w:r>
      <w:r>
        <w:rPr>
          <w:rStyle w:val="Hyperlink"/>
        </w:rPr>
        <w:instrText xml:space="preserve"> PAGEREF _Toc256000004 \h </w:instrText>
      </w:r>
      <w:r>
        <w:fldChar w:fldCharType="separate"/>
      </w:r>
      <w:r>
        <w:rPr>
          <w:rStyle w:val="Hyperlink"/>
        </w:rPr>
        <w:t>3</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"_Toc256000005" </w:instrText>
      </w:r>
      <w:r>
        <w:fldChar w:fldCharType="separate"/>
      </w:r>
      <w:r w:rsidR="00AC03DB">
        <w:rPr>
          <w:rStyle w:val="Hyperlink"/>
          <w:rFonts w:cs="微软雅黑" w:hint="eastAsia"/>
        </w:rPr>
        <w:t>1.2 联系信息</w:t>
      </w:r>
      <w:r>
        <w:rPr>
          <w:rStyle w:val="Hyperlink"/>
        </w:rPr>
        <w:tab/>
      </w:r>
      <w:r>
        <w:fldChar w:fldCharType="begin"/>
      </w:r>
      <w:r>
        <w:rPr>
          <w:rStyle w:val="Hyperlink"/>
        </w:rPr>
        <w:instrText xml:space="preserve"> PAGEREF _Toc256000005 \h </w:instrText>
      </w:r>
      <w:r>
        <w:fldChar w:fldCharType="separate"/>
      </w:r>
      <w:r>
        <w:rPr>
          <w:rStyle w:val="Hyperlink"/>
        </w:rPr>
        <w:t>3</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Fonts w:ascii="微软雅黑" w:hAnsi="微软雅黑" w:cs="微软雅黑"/>
        </w:rPr>
        <w:t>2 基本信息</w:t>
      </w:r>
      <w:r>
        <w:rPr>
          <w:rStyle w:val="Hyperlink"/>
        </w:rPr>
        <w:tab/>
      </w:r>
      <w:r>
        <w:fldChar w:fldCharType="begin"/>
      </w:r>
      <w:r>
        <w:rPr>
          <w:rStyle w:val="Hyperlink"/>
        </w:rPr>
        <w:instrText xml:space="preserve"> PAGEREF _Toc256000006 \h </w:instrText>
      </w:r>
      <w:r>
        <w:fldChar w:fldCharType="separate"/>
      </w:r>
      <w:r>
        <w:rPr>
          <w:rStyle w:val="Hyperlink"/>
        </w:rPr>
        <w:t>4</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Fonts w:cs="微软雅黑"/>
        </w:rPr>
        <w:t>2.1 工商信息</w:t>
      </w:r>
      <w:r>
        <w:rPr>
          <w:rStyle w:val="Hyperlink"/>
        </w:rPr>
        <w:tab/>
      </w:r>
      <w:r>
        <w:fldChar w:fldCharType="begin"/>
      </w:r>
      <w:r>
        <w:rPr>
          <w:rStyle w:val="Hyperlink"/>
        </w:rPr>
        <w:instrText xml:space="preserve"> PAGEREF _Toc256000007 \h </w:instrText>
      </w:r>
      <w:r>
        <w:fldChar w:fldCharType="separate"/>
      </w:r>
      <w:r>
        <w:rPr>
          <w:rStyle w:val="Hyperlink"/>
        </w:rPr>
        <w:t>4</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Fonts w:cs="微软雅黑"/>
        </w:rPr>
        <w:t>2.2 股东信息 (1)</w:t>
      </w:r>
      <w:r>
        <w:rPr>
          <w:rStyle w:val="Hyperlink"/>
        </w:rPr>
        <w:tab/>
      </w:r>
      <w:r>
        <w:fldChar w:fldCharType="begin"/>
      </w:r>
      <w:r>
        <w:rPr>
          <w:rStyle w:val="Hyperlink"/>
        </w:rPr>
        <w:instrText xml:space="preserve"> PAGEREF _Toc256000008 \h </w:instrText>
      </w:r>
      <w:r>
        <w:fldChar w:fldCharType="separate"/>
      </w:r>
      <w:r>
        <w:rPr>
          <w:rStyle w:val="Hyperlink"/>
        </w:rPr>
        <w:t>4</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Fonts w:cs="微软雅黑"/>
        </w:rPr>
        <w:t>2.3 主要人员 (2)</w:t>
      </w:r>
      <w:r>
        <w:rPr>
          <w:rStyle w:val="Hyperlink"/>
        </w:rPr>
        <w:tab/>
      </w:r>
      <w:r>
        <w:fldChar w:fldCharType="begin"/>
      </w:r>
      <w:r>
        <w:rPr>
          <w:rStyle w:val="Hyperlink"/>
        </w:rPr>
        <w:instrText xml:space="preserve"> PAGEREF _Toc256000009 \h </w:instrText>
      </w:r>
      <w:r>
        <w:fldChar w:fldCharType="separate"/>
      </w:r>
      <w:r>
        <w:rPr>
          <w:rStyle w:val="Hyperlink"/>
        </w:rPr>
        <w:t>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Fonts w:cs="微软雅黑"/>
        </w:rPr>
        <w:t>2.4 对外投资 (2)</w:t>
      </w:r>
      <w:r>
        <w:rPr>
          <w:rStyle w:val="Hyperlink"/>
        </w:rPr>
        <w:tab/>
      </w:r>
      <w:r>
        <w:fldChar w:fldCharType="begin"/>
      </w:r>
      <w:r>
        <w:rPr>
          <w:rStyle w:val="Hyperlink"/>
        </w:rPr>
        <w:instrText xml:space="preserve"> PAGEREF _Toc256000010 \h </w:instrText>
      </w:r>
      <w:r>
        <w:fldChar w:fldCharType="separate"/>
      </w:r>
      <w:r>
        <w:rPr>
          <w:rStyle w:val="Hyperlink"/>
        </w:rPr>
        <w:t>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Fonts w:cs="微软雅黑"/>
        </w:rPr>
        <w:t>2.5 间接持股企业 (905)</w:t>
      </w:r>
      <w:r>
        <w:rPr>
          <w:rStyle w:val="Hyperlink"/>
        </w:rPr>
        <w:tab/>
      </w:r>
      <w:r>
        <w:fldChar w:fldCharType="begin"/>
      </w:r>
      <w:r>
        <w:rPr>
          <w:rStyle w:val="Hyperlink"/>
        </w:rPr>
        <w:instrText xml:space="preserve"> PAGEREF _Toc256000011 \h </w:instrText>
      </w:r>
      <w:r>
        <w:fldChar w:fldCharType="separate"/>
      </w:r>
      <w:r>
        <w:rPr>
          <w:rStyle w:val="Hyperlink"/>
        </w:rPr>
        <w:t>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Fonts w:cs="微软雅黑"/>
        </w:rPr>
        <w:t>2.6 控制企业 (18)</w:t>
      </w:r>
      <w:r>
        <w:rPr>
          <w:rStyle w:val="Hyperlink"/>
        </w:rPr>
        <w:tab/>
      </w:r>
      <w:r>
        <w:fldChar w:fldCharType="begin"/>
      </w:r>
      <w:r>
        <w:rPr>
          <w:rStyle w:val="Hyperlink"/>
        </w:rPr>
        <w:instrText xml:space="preserve"> PAGEREF _Toc256000012 \h </w:instrText>
      </w:r>
      <w:r>
        <w:fldChar w:fldCharType="separate"/>
      </w:r>
      <w:r>
        <w:rPr>
          <w:rStyle w:val="Hyperlink"/>
        </w:rPr>
        <w:t>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Fonts w:cs="微软雅黑"/>
        </w:rPr>
        <w:t>2.7 变更记录 (11)</w:t>
      </w:r>
      <w:r>
        <w:rPr>
          <w:rStyle w:val="Hyperlink"/>
        </w:rPr>
        <w:tab/>
      </w:r>
      <w:r>
        <w:fldChar w:fldCharType="begin"/>
      </w:r>
      <w:r>
        <w:rPr>
          <w:rStyle w:val="Hyperlink"/>
        </w:rPr>
        <w:instrText xml:space="preserve"> PAGEREF _Toc256000013 \h </w:instrText>
      </w:r>
      <w:r>
        <w:fldChar w:fldCharType="separate"/>
      </w:r>
      <w:r>
        <w:rPr>
          <w:rStyle w:val="Hyperlink"/>
        </w:rPr>
        <w:t>12</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Fonts w:cs="微软雅黑"/>
        </w:rPr>
        <w:t>2.8 财务简析</w:t>
      </w:r>
      <w:r>
        <w:rPr>
          <w:rStyle w:val="Hyperlink"/>
        </w:rPr>
        <w:tab/>
      </w:r>
      <w:r>
        <w:fldChar w:fldCharType="begin"/>
      </w:r>
      <w:r>
        <w:rPr>
          <w:rStyle w:val="Hyperlink"/>
        </w:rPr>
        <w:instrText xml:space="preserve"> PAGEREF _Toc256000014 \h </w:instrText>
      </w:r>
      <w:r>
        <w:fldChar w:fldCharType="separate"/>
      </w:r>
      <w:r>
        <w:rPr>
          <w:rStyle w:val="Hyperlink"/>
        </w:rPr>
        <w:t>14</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Fonts w:cs="微软雅黑"/>
        </w:rPr>
        <w:t>2.9 财务数据</w:t>
      </w:r>
      <w:r>
        <w:rPr>
          <w:rStyle w:val="Hyperlink"/>
        </w:rPr>
        <w:tab/>
      </w:r>
      <w:r>
        <w:fldChar w:fldCharType="begin"/>
      </w:r>
      <w:r>
        <w:rPr>
          <w:rStyle w:val="Hyperlink"/>
        </w:rPr>
        <w:instrText xml:space="preserve"> PAGEREF _Toc256000015 \h </w:instrText>
      </w:r>
      <w:r>
        <w:fldChar w:fldCharType="separate"/>
      </w:r>
      <w:r>
        <w:rPr>
          <w:rStyle w:val="Hyperlink"/>
        </w:rPr>
        <w:t>15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Fonts w:cs="微软雅黑"/>
        </w:rPr>
        <w:t>2.10 企业年报 (10)</w:t>
      </w:r>
      <w:r>
        <w:rPr>
          <w:rStyle w:val="Hyperlink"/>
        </w:rPr>
        <w:tab/>
      </w:r>
      <w:r>
        <w:fldChar w:fldCharType="begin"/>
      </w:r>
      <w:r>
        <w:rPr>
          <w:rStyle w:val="Hyperlink"/>
        </w:rPr>
        <w:instrText xml:space="preserve"> PAGEREF _Toc256000016 \h </w:instrText>
      </w:r>
      <w:r>
        <w:fldChar w:fldCharType="separate"/>
      </w:r>
      <w:r>
        <w:rPr>
          <w:rStyle w:val="Hyperlink"/>
        </w:rPr>
        <w:t>15</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Fonts w:cs="微软雅黑"/>
        </w:rPr>
        <w:t>2.11 受益所有人 (1)</w:t>
      </w:r>
      <w:r>
        <w:rPr>
          <w:rStyle w:val="Hyperlink"/>
        </w:rPr>
        <w:tab/>
      </w:r>
      <w:r>
        <w:fldChar w:fldCharType="begin"/>
      </w:r>
      <w:r>
        <w:rPr>
          <w:rStyle w:val="Hyperlink"/>
        </w:rPr>
        <w:instrText xml:space="preserve"> PAGEREF _Toc256000017 \h </w:instrText>
      </w:r>
      <w:r>
        <w:fldChar w:fldCharType="separate"/>
      </w:r>
      <w:r>
        <w:rPr>
          <w:rStyle w:val="Hyperlink"/>
        </w:rPr>
        <w:t>17</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Fonts w:cs="微软雅黑"/>
        </w:rPr>
        <w:t>2.12 实际控制人</w:t>
      </w:r>
      <w:r>
        <w:rPr>
          <w:rStyle w:val="Hyperlink"/>
        </w:rPr>
        <w:tab/>
      </w:r>
      <w:r>
        <w:fldChar w:fldCharType="begin"/>
      </w:r>
      <w:r>
        <w:rPr>
          <w:rStyle w:val="Hyperlink"/>
        </w:rPr>
        <w:instrText xml:space="preserve"> PAGEREF _Toc256000018 \h </w:instrText>
      </w:r>
      <w:r>
        <w:fldChar w:fldCharType="separate"/>
      </w:r>
      <w:r>
        <w:rPr>
          <w:rStyle w:val="Hyperlink"/>
        </w:rPr>
        <w:t>17</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Fonts w:ascii="微软雅黑" w:hAnsi="微软雅黑" w:cs="微软雅黑"/>
        </w:rPr>
        <w:t>3 法定代表人相关信息</w:t>
      </w:r>
      <w:r>
        <w:rPr>
          <w:rStyle w:val="Hyperlink"/>
        </w:rPr>
        <w:tab/>
      </w:r>
      <w:r>
        <w:fldChar w:fldCharType="begin"/>
      </w:r>
      <w:r>
        <w:rPr>
          <w:rStyle w:val="Hyperlink"/>
        </w:rPr>
        <w:instrText xml:space="preserve"> PAGEREF _Toc256000019 \h </w:instrText>
      </w:r>
      <w:r>
        <w:fldChar w:fldCharType="separate"/>
      </w:r>
      <w:r>
        <w:rPr>
          <w:rStyle w:val="Hyperlink"/>
        </w:rPr>
        <w:t>18</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Fonts w:cs="微软雅黑"/>
        </w:rPr>
        <w:t>3.1 担任法定代表人的企业信息 (1)</w:t>
      </w:r>
      <w:r>
        <w:rPr>
          <w:rStyle w:val="Hyperlink"/>
        </w:rPr>
        <w:tab/>
      </w:r>
      <w:r>
        <w:fldChar w:fldCharType="begin"/>
      </w:r>
      <w:r>
        <w:rPr>
          <w:rStyle w:val="Hyperlink"/>
        </w:rPr>
        <w:instrText xml:space="preserve"> PAGEREF _Toc256000020 \h </w:instrText>
      </w:r>
      <w:r>
        <w:fldChar w:fldCharType="separate"/>
      </w:r>
      <w:r>
        <w:rPr>
          <w:rStyle w:val="Hyperlink"/>
        </w:rPr>
        <w:t>18</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Fonts w:cs="微软雅黑"/>
        </w:rPr>
        <w:t>3.2 法定代表人在外任职信息 (1)</w:t>
      </w:r>
      <w:r>
        <w:rPr>
          <w:rStyle w:val="Hyperlink"/>
        </w:rPr>
        <w:tab/>
      </w:r>
      <w:r>
        <w:fldChar w:fldCharType="begin"/>
      </w:r>
      <w:r>
        <w:rPr>
          <w:rStyle w:val="Hyperlink"/>
        </w:rPr>
        <w:instrText xml:space="preserve"> PAGEREF _Toc256000021 \h </w:instrText>
      </w:r>
      <w:r>
        <w:fldChar w:fldCharType="separate"/>
      </w:r>
      <w:r>
        <w:rPr>
          <w:rStyle w:val="Hyperlink"/>
        </w:rPr>
        <w:t>18</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Fonts w:ascii="微软雅黑" w:hAnsi="微软雅黑" w:cs="微软雅黑"/>
        </w:rPr>
        <w:t>4 经营信息</w:t>
      </w:r>
      <w:r>
        <w:rPr>
          <w:rStyle w:val="Hyperlink"/>
        </w:rPr>
        <w:tab/>
      </w:r>
      <w:r>
        <w:fldChar w:fldCharType="begin"/>
      </w:r>
      <w:r>
        <w:rPr>
          <w:rStyle w:val="Hyperlink"/>
        </w:rPr>
        <w:instrText xml:space="preserve"> PAGEREF _Toc256000022 \h </w:instrText>
      </w:r>
      <w:r>
        <w:fldChar w:fldCharType="separate"/>
      </w:r>
      <w:r>
        <w:rPr>
          <w:rStyle w:val="Hyperlink"/>
        </w:rPr>
        <w:t>18</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Fonts w:cs="微软雅黑"/>
        </w:rPr>
        <w:t>4.1 资质证书 (12)</w:t>
      </w:r>
      <w:r>
        <w:rPr>
          <w:rStyle w:val="Hyperlink"/>
        </w:rPr>
        <w:tab/>
      </w:r>
      <w:r>
        <w:fldChar w:fldCharType="begin"/>
      </w:r>
      <w:r>
        <w:rPr>
          <w:rStyle w:val="Hyperlink"/>
        </w:rPr>
        <w:instrText xml:space="preserve"> PAGEREF _Toc256000023 \h </w:instrText>
      </w:r>
      <w:r>
        <w:fldChar w:fldCharType="separate"/>
      </w:r>
      <w:r>
        <w:rPr>
          <w:rStyle w:val="Hyperlink"/>
        </w:rPr>
        <w:t>18</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Fonts w:cs="微软雅黑"/>
        </w:rPr>
        <w:t>4.2 信用评价</w:t>
      </w:r>
      <w:r>
        <w:rPr>
          <w:rStyle w:val="Hyperlink"/>
        </w:rPr>
        <w:tab/>
      </w:r>
      <w:r>
        <w:fldChar w:fldCharType="begin"/>
      </w:r>
      <w:r>
        <w:rPr>
          <w:rStyle w:val="Hyperlink"/>
        </w:rPr>
        <w:instrText xml:space="preserve"> PAGEREF _Toc256000024 \h </w:instrText>
      </w:r>
      <w:r>
        <w:fldChar w:fldCharType="separate"/>
      </w:r>
      <w:r>
        <w:rPr>
          <w:rStyle w:val="Hyperlink"/>
        </w:rPr>
        <w:t>19</w:t>
      </w:r>
      <w:r>
        <w:fldChar w:fldCharType="end"/>
      </w:r>
      <w:r>
        <w:fldChar w:fldCharType="end"/>
      </w:r>
    </w:p>
    <w:p>
      <w:pPr>
        <w:pStyle w:val="TOC3"/>
        <w:tabs>
          <w:tab w:val="right" w:leader="dot" w:pos="10762"/>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Fonts w:cs="微软雅黑"/>
        </w:rPr>
        <w:t>4.2.1 纳税信用等级 (5)</w:t>
      </w:r>
      <w:r>
        <w:rPr>
          <w:rStyle w:val="Hyperlink"/>
        </w:rPr>
        <w:tab/>
      </w:r>
      <w:r>
        <w:fldChar w:fldCharType="begin"/>
      </w:r>
      <w:r>
        <w:rPr>
          <w:rStyle w:val="Hyperlink"/>
        </w:rPr>
        <w:instrText xml:space="preserve"> PAGEREF _Toc256000025 \h </w:instrText>
      </w:r>
      <w:r>
        <w:fldChar w:fldCharType="separate"/>
      </w:r>
      <w:r>
        <w:rPr>
          <w:rStyle w:val="Hyperlink"/>
        </w:rPr>
        <w:t>19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Fonts w:cs="微软雅黑"/>
        </w:rPr>
        <w:t>4.3 招投标 (82)</w:t>
      </w:r>
      <w:r>
        <w:rPr>
          <w:rStyle w:val="Hyperlink"/>
        </w:rPr>
        <w:tab/>
      </w:r>
      <w:r>
        <w:fldChar w:fldCharType="begin"/>
      </w:r>
      <w:r>
        <w:rPr>
          <w:rStyle w:val="Hyperlink"/>
        </w:rPr>
        <w:instrText xml:space="preserve"> PAGEREF _Toc256000026 \h </w:instrText>
      </w:r>
      <w:r>
        <w:fldChar w:fldCharType="separate"/>
      </w:r>
      <w:r>
        <w:rPr>
          <w:rStyle w:val="Hyperlink"/>
        </w:rPr>
        <w:t>19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Fonts w:cs="微软雅黑"/>
        </w:rPr>
        <w:t>4.4 招聘 (49)</w:t>
      </w:r>
      <w:r>
        <w:rPr>
          <w:rStyle w:val="Hyperlink"/>
        </w:rPr>
        <w:tab/>
      </w:r>
      <w:r>
        <w:fldChar w:fldCharType="begin"/>
      </w:r>
      <w:r>
        <w:rPr>
          <w:rStyle w:val="Hyperlink"/>
        </w:rPr>
        <w:instrText xml:space="preserve"> PAGEREF _Toc256000027 \h </w:instrText>
      </w:r>
      <w:r>
        <w:fldChar w:fldCharType="separate"/>
      </w:r>
      <w:r>
        <w:rPr>
          <w:rStyle w:val="Hyperlink"/>
        </w:rPr>
        <w:t>29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Fonts w:cs="微软雅黑"/>
        </w:rPr>
        <w:t>4.5 行政许可 (5)</w:t>
      </w:r>
      <w:r>
        <w:rPr>
          <w:rStyle w:val="Hyperlink"/>
        </w:rPr>
        <w:tab/>
      </w:r>
      <w:r>
        <w:fldChar w:fldCharType="begin"/>
      </w:r>
      <w:r>
        <w:rPr>
          <w:rStyle w:val="Hyperlink"/>
        </w:rPr>
        <w:instrText xml:space="preserve"> PAGEREF _Toc256000028 \h </w:instrText>
      </w:r>
      <w:r>
        <w:fldChar w:fldCharType="separate"/>
      </w:r>
      <w:r>
        <w:rPr>
          <w:rStyle w:val="Hyperlink"/>
        </w:rPr>
        <w:t>29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Fonts w:cs="微软雅黑"/>
        </w:rPr>
        <w:t>4.6 客户 (20)</w:t>
      </w:r>
      <w:r>
        <w:rPr>
          <w:rStyle w:val="Hyperlink"/>
        </w:rPr>
        <w:tab/>
      </w:r>
      <w:r>
        <w:fldChar w:fldCharType="begin"/>
      </w:r>
      <w:r>
        <w:rPr>
          <w:rStyle w:val="Hyperlink"/>
        </w:rPr>
        <w:instrText xml:space="preserve"> PAGEREF _Toc256000029 \h </w:instrText>
      </w:r>
      <w:r>
        <w:fldChar w:fldCharType="separate"/>
      </w:r>
      <w:r>
        <w:rPr>
          <w:rStyle w:val="Hyperlink"/>
        </w:rPr>
        <w:t>30</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Fonts w:cs="微软雅黑"/>
        </w:rPr>
        <w:t>4.7 纳税人资质 (1)</w:t>
      </w:r>
      <w:r>
        <w:rPr>
          <w:rStyle w:val="Hyperlink"/>
        </w:rPr>
        <w:tab/>
      </w:r>
      <w:r>
        <w:fldChar w:fldCharType="begin"/>
      </w:r>
      <w:r>
        <w:rPr>
          <w:rStyle w:val="Hyperlink"/>
        </w:rPr>
        <w:instrText xml:space="preserve"> PAGEREF _Toc256000030 \h </w:instrText>
      </w:r>
      <w:r>
        <w:fldChar w:fldCharType="separate"/>
      </w:r>
      <w:r>
        <w:rPr>
          <w:rStyle w:val="Hyperlink"/>
        </w:rPr>
        <w:t>31</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Fonts w:ascii="微软雅黑" w:hAnsi="微软雅黑" w:cs="微软雅黑"/>
        </w:rPr>
        <w:t>5 企业发展</w:t>
      </w:r>
      <w:r>
        <w:rPr>
          <w:rStyle w:val="Hyperlink"/>
        </w:rPr>
        <w:tab/>
      </w:r>
      <w:r>
        <w:fldChar w:fldCharType="begin"/>
      </w:r>
      <w:r>
        <w:rPr>
          <w:rStyle w:val="Hyperlink"/>
        </w:rPr>
        <w:instrText xml:space="preserve"> PAGEREF _Toc256000031 \h </w:instrText>
      </w:r>
      <w:r>
        <w:fldChar w:fldCharType="separate"/>
      </w:r>
      <w:r>
        <w:rPr>
          <w:rStyle w:val="Hyperlink"/>
        </w:rPr>
        <w:t>31</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Fonts w:cs="微软雅黑"/>
        </w:rPr>
        <w:t>5.1 核心人员 (2)</w:t>
      </w:r>
      <w:r>
        <w:rPr>
          <w:rStyle w:val="Hyperlink"/>
        </w:rPr>
        <w:tab/>
      </w:r>
      <w:r>
        <w:fldChar w:fldCharType="begin"/>
      </w:r>
      <w:r>
        <w:rPr>
          <w:rStyle w:val="Hyperlink"/>
        </w:rPr>
        <w:instrText xml:space="preserve"> PAGEREF _Toc256000032 \h </w:instrText>
      </w:r>
      <w:r>
        <w:fldChar w:fldCharType="separate"/>
      </w:r>
      <w:r>
        <w:rPr>
          <w:rStyle w:val="Hyperlink"/>
        </w:rPr>
        <w:t>31</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Fonts w:cs="微软雅黑"/>
        </w:rPr>
        <w:t>5.2 企业业务 (1)</w:t>
      </w:r>
      <w:r>
        <w:rPr>
          <w:rStyle w:val="Hyperlink"/>
        </w:rPr>
        <w:tab/>
      </w:r>
      <w:r>
        <w:fldChar w:fldCharType="begin"/>
      </w:r>
      <w:r>
        <w:rPr>
          <w:rStyle w:val="Hyperlink"/>
        </w:rPr>
        <w:instrText xml:space="preserve"> PAGEREF _Toc256000033 \h </w:instrText>
      </w:r>
      <w:r>
        <w:fldChar w:fldCharType="separate"/>
      </w:r>
      <w:r>
        <w:rPr>
          <w:rStyle w:val="Hyperlink"/>
        </w:rPr>
        <w:t>31</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Fonts w:cs="微软雅黑"/>
        </w:rPr>
        <w:t>5.3 竞品信息 (20)</w:t>
      </w:r>
      <w:r>
        <w:rPr>
          <w:rStyle w:val="Hyperlink"/>
        </w:rPr>
        <w:tab/>
      </w:r>
      <w:r>
        <w:fldChar w:fldCharType="begin"/>
      </w:r>
      <w:r>
        <w:rPr>
          <w:rStyle w:val="Hyperlink"/>
        </w:rPr>
        <w:instrText xml:space="preserve"> PAGEREF _Toc256000034 \h </w:instrText>
      </w:r>
      <w:r>
        <w:fldChar w:fldCharType="separate"/>
      </w:r>
      <w:r>
        <w:rPr>
          <w:rStyle w:val="Hyperlink"/>
        </w:rPr>
        <w:t>32</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Fonts w:ascii="微软雅黑" w:hAnsi="微软雅黑" w:cs="微软雅黑"/>
        </w:rPr>
        <w:t>6 知识产权</w:t>
      </w:r>
      <w:r>
        <w:rPr>
          <w:rStyle w:val="Hyperlink"/>
        </w:rPr>
        <w:tab/>
      </w:r>
      <w:r>
        <w:fldChar w:fldCharType="begin"/>
      </w:r>
      <w:r>
        <w:rPr>
          <w:rStyle w:val="Hyperlink"/>
        </w:rPr>
        <w:instrText xml:space="preserve"> PAGEREF _Toc256000035 \h </w:instrText>
      </w:r>
      <w:r>
        <w:fldChar w:fldCharType="separate"/>
      </w:r>
      <w:r>
        <w:rPr>
          <w:rStyle w:val="Hyperlink"/>
        </w:rPr>
        <w:t>37</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Fonts w:cs="微软雅黑"/>
        </w:rPr>
        <w:t>6.1 商标信息 (6)</w:t>
      </w:r>
      <w:r>
        <w:rPr>
          <w:rStyle w:val="Hyperlink"/>
        </w:rPr>
        <w:tab/>
      </w:r>
      <w:r>
        <w:fldChar w:fldCharType="begin"/>
      </w:r>
      <w:r>
        <w:rPr>
          <w:rStyle w:val="Hyperlink"/>
        </w:rPr>
        <w:instrText xml:space="preserve"> PAGEREF _Toc256000036 \h </w:instrText>
      </w:r>
      <w:r>
        <w:fldChar w:fldCharType="separate"/>
      </w:r>
      <w:r>
        <w:rPr>
          <w:rStyle w:val="Hyperlink"/>
        </w:rPr>
        <w:t>37</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"_Toc256000037" </w:instrText>
      </w:r>
      <w:r>
        <w:fldChar w:fldCharType="separate"/>
      </w:r>
      <w:r>
        <w:rPr>
          <w:rStyle w:val="Hyperlink"/>
          <w:rFonts w:cs="微软雅黑"/>
        </w:rPr>
        <w:t>6.2 专利信息 (40)</w:t>
      </w:r>
      <w:r>
        <w:rPr>
          <w:rStyle w:val="Hyperlink"/>
        </w:rPr>
        <w:tab/>
      </w:r>
      <w:r>
        <w:fldChar w:fldCharType="begin"/>
      </w:r>
      <w:r>
        <w:rPr>
          <w:rStyle w:val="Hyperlink"/>
        </w:rPr>
        <w:instrText xml:space="preserve"> PAGEREF _Toc256000037 \h </w:instrText>
      </w:r>
      <w:r>
        <w:fldChar w:fldCharType="separate"/>
      </w:r>
      <w:r>
        <w:rPr>
          <w:rStyle w:val="Hyperlink"/>
        </w:rPr>
        <w:t>39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"_Toc256000038" </w:instrText>
      </w:r>
      <w:r>
        <w:fldChar w:fldCharType="separate"/>
      </w:r>
      <w:r>
        <w:rPr>
          <w:rStyle w:val="Hyperlink"/>
          <w:rFonts w:cs="微软雅黑"/>
        </w:rPr>
        <w:t>6.3 软件著作权 (68)</w:t>
      </w:r>
      <w:r>
        <w:rPr>
          <w:rStyle w:val="Hyperlink"/>
        </w:rPr>
        <w:tab/>
      </w:r>
      <w:r>
        <w:fldChar w:fldCharType="begin"/>
      </w:r>
      <w:r>
        <w:rPr>
          <w:rStyle w:val="Hyperlink"/>
        </w:rPr>
        <w:instrText xml:space="preserve"> PAGEREF _Toc256000038 \h </w:instrText>
      </w:r>
      <w:r>
        <w:fldChar w:fldCharType="separate"/>
      </w:r>
      <w:r>
        <w:rPr>
          <w:rStyle w:val="Hyperlink"/>
        </w:rPr>
        <w:t>43</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"_Toc256000039" </w:instrText>
      </w:r>
      <w:r>
        <w:fldChar w:fldCharType="separate"/>
      </w:r>
      <w:r>
        <w:rPr>
          <w:rStyle w:val="Hyperlink"/>
          <w:rFonts w:cs="微软雅黑"/>
        </w:rPr>
        <w:t>6.4 备案网站 (1)</w:t>
      </w:r>
      <w:r>
        <w:rPr>
          <w:rStyle w:val="Hyperlink"/>
        </w:rPr>
        <w:tab/>
      </w:r>
      <w:r>
        <w:fldChar w:fldCharType="begin"/>
      </w:r>
      <w:r>
        <w:rPr>
          <w:rStyle w:val="Hyperlink"/>
        </w:rPr>
        <w:instrText xml:space="preserve"> PAGEREF _Toc256000039 \h </w:instrText>
      </w:r>
      <w:r>
        <w:fldChar w:fldCharType="separate"/>
      </w:r>
      <w:r>
        <w:rPr>
          <w:rStyle w:val="Hyperlink"/>
        </w:rPr>
        <w:t>46</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"_Toc256000040" </w:instrText>
      </w:r>
      <w:r>
        <w:fldChar w:fldCharType="separate"/>
      </w:r>
      <w:r>
        <w:rPr>
          <w:rStyle w:val="Hyperlink"/>
          <w:rFonts w:ascii="微软雅黑" w:hAnsi="微软雅黑" w:cs="微软雅黑"/>
        </w:rPr>
        <w:t>7 新闻公告</w:t>
      </w:r>
      <w:r>
        <w:rPr>
          <w:rStyle w:val="Hyperlink"/>
        </w:rPr>
        <w:tab/>
      </w:r>
      <w:r>
        <w:fldChar w:fldCharType="begin"/>
      </w:r>
      <w:r>
        <w:rPr>
          <w:rStyle w:val="Hyperlink"/>
        </w:rPr>
        <w:instrText xml:space="preserve"> PAGEREF _Toc256000040 \h </w:instrText>
      </w:r>
      <w:r>
        <w:fldChar w:fldCharType="separate"/>
      </w:r>
      <w:r>
        <w:rPr>
          <w:rStyle w:val="Hyperlink"/>
        </w:rPr>
        <w:t>46</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"_Toc256000041" </w:instrText>
      </w:r>
      <w:r>
        <w:fldChar w:fldCharType="separate"/>
      </w:r>
      <w:r>
        <w:rPr>
          <w:rStyle w:val="Hyperlink"/>
          <w:rFonts w:cs="微软雅黑"/>
        </w:rPr>
        <w:t>7.1 新闻舆情 (7)</w:t>
      </w:r>
      <w:r>
        <w:rPr>
          <w:rStyle w:val="Hyperlink"/>
        </w:rPr>
        <w:tab/>
      </w:r>
      <w:r>
        <w:fldChar w:fldCharType="begin"/>
      </w:r>
      <w:r>
        <w:rPr>
          <w:rStyle w:val="Hyperlink"/>
        </w:rPr>
        <w:instrText xml:space="preserve"> PAGEREF _Toc256000041 \h </w:instrText>
      </w:r>
      <w:r>
        <w:fldChar w:fldCharType="separate"/>
      </w:r>
      <w:r>
        <w:rPr>
          <w:rStyle w:val="Hyperlink"/>
        </w:rPr>
        <w:t>46</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"_Toc256000042" </w:instrText>
      </w:r>
      <w:r>
        <w:fldChar w:fldCharType="separate"/>
      </w:r>
      <w:r>
        <w:rPr>
          <w:rStyle w:val="Hyperlink"/>
          <w:rFonts w:cs="微软雅黑"/>
        </w:rPr>
        <w:t>7.2 相关公告 (175)</w:t>
      </w:r>
      <w:r>
        <w:rPr>
          <w:rStyle w:val="Hyperlink"/>
        </w:rPr>
        <w:tab/>
      </w:r>
      <w:r>
        <w:fldChar w:fldCharType="begin"/>
      </w:r>
      <w:r>
        <w:rPr>
          <w:rStyle w:val="Hyperlink"/>
        </w:rPr>
        <w:instrText xml:space="preserve"> PAGEREF _Toc256000042 \h </w:instrText>
      </w:r>
      <w:r>
        <w:fldChar w:fldCharType="separate"/>
      </w:r>
      <w:r>
        <w:rPr>
          <w:rStyle w:val="Hyperlink"/>
        </w:rPr>
        <w:t>47</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"_Toc256000043" </w:instrText>
      </w:r>
      <w:r>
        <w:fldChar w:fldCharType="separate"/>
      </w:r>
      <w:r>
        <w:rPr>
          <w:rStyle w:val="Hyperlink"/>
          <w:rFonts w:ascii="微软雅黑" w:hAnsi="微软雅黑" w:cs="微软雅黑"/>
        </w:rPr>
        <w:t>8 关联风险</w:t>
      </w:r>
      <w:r>
        <w:rPr>
          <w:rStyle w:val="Hyperlink"/>
        </w:rPr>
        <w:tab/>
      </w:r>
      <w:r>
        <w:fldChar w:fldCharType="begin"/>
      </w:r>
      <w:r>
        <w:rPr>
          <w:rStyle w:val="Hyperlink"/>
        </w:rPr>
        <w:instrText xml:space="preserve"> PAGEREF _Toc256000043 \h </w:instrText>
      </w:r>
      <w:r>
        <w:fldChar w:fldCharType="separate"/>
      </w:r>
      <w:r>
        <w:rPr>
          <w:rStyle w:val="Hyperlink"/>
        </w:rPr>
        <w:t>48</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"_Toc256000044" </w:instrText>
      </w:r>
      <w:r>
        <w:fldChar w:fldCharType="separate"/>
      </w:r>
      <w:r>
        <w:rPr>
          <w:rStyle w:val="Hyperlink"/>
          <w:rFonts w:cs="微软雅黑"/>
        </w:rPr>
        <w:t>8.1 关联企业风险</w:t>
      </w:r>
      <w:r>
        <w:rPr>
          <w:rStyle w:val="Hyperlink"/>
        </w:rPr>
        <w:tab/>
      </w:r>
      <w:r>
        <w:fldChar w:fldCharType="begin"/>
      </w:r>
      <w:r>
        <w:rPr>
          <w:rStyle w:val="Hyperlink"/>
        </w:rPr>
        <w:instrText xml:space="preserve"> PAGEREF _Toc256000044 \h </w:instrText>
      </w:r>
      <w:r>
        <w:fldChar w:fldCharType="separate"/>
      </w:r>
      <w:r>
        <w:rPr>
          <w:rStyle w:val="Hyperlink"/>
        </w:rPr>
        <w:t>48</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"_Toc256000045" </w:instrText>
      </w:r>
      <w:r>
        <w:fldChar w:fldCharType="separate"/>
      </w:r>
      <w:r>
        <w:rPr>
          <w:rStyle w:val="Hyperlink"/>
          <w:rFonts w:ascii="微软雅黑" w:hAnsi="微软雅黑" w:cs="微软雅黑"/>
        </w:rPr>
        <w:t>9 历史信息</w:t>
      </w:r>
      <w:r>
        <w:rPr>
          <w:rStyle w:val="Hyperlink"/>
        </w:rPr>
        <w:tab/>
      </w:r>
      <w:r>
        <w:fldChar w:fldCharType="begin"/>
      </w:r>
      <w:r>
        <w:rPr>
          <w:rStyle w:val="Hyperlink"/>
        </w:rPr>
        <w:instrText xml:space="preserve"> PAGEREF _Toc256000045 \h </w:instrText>
      </w:r>
      <w:r>
        <w:fldChar w:fldCharType="separate"/>
      </w:r>
      <w:r>
        <w:rPr>
          <w:rStyle w:val="Hyperlink"/>
        </w:rPr>
        <w:t>49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"_Toc256000046" </w:instrText>
      </w:r>
      <w:r>
        <w:fldChar w:fldCharType="separate"/>
      </w:r>
      <w:r>
        <w:rPr>
          <w:rStyle w:val="Hyperlink"/>
          <w:rFonts w:cs="微软雅黑"/>
        </w:rPr>
        <w:t>9.1 历史工商信息</w:t>
      </w:r>
      <w:r>
        <w:rPr>
          <w:rStyle w:val="Hyperlink"/>
        </w:rPr>
        <w:tab/>
      </w:r>
      <w:r>
        <w:fldChar w:fldCharType="begin"/>
      </w:r>
      <w:r>
        <w:rPr>
          <w:rStyle w:val="Hyperlink"/>
        </w:rPr>
        <w:instrText xml:space="preserve"> PAGEREF _Toc256000046 \h </w:instrText>
      </w:r>
      <w:r>
        <w:fldChar w:fldCharType="separate"/>
      </w:r>
      <w:r>
        <w:rPr>
          <w:rStyle w:val="Hyperlink"/>
        </w:rPr>
        <w:t>49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"_Toc256000047" </w:instrText>
      </w:r>
      <w:r>
        <w:fldChar w:fldCharType="separate"/>
      </w:r>
      <w:r>
        <w:rPr>
          <w:rStyle w:val="Hyperlink"/>
          <w:rFonts w:cs="微软雅黑"/>
        </w:rPr>
        <w:t>9.2 历史法定代表人 (1)</w:t>
      </w:r>
      <w:r>
        <w:rPr>
          <w:rStyle w:val="Hyperlink"/>
        </w:rPr>
        <w:tab/>
      </w:r>
      <w:r>
        <w:fldChar w:fldCharType="begin"/>
      </w:r>
      <w:r>
        <w:rPr>
          <w:rStyle w:val="Hyperlink"/>
        </w:rPr>
        <w:instrText xml:space="preserve"> PAGEREF _Toc256000047 \h </w:instrText>
      </w:r>
      <w:r>
        <w:fldChar w:fldCharType="separate"/>
      </w:r>
      <w:r>
        <w:rPr>
          <w:rStyle w:val="Hyperlink"/>
        </w:rPr>
        <w:t>49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"_Toc256000048" </w:instrText>
      </w:r>
      <w:r>
        <w:fldChar w:fldCharType="separate"/>
      </w:r>
      <w:r>
        <w:rPr>
          <w:rStyle w:val="Hyperlink"/>
          <w:rFonts w:cs="微软雅黑"/>
        </w:rPr>
        <w:t>9.3 历史主要人员 (7)</w:t>
      </w:r>
      <w:r>
        <w:rPr>
          <w:rStyle w:val="Hyperlink"/>
        </w:rPr>
        <w:tab/>
      </w:r>
      <w:r>
        <w:fldChar w:fldCharType="begin"/>
      </w:r>
      <w:r>
        <w:rPr>
          <w:rStyle w:val="Hyperlink"/>
        </w:rPr>
        <w:instrText xml:space="preserve"> PAGEREF _Toc256000048 \h </w:instrText>
      </w:r>
      <w:r>
        <w:fldChar w:fldCharType="separate"/>
      </w:r>
      <w:r>
        <w:rPr>
          <w:rStyle w:val="Hyperlink"/>
        </w:rPr>
        <w:t>49</w:t>
      </w:r>
      <w:r>
        <w:fldChar w:fldCharType="end"/>
      </w:r>
      <w:r>
        <w:fldChar w:fldCharType="end"/>
      </w:r>
    </w:p>
    <w:p>
      <w:pPr>
        <w:pStyle w:val="TOC2"/>
        <w:tabs>
          <w:tab w:val="right" w:leader="dot" w:pos="10762"/>
        </w:tabs>
        <w:rPr>
          <w:rFonts w:asciiTheme="minorHAnsi" w:hAnsiTheme="minorHAnsi"/>
          <w:noProof/>
          <w:sz w:val="22"/>
        </w:rPr>
      </w:pPr>
      <w:r>
        <w:fldChar w:fldCharType="begin"/>
      </w:r>
      <w:r>
        <w:rPr>
          <w:rStyle w:val="Hyperlink"/>
        </w:rPr>
        <w:instrText xml:space="preserve"> HYPERLINK \l "_Toc256000049" </w:instrText>
      </w:r>
      <w:r>
        <w:fldChar w:fldCharType="separate"/>
      </w:r>
      <w:r>
        <w:rPr>
          <w:rStyle w:val="Hyperlink"/>
          <w:rFonts w:cs="微软雅黑"/>
        </w:rPr>
        <w:t>9.4 历史股东信息 (2)</w:t>
      </w:r>
      <w:r>
        <w:rPr>
          <w:rStyle w:val="Hyperlink"/>
        </w:rPr>
        <w:tab/>
      </w:r>
      <w:r>
        <w:fldChar w:fldCharType="begin"/>
      </w:r>
      <w:r>
        <w:rPr>
          <w:rStyle w:val="Hyperlink"/>
        </w:rPr>
        <w:instrText xml:space="preserve"> PAGEREF _Toc256000049 \h </w:instrText>
      </w:r>
      <w:r>
        <w:fldChar w:fldCharType="separate"/>
      </w:r>
      <w:r>
        <w:rPr>
          <w:rStyle w:val="Hyperlink"/>
        </w:rPr>
        <w:t>50</w:t>
      </w:r>
      <w:r>
        <w:fldChar w:fldCharType="end"/>
      </w:r>
      <w:r>
        <w:fldChar w:fldCharType="end"/>
      </w:r>
    </w:p>
    <w:p>
      <w:pPr>
        <w:pStyle w:val="TOC1"/>
        <w:tabs>
          <w:tab w:val="right" w:leader="dot" w:pos="10762"/>
        </w:tabs>
        <w:rPr>
          <w:rFonts w:asciiTheme="minorHAnsi" w:hAnsiTheme="minorHAnsi"/>
          <w:noProof/>
          <w:sz w:val="22"/>
        </w:rPr>
      </w:pPr>
      <w:r>
        <w:fldChar w:fldCharType="begin"/>
      </w:r>
      <w:r>
        <w:rPr>
          <w:rStyle w:val="Hyperlink"/>
        </w:rPr>
        <w:instrText xml:space="preserve"> HYPERLINK \l "_Toc256000050" </w:instrText>
      </w:r>
      <w:r>
        <w:fldChar w:fldCharType="separate"/>
      </w:r>
      <w:r>
        <w:rPr>
          <w:rStyle w:val="Hyperlink"/>
          <w:rFonts w:ascii="微软雅黑" w:hAnsi="微软雅黑" w:cs="微软雅黑"/>
        </w:rPr>
        <w:t>10 维度说明</w:t>
      </w:r>
      <w:r>
        <w:rPr>
          <w:rStyle w:val="Hyperlink"/>
        </w:rPr>
        <w:tab/>
      </w:r>
      <w:r>
        <w:fldChar w:fldCharType="begin"/>
      </w:r>
      <w:r>
        <w:rPr>
          <w:rStyle w:val="Hyperlink"/>
        </w:rPr>
        <w:instrText xml:space="preserve"> PAGEREF _Toc256000050 \h </w:instrText>
      </w:r>
      <w:r>
        <w:fldChar w:fldCharType="separate"/>
      </w:r>
      <w:r>
        <w:rPr>
          <w:rStyle w:val="Hyperlink"/>
        </w:rPr>
        <w:t>50</w:t>
      </w:r>
      <w:r>
        <w:fldChar w:fldCharType="end"/>
      </w:r>
      <w:r>
        <w:fldChar w:fldCharType="end"/>
      </w:r>
    </w:p>
    <w:p w:rsidR="00AC03DB">
      <w:pPr>
        <w:pStyle w:val="Heading1"/>
        <w:spacing w:before="90" w:after="30"/>
        <w:ind w:firstLine="0"/>
        <w:jc w:val="left"/>
        <w:rPr>
          <w:rFonts w:ascii="微软雅黑" w:eastAsia="微软雅黑" w:hAnsi="微软雅黑" w:cs="微软雅黑" w:hint="eastAsia"/>
          <w:b/>
          <w:color w:val="000000"/>
          <w:sz w:val="28"/>
          <w:u w:val="none"/>
        </w:rPr>
      </w:pPr>
      <w:r>
        <w:rPr>
          <w:rFonts w:ascii="微软雅黑" w:eastAsia="微软雅黑" w:hAnsi="微软雅黑" w:cs="微软雅黑" w:hint="eastAsia"/>
          <w:b/>
          <w:color w:val="000000"/>
          <w:sz w:val="28"/>
          <w:u w:val="none"/>
        </w:rPr>
        <w:fldChar w:fldCharType="end"/>
      </w:r>
      <w:r>
        <w:rPr>
          <w:rFonts w:ascii="微软雅黑" w:eastAsia="微软雅黑" w:hAnsi="微软雅黑" w:cs="微软雅黑" w:hint="eastAsia"/>
          <w:b/>
          <w:color w:val="000000"/>
          <w:sz w:val="28"/>
          <w:u w:val="none"/>
        </w:rPr>
        <w:br w:type="page"/>
      </w:r>
      <w:bookmarkStart w:id="7" w:name="_Toc256000003"/>
      <w:r>
        <w:rPr>
          <w:rFonts w:ascii="微软雅黑" w:eastAsia="微软雅黑" w:hAnsi="微软雅黑" w:cs="微软雅黑" w:hint="eastAsia"/>
          <w:b/>
          <w:color w:val="000000"/>
          <w:sz w:val="30"/>
          <w:u w:val="none"/>
        </w:rPr>
        <w:t>1 企业概要</w:t>
      </w:r>
      <w:bookmarkEnd w:id="7"/>
    </w:p>
    <w:p w:rsidR="00AC03DB">
      <w:pPr>
        <w:pStyle w:val="Heading2"/>
        <w:spacing w:before="72" w:after="24"/>
        <w:ind w:firstLine="0"/>
        <w:jc w:val="left"/>
        <w:rPr>
          <w:rFonts w:ascii="微软雅黑" w:eastAsia="微软雅黑" w:hAnsi="微软雅黑" w:cs="微软雅黑" w:hint="eastAsia"/>
          <w:b/>
          <w:color w:val="000000"/>
          <w:sz w:val="24"/>
          <w:u w:val="none"/>
        </w:rPr>
      </w:pPr>
      <w:bookmarkStart w:id="8" w:name="_Toc256000004"/>
      <w:r>
        <w:rPr>
          <w:rFonts w:ascii="微软雅黑" w:eastAsia="微软雅黑" w:hAnsi="微软雅黑" w:cs="微软雅黑" w:hint="eastAsia"/>
          <w:b/>
          <w:color w:val="000000"/>
          <w:sz w:val="24"/>
          <w:u w:val="none"/>
        </w:rPr>
        <w:t>1.1 企查分</w:t>
      </w:r>
      <w:bookmarkEnd w:id="8"/>
    </w:p>
    <w:p w:rsidR="00AC03DB">
      <w:pPr>
        <w:spacing w:before="60" w:after="20"/>
        <w:ind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color w:val="000000"/>
          <w:sz w:val="24"/>
          <w:u w:val="none"/>
        </w:rPr>
        <w:drawing>
          <wp:inline>
            <wp:extent cx="6840220" cy="2490268"/>
            <wp:docPr id="100016" name=""/>
            <wp:cNvGraphicFramePr/>
            <a:graphic xmlns:a="http://schemas.openxmlformats.org/drawingml/2006/main">
              <a:graphicData uri="http://schemas.openxmlformats.org/drawingml/2006/picture">
                <pic:pic xmlns:pic="http://schemas.openxmlformats.org/drawingml/2006/picture">
                  <pic:nvPicPr>
                    <pic:cNvPr id="100016" name=""/>
                    <pic:cNvPicPr/>
                  </pic:nvPicPr>
                  <pic:blipFill>
                    <a:blip xmlns:r="http://schemas.openxmlformats.org/officeDocument/2006/relationships" r:embed="rId13"/>
                    <a:stretch>
                      <a:fillRect/>
                    </a:stretch>
                  </pic:blipFill>
                  <pic:spPr>
                    <a:xfrm>
                      <a:off x="0" y="0"/>
                      <a:ext cx="6840220" cy="2490268"/>
                    </a:xfrm>
                    <a:prstGeom prst="rect">
                      <a:avLst/>
                    </a:prstGeom>
                  </pic:spPr>
                </pic:pic>
              </a:graphicData>
            </a:graphic>
          </wp:inline>
        </w:drawing>
      </w:r>
    </w:p>
    <w:p w:rsidR="00AC03DB">
      <w:pPr>
        <w:spacing w:before="60" w:after="20"/>
        <w:ind w:firstLine="0"/>
        <w:jc w:val="left"/>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企查分等级划分的含义如下：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614"/>
        <w:gridCol w:w="1613"/>
        <w:gridCol w:w="752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rsidR="00AC03DB">
            <w:pPr>
              <w:spacing w:before="80" w:after="80"/>
              <w:ind w:left="12" w:right="12" w:firstLine="0"/>
              <w:jc w:val="center"/>
              <w:rPr>
                <w:rFonts w:ascii="微软雅黑" w:eastAsia="微软雅黑" w:hAnsi="微软雅黑" w:cs="微软雅黑" w:hint="eastAsia"/>
                <w:b/>
                <w:color w:val="000000"/>
                <w:sz w:val="20"/>
                <w:u w:val="none"/>
              </w:rPr>
            </w:pPr>
            <w:r>
              <w:rPr>
                <w:rFonts w:ascii="微软雅黑" w:eastAsia="微软雅黑" w:hAnsi="微软雅黑" w:cs="微软雅黑" w:hint="eastAsia"/>
                <w:b/>
                <w:color w:val="000000"/>
                <w:sz w:val="20"/>
                <w:u w:val="none"/>
              </w:rPr>
              <w:t>信用等级</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rsidR="00AC03DB">
            <w:pPr>
              <w:spacing w:before="80" w:after="80"/>
              <w:ind w:left="12" w:right="12" w:firstLine="0"/>
              <w:jc w:val="center"/>
              <w:rPr>
                <w:rFonts w:ascii="微软雅黑" w:eastAsia="微软雅黑" w:hAnsi="微软雅黑" w:cs="微软雅黑" w:hint="eastAsia"/>
                <w:b/>
                <w:color w:val="000000"/>
                <w:sz w:val="20"/>
                <w:u w:val="none"/>
              </w:rPr>
            </w:pPr>
            <w:r>
              <w:rPr>
                <w:rFonts w:ascii="微软雅黑" w:eastAsia="微软雅黑" w:hAnsi="微软雅黑" w:cs="微软雅黑" w:hint="eastAsia"/>
                <w:b/>
                <w:color w:val="000000"/>
                <w:sz w:val="20"/>
                <w:u w:val="none"/>
              </w:rPr>
              <w:t>分值范围</w:t>
            </w:r>
          </w:p>
        </w:tc>
        <w:tc>
          <w:tcPr>
            <w:tcW w:w="7540" w:type="dxa"/>
            <w:tcBorders>
              <w:top w:val="single" w:sz="8" w:space="0" w:color="D8D8D8"/>
              <w:left w:val="single" w:sz="8" w:space="0" w:color="D8D8D8"/>
              <w:bottom w:val="single" w:sz="8" w:space="0" w:color="D8D8D8"/>
              <w:right w:val="single" w:sz="8" w:space="0" w:color="D8D8D8"/>
            </w:tcBorders>
            <w:shd w:val="clear" w:color="auto" w:fill="F2F2F2"/>
            <w:vAlign w:val="center"/>
          </w:tcPr>
          <w:p w:rsidR="00AC03DB">
            <w:pPr>
              <w:spacing w:before="80" w:after="80"/>
              <w:ind w:left="12" w:right="12" w:firstLine="0"/>
              <w:jc w:val="center"/>
              <w:rPr>
                <w:rFonts w:ascii="微软雅黑" w:eastAsia="微软雅黑" w:hAnsi="微软雅黑" w:cs="微软雅黑" w:hint="eastAsia"/>
                <w:b/>
                <w:color w:val="000000"/>
                <w:sz w:val="20"/>
                <w:u w:val="none"/>
              </w:rPr>
            </w:pPr>
            <w:r>
              <w:rPr>
                <w:rFonts w:ascii="微软雅黑" w:eastAsia="微软雅黑" w:hAnsi="微软雅黑" w:cs="微软雅黑" w:hint="eastAsia"/>
                <w:b/>
                <w:color w:val="000000"/>
                <w:sz w:val="20"/>
                <w:u w:val="none"/>
              </w:rPr>
              <w:t>等级描述</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0-299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信用表现一般，已受到内外部不确定因素影响，违约风险高</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L-2</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300-399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信用表现一般，受内外部不确定因素影响大，违约风险略高</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L-3</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400-499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信用表现一般，受内外部不确定因素影响较大，有一定违约风险</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L-4</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500-549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信用表现中等，较易受不利经济环境影响，违约风险中等</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L-5</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550-599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信用表现中等，受不利经济环境影响偏大，违约风险中等</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L-6</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600-649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信用表现良好，受不利经济环境影响适中，违约风险较低</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L-7</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650-699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信用表现良好，经营和风险管理能力尚可，违约风险较低</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L-8</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700-749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信用表现良好，经营和风险管理能力相对较好，违约风险较低</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L-9</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750-799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信用表现优秀，经营和风险管理能力好，违约风险低</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L-10</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800-899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信用表现优秀，经营和风险管理能力优秀，违约风险低</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L-11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900-999</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信用表现卓越，当前处于良性循环状态，违约风险很低</w:t>
            </w:r>
          </w:p>
        </w:tc>
      </w:tr>
      <w:tr>
        <w:tblPrEx>
          <w:tblW w:w="5000" w:type="pct"/>
          <w:tblLayout w:type="fixed"/>
          <w:tblCellMar>
            <w:left w:w="108" w:type="dxa"/>
            <w:right w:w="108" w:type="dxa"/>
          </w:tblCellMar>
        </w:tblPrEx>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L-12</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1000+</w:t>
            </w:r>
          </w:p>
        </w:tc>
        <w:tc>
          <w:tcPr>
            <w:tcW w:w="7540" w:type="dxa"/>
            <w:tcBorders>
              <w:top w:val="single" w:sz="8" w:space="0" w:color="D8D8D8"/>
              <w:left w:val="single" w:sz="8" w:space="0" w:color="D8D8D8"/>
              <w:bottom w:val="single" w:sz="8" w:space="0" w:color="D8D8D8"/>
              <w:right w:val="single" w:sz="8" w:space="0" w:color="D8D8D8"/>
            </w:tcBorders>
            <w:shd w:val="clear" w:color="auto" w:fill="auto"/>
            <w:vAlign w:val="center"/>
          </w:tcPr>
          <w:p w:rsidR="00AC03DB">
            <w:pPr>
              <w:spacing w:before="80" w:after="80"/>
              <w:ind w:left="12" w:right="12" w:firstLine="0"/>
              <w:jc w:val="center"/>
              <w:rPr>
                <w:rFonts w:ascii="微软雅黑" w:eastAsia="微软雅黑" w:hAnsi="微软雅黑" w:cs="微软雅黑" w:hint="eastAsia"/>
                <w:b w:val="0"/>
                <w:color w:val="000000"/>
                <w:sz w:val="20"/>
                <w:u w:val="none"/>
              </w:rPr>
            </w:pPr>
            <w:r>
              <w:rPr>
                <w:rFonts w:ascii="微软雅黑" w:eastAsia="微软雅黑" w:hAnsi="微软雅黑" w:cs="微软雅黑" w:hint="eastAsia"/>
                <w:b w:val="0"/>
                <w:color w:val="000000"/>
                <w:sz w:val="20"/>
                <w:u w:val="none"/>
              </w:rPr>
              <w:t>信用表现卓越，当前处于良性循环状态，违约风险很低</w:t>
            </w:r>
          </w:p>
        </w:tc>
      </w:tr>
    </w:tbl>
    <w:p w:rsidR="00AC03DB">
      <w:pPr>
        <w:pStyle w:val="Heading2"/>
        <w:spacing w:before="480" w:after="120"/>
        <w:ind w:firstLine="0"/>
        <w:jc w:val="left"/>
        <w:rPr>
          <w:rFonts w:ascii="微软雅黑" w:eastAsia="微软雅黑" w:hAnsi="微软雅黑" w:cs="微软雅黑" w:hint="eastAsia"/>
          <w:b/>
          <w:color w:val="000000"/>
          <w:sz w:val="24"/>
          <w:u w:val="none"/>
        </w:rPr>
      </w:pPr>
      <w:bookmarkStart w:id="9" w:name="_Toc256000005"/>
      <w:r>
        <w:rPr>
          <w:rFonts w:ascii="微软雅黑" w:eastAsia="微软雅黑" w:hAnsi="微软雅黑" w:cs="微软雅黑" w:hint="eastAsia"/>
          <w:b/>
          <w:color w:val="000000"/>
          <w:sz w:val="24"/>
          <w:u w:val="none"/>
        </w:rPr>
        <w:t>1.2 联系信息</w:t>
      </w:r>
      <w:bookmarkEnd w:id="9"/>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185"/>
        <w:gridCol w:w="9587"/>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185" w:type="dxa"/>
            <w:tcBorders>
              <w:top w:val="nil"/>
              <w:left w:val="nil"/>
              <w:bottom w:val="nil"/>
              <w:right w:val="nil"/>
            </w:tcBorders>
            <w:shd w:val="clear" w:color="auto" w:fill="FFFFFF"/>
            <w:vAlign w:val="center"/>
          </w:tcPr>
          <w:p w:rsidR="00AC03DB">
            <w:pPr>
              <w:spacing w:before="63" w:after="21"/>
              <w:ind w:firstLine="0"/>
              <w:jc w:val="left"/>
              <w:rPr>
                <w:rFonts w:ascii="微软雅黑" w:eastAsia="微软雅黑" w:hAnsi="微软雅黑" w:cs="微软雅黑" w:hint="eastAsia"/>
                <w:b w:val="0"/>
                <w:color w:val="000000"/>
                <w:sz w:val="21"/>
                <w:u w:val="none"/>
              </w:rPr>
            </w:pPr>
            <w:r>
              <w:rPr>
                <w:rFonts w:ascii="微软雅黑" w:eastAsia="微软雅黑" w:hAnsi="微软雅黑" w:cs="微软雅黑" w:hint="eastAsia"/>
                <w:b/>
                <w:color w:val="000000"/>
                <w:sz w:val="21"/>
                <w:u w:val="none"/>
              </w:rPr>
              <w:t>电  话:</w:t>
            </w:r>
          </w:p>
        </w:tc>
        <w:tc>
          <w:tcPr>
            <w:tcW w:w="9587" w:type="dxa"/>
            <w:tcBorders>
              <w:top w:val="nil"/>
              <w:left w:val="nil"/>
              <w:bottom w:val="nil"/>
              <w:right w:val="nil"/>
            </w:tcBorders>
            <w:shd w:val="clear" w:color="auto" w:fill="auto"/>
            <w:vAlign w:val="center"/>
          </w:tcPr>
          <w:p w:rsidR="00AC03DB">
            <w:pPr>
              <w:spacing w:before="63" w:after="21"/>
              <w:ind w:firstLine="0"/>
              <w:jc w:val="left"/>
              <w:rPr>
                <w:rFonts w:ascii="微软雅黑" w:eastAsia="微软雅黑" w:hAnsi="微软雅黑" w:cs="微软雅黑" w:hint="eastAsia"/>
                <w:b/>
                <w:color w:val="000000"/>
                <w:sz w:val="21"/>
                <w:u w:val="none"/>
              </w:rPr>
            </w:pPr>
            <w:r>
              <w:rPr>
                <w:rFonts w:ascii="微软雅黑" w:eastAsia="微软雅黑" w:hAnsi="微软雅黑" w:cs="微软雅黑" w:hint="eastAsia"/>
                <w:b w:val="0"/>
                <w:color w:val="000000"/>
                <w:sz w:val="21"/>
                <w:u w:val="none"/>
              </w:rPr>
              <w:t>025-58960872</w:t>
            </w:r>
          </w:p>
        </w:tc>
      </w:tr>
      <w:tr>
        <w:tblPrEx>
          <w:tblLayout w:type="fixed"/>
          <w:tblCellMar>
            <w:left w:w="108" w:type="dxa"/>
            <w:right w:w="108" w:type="dxa"/>
          </w:tblCellMar>
        </w:tblPrEx>
        <w:tc>
          <w:tcPr>
            <w:tcW w:w="1185" w:type="dxa"/>
            <w:tcBorders>
              <w:top w:val="nil"/>
              <w:left w:val="nil"/>
              <w:bottom w:val="nil"/>
              <w:right w:val="nil"/>
            </w:tcBorders>
            <w:shd w:val="clear" w:color="auto" w:fill="FFFFFF"/>
            <w:vAlign w:val="center"/>
          </w:tcPr>
          <w:p w:rsidR="00AC03DB">
            <w:pPr>
              <w:spacing w:before="63" w:after="21"/>
              <w:ind w:firstLine="0"/>
              <w:jc w:val="left"/>
              <w:rPr>
                <w:rFonts w:ascii="微软雅黑" w:eastAsia="微软雅黑" w:hAnsi="微软雅黑" w:cs="微软雅黑" w:hint="eastAsia"/>
                <w:b w:val="0"/>
                <w:color w:val="000000"/>
                <w:sz w:val="21"/>
                <w:u w:val="none"/>
              </w:rPr>
            </w:pPr>
            <w:r>
              <w:rPr>
                <w:rFonts w:ascii="微软雅黑" w:eastAsia="微软雅黑" w:hAnsi="微软雅黑" w:cs="微软雅黑" w:hint="eastAsia"/>
                <w:b/>
                <w:color w:val="000000"/>
                <w:sz w:val="21"/>
                <w:u w:val="none"/>
              </w:rPr>
              <w:t>邮  箱:</w:t>
            </w:r>
          </w:p>
        </w:tc>
        <w:tc>
          <w:tcPr>
            <w:tcW w:w="9587" w:type="dxa"/>
            <w:tcBorders>
              <w:top w:val="nil"/>
              <w:left w:val="nil"/>
              <w:bottom w:val="nil"/>
              <w:right w:val="nil"/>
            </w:tcBorders>
            <w:shd w:val="clear" w:color="auto" w:fill="auto"/>
            <w:vAlign w:val="center"/>
          </w:tcPr>
          <w:p w:rsidR="00AC03DB">
            <w:pPr>
              <w:spacing w:before="63" w:after="21"/>
              <w:ind w:firstLine="0"/>
              <w:jc w:val="left"/>
              <w:rPr>
                <w:rFonts w:ascii="微软雅黑" w:eastAsia="微软雅黑" w:hAnsi="微软雅黑" w:cs="微软雅黑" w:hint="eastAsia"/>
                <w:b/>
                <w:color w:val="000000"/>
                <w:sz w:val="21"/>
                <w:u w:val="none"/>
              </w:rPr>
            </w:pPr>
            <w:r>
              <w:rPr>
                <w:rFonts w:ascii="微软雅黑" w:eastAsia="微软雅黑" w:hAnsi="微软雅黑" w:cs="微软雅黑" w:hint="eastAsia"/>
                <w:b w:val="0"/>
                <w:color w:val="000000"/>
                <w:sz w:val="21"/>
                <w:u w:val="none"/>
              </w:rPr>
              <w:t>xhyj@jsxhyj.cn</w:t>
            </w:r>
          </w:p>
        </w:tc>
      </w:tr>
      <w:tr>
        <w:tblPrEx>
          <w:tblLayout w:type="fixed"/>
          <w:tblCellMar>
            <w:left w:w="108" w:type="dxa"/>
            <w:right w:w="108" w:type="dxa"/>
          </w:tblCellMar>
        </w:tblPrEx>
        <w:tc>
          <w:tcPr>
            <w:tcW w:w="1185" w:type="dxa"/>
            <w:tcBorders>
              <w:top w:val="nil"/>
              <w:left w:val="nil"/>
              <w:bottom w:val="nil"/>
              <w:right w:val="nil"/>
            </w:tcBorders>
            <w:shd w:val="clear" w:color="auto" w:fill="FFFFFF"/>
            <w:vAlign w:val="center"/>
          </w:tcPr>
          <w:p w:rsidR="00AC03DB">
            <w:pPr>
              <w:spacing w:before="63" w:after="21"/>
              <w:ind w:firstLine="0"/>
              <w:jc w:val="left"/>
              <w:rPr>
                <w:rFonts w:ascii="微软雅黑" w:eastAsia="微软雅黑" w:hAnsi="微软雅黑" w:cs="微软雅黑" w:hint="eastAsia"/>
                <w:b w:val="0"/>
                <w:color w:val="000000"/>
                <w:sz w:val="21"/>
                <w:u w:val="none"/>
              </w:rPr>
            </w:pPr>
            <w:r>
              <w:rPr>
                <w:rFonts w:ascii="微软雅黑" w:eastAsia="微软雅黑" w:hAnsi="微软雅黑" w:cs="微软雅黑" w:hint="eastAsia"/>
                <w:b/>
                <w:color w:val="000000"/>
                <w:sz w:val="21"/>
                <w:u w:val="none"/>
              </w:rPr>
              <w:t>网  址:</w:t>
            </w:r>
          </w:p>
        </w:tc>
        <w:tc>
          <w:tcPr>
            <w:tcW w:w="9587" w:type="dxa"/>
            <w:tcBorders>
              <w:top w:val="nil"/>
              <w:left w:val="nil"/>
              <w:bottom w:val="nil"/>
              <w:right w:val="nil"/>
            </w:tcBorders>
            <w:shd w:val="clear" w:color="auto" w:fill="auto"/>
            <w:vAlign w:val="center"/>
          </w:tcPr>
          <w:p w:rsidR="00AC03DB">
            <w:pPr>
              <w:spacing w:before="63" w:after="21"/>
              <w:ind w:firstLine="0"/>
              <w:jc w:val="left"/>
              <w:rPr>
                <w:rFonts w:ascii="微软雅黑" w:eastAsia="微软雅黑" w:hAnsi="微软雅黑" w:cs="微软雅黑" w:hint="eastAsia"/>
                <w:b/>
                <w:color w:val="000000"/>
                <w:sz w:val="21"/>
                <w:u w:val="none"/>
              </w:rPr>
            </w:pPr>
            <w:r>
              <w:rPr>
                <w:rFonts w:ascii="微软雅黑" w:eastAsia="微软雅黑" w:hAnsi="微软雅黑" w:cs="微软雅黑" w:hint="eastAsia"/>
                <w:b w:val="0"/>
                <w:color w:val="000000"/>
                <w:sz w:val="21"/>
                <w:u w:val="none"/>
              </w:rPr>
              <w:t>https://www.jsxhyj.cn/#</w:t>
            </w:r>
          </w:p>
        </w:tc>
      </w:tr>
      <w:tr>
        <w:tblPrEx>
          <w:tblLayout w:type="fixed"/>
          <w:tblCellMar>
            <w:left w:w="108" w:type="dxa"/>
            <w:right w:w="108" w:type="dxa"/>
          </w:tblCellMar>
        </w:tblPrEx>
        <w:tc>
          <w:tcPr>
            <w:tcW w:w="1185" w:type="dxa"/>
            <w:tcBorders>
              <w:top w:val="nil"/>
              <w:left w:val="nil"/>
              <w:bottom w:val="nil"/>
              <w:right w:val="nil"/>
            </w:tcBorders>
            <w:shd w:val="clear" w:color="auto" w:fill="FFFFFF"/>
            <w:vAlign w:val="center"/>
          </w:tcPr>
          <w:p w:rsidR="00AC03DB">
            <w:pPr>
              <w:spacing w:before="63" w:after="21"/>
              <w:ind w:firstLine="0"/>
              <w:jc w:val="left"/>
              <w:rPr>
                <w:rFonts w:ascii="微软雅黑" w:eastAsia="微软雅黑" w:hAnsi="微软雅黑" w:cs="微软雅黑" w:hint="eastAsia"/>
                <w:b w:val="0"/>
                <w:color w:val="000000"/>
                <w:sz w:val="21"/>
                <w:u w:val="none"/>
              </w:rPr>
            </w:pPr>
            <w:r>
              <w:rPr>
                <w:rFonts w:ascii="微软雅黑" w:eastAsia="微软雅黑" w:hAnsi="微软雅黑" w:cs="微软雅黑" w:hint="eastAsia"/>
                <w:b/>
                <w:color w:val="000000"/>
                <w:sz w:val="21"/>
                <w:u w:val="none"/>
              </w:rPr>
              <w:t>地  址:</w:t>
            </w:r>
          </w:p>
        </w:tc>
        <w:tc>
          <w:tcPr>
            <w:tcW w:w="9587" w:type="dxa"/>
            <w:tcBorders>
              <w:top w:val="nil"/>
              <w:left w:val="nil"/>
              <w:bottom w:val="nil"/>
              <w:right w:val="nil"/>
            </w:tcBorders>
            <w:shd w:val="clear" w:color="auto" w:fill="auto"/>
            <w:vAlign w:val="center"/>
          </w:tcPr>
          <w:p w:rsidR="00AC03DB">
            <w:pPr>
              <w:spacing w:before="63" w:after="21"/>
              <w:ind w:firstLine="0"/>
              <w:jc w:val="left"/>
              <w:rPr>
                <w:rFonts w:ascii="微软雅黑" w:eastAsia="微软雅黑" w:hAnsi="微软雅黑" w:cs="微软雅黑" w:hint="eastAsia"/>
                <w:b w:val="0"/>
                <w:color w:val="000000"/>
                <w:sz w:val="21"/>
                <w:u w:val="none"/>
              </w:rPr>
            </w:pPr>
            <w:r>
              <w:rPr>
                <w:rFonts w:ascii="微软雅黑" w:eastAsia="微软雅黑" w:hAnsi="微软雅黑" w:cs="微软雅黑" w:hint="eastAsia"/>
                <w:b w:val="0"/>
                <w:color w:val="000000"/>
                <w:sz w:val="21"/>
                <w:u w:val="none"/>
              </w:rPr>
              <w:t>南京海峡两岸科技工业园台中路99-198号</w:t>
            </w:r>
          </w:p>
        </w:tc>
      </w:tr>
    </w:tbl>
    <w:p/>
    <w:p>
      <w:pPr>
        <w:pStyle w:val="Heading1"/>
        <w:spacing w:before="600" w:after="150"/>
        <w:ind w:firstLine="0"/>
        <w:jc w:val="left"/>
        <w:rPr>
          <w:rFonts w:ascii="微软雅黑" w:eastAsia="微软雅黑" w:hAnsi="微软雅黑" w:cs="微软雅黑"/>
          <w:b/>
          <w:color w:val="000000"/>
          <w:sz w:val="30"/>
          <w:u w:val="none"/>
        </w:rPr>
      </w:pPr>
      <w:bookmarkStart w:id="10" w:name="_Toc256000006"/>
      <w:r>
        <w:rPr>
          <w:rFonts w:ascii="微软雅黑" w:eastAsia="微软雅黑" w:hAnsi="微软雅黑" w:cs="微软雅黑"/>
          <w:b/>
          <w:color w:val="000000"/>
          <w:sz w:val="30"/>
          <w:u w:val="none"/>
        </w:rPr>
        <w:t>2 基本信息</w:t>
      </w:r>
      <w:bookmarkEnd w:id="10"/>
    </w:p>
    <w:p>
      <w:pPr>
        <w:pStyle w:val="Heading2"/>
        <w:spacing w:before="72" w:after="24"/>
        <w:ind w:firstLine="0"/>
        <w:jc w:val="left"/>
        <w:rPr>
          <w:rFonts w:ascii="微软雅黑" w:eastAsia="微软雅黑" w:hAnsi="微软雅黑" w:cs="微软雅黑"/>
          <w:b/>
          <w:color w:val="000000"/>
          <w:sz w:val="24"/>
          <w:u w:val="none"/>
        </w:rPr>
      </w:pPr>
      <w:bookmarkStart w:id="11" w:name="_Toc256000007"/>
      <w:r>
        <w:rPr>
          <w:rFonts w:ascii="微软雅黑" w:eastAsia="微软雅黑" w:hAnsi="微软雅黑" w:cs="微软雅黑"/>
          <w:b/>
          <w:color w:val="000000"/>
          <w:sz w:val="24"/>
          <w:u w:val="none"/>
        </w:rPr>
        <w:t>2.1 工商信息</w:t>
      </w:r>
      <w:bookmarkEnd w:id="11"/>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54"/>
        <w:gridCol w:w="3339"/>
        <w:gridCol w:w="1831"/>
        <w:gridCol w:w="3339"/>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企业名称</w:t>
            </w:r>
          </w:p>
        </w:tc>
        <w:tc>
          <w:tcPr>
            <w:tcW w:w="8509" w:type="dxa"/>
            <w:gridSpan w:val="3"/>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曾用名</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企业规模</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M（中型）</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统一社会信用代码</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91320111MA1MQFT81P</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纳税人识别号</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91320111MA1MQFT81P</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工商注册号</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320111000260883</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进出口企业代码</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法定代表人</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陈鸣</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组织机构代码</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MA1MQFT8-1</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注册资本</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9000万元</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实缴资本</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9000万元（2025年报）</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企业类型</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有限责任公司（非自然人投资或控股的法人独资）</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登记状态</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22B14C"/>
                <w:sz w:val="20"/>
                <w:u w:val="none"/>
              </w:rPr>
              <w:t>在业</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成立日期</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2016-07-27</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核准日期</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2026-04-20</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营业期限</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2016-07-27 至 无固定期限</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登记机关</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南京江北新区管理委员会政务服务管理办公室</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参保人数</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238（2025年报）</w:t>
            </w:r>
          </w:p>
        </w:tc>
        <w:tc>
          <w:tcPr>
            <w:tcW w:w="1831"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国标行业</w:t>
            </w:r>
          </w:p>
        </w:tc>
        <w:tc>
          <w:tcPr>
            <w:tcW w:w="3339" w:type="dxa"/>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信息传输、软件和信息技术服务业</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英文名</w:t>
            </w:r>
          </w:p>
        </w:tc>
        <w:tc>
          <w:tcPr>
            <w:tcW w:w="8509" w:type="dxa"/>
            <w:gridSpan w:val="3"/>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Jiangsu Xinhe Yijia Information Technology Co., Ltd.</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注册地址</w:t>
            </w:r>
          </w:p>
        </w:tc>
        <w:tc>
          <w:tcPr>
            <w:tcW w:w="8509" w:type="dxa"/>
            <w:gridSpan w:val="3"/>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南京海峡两岸科技工业园台中路99-198号</w:t>
            </w:r>
          </w:p>
        </w:tc>
      </w:tr>
      <w:tr>
        <w:tblPrEx>
          <w:tblLayout w:type="fixed"/>
          <w:tblCellMar>
            <w:left w:w="108" w:type="dxa"/>
            <w:right w:w="108" w:type="dxa"/>
          </w:tblCellMar>
        </w:tblPrEx>
        <w:tc>
          <w:tcPr>
            <w:tcW w:w="2154" w:type="dxa"/>
            <w:tcBorders>
              <w:top w:val="single" w:sz="2" w:space="0" w:color="D8D8D8"/>
              <w:left w:val="single" w:sz="2" w:space="0" w:color="D8D8D8"/>
              <w:bottom w:val="single" w:sz="2" w:space="0" w:color="D8D8D8"/>
              <w:right w:val="single" w:sz="2" w:space="0" w:color="D8D8D8"/>
            </w:tcBorders>
            <w:shd w:val="clear" w:color="auto" w:fill="F2F2F2"/>
            <w:noWrap/>
            <w:vAlign w:val="center"/>
          </w:tcPr>
          <w:p>
            <w:pPr>
              <w:spacing w:before="80" w:after="80"/>
              <w:ind w:left="12" w:right="12" w:firstLine="0"/>
              <w:jc w:val="left"/>
              <w:rPr>
                <w:rFonts w:ascii="微软雅黑" w:eastAsia="微软雅黑" w:hAnsi="微软雅黑" w:cs="微软雅黑"/>
                <w:b/>
                <w:color w:val="000000"/>
                <w:sz w:val="20"/>
                <w:u w:val="none"/>
              </w:rPr>
            </w:pPr>
            <w:r>
              <w:rPr>
                <w:rStyle w:val="DefaultParagraphFont"/>
                <w:rFonts w:ascii="微软雅黑" w:eastAsia="微软雅黑" w:hAnsi="微软雅黑" w:cs="微软雅黑"/>
                <w:b/>
                <w:color w:val="000000"/>
                <w:sz w:val="20"/>
                <w:u w:val="none"/>
              </w:rPr>
              <w:t>经营范围</w:t>
            </w:r>
          </w:p>
        </w:tc>
        <w:tc>
          <w:tcPr>
            <w:tcW w:w="8509" w:type="dxa"/>
            <w:gridSpan w:val="3"/>
            <w:tcBorders>
              <w:top w:val="single" w:sz="2" w:space="0" w:color="D8D8D8"/>
              <w:left w:val="single" w:sz="2" w:space="0" w:color="D8D8D8"/>
              <w:bottom w:val="single" w:sz="2" w:space="0" w:color="D8D8D8"/>
              <w:right w:val="single" w:sz="2"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信息技术、网络技术研发、技术咨询、技术服务、技术转让；计算机软硬件研发、销售；信息系统集成；企业管理咨询；教育咨询服务。（依法须经批准的项目，经相关部门批准后方可开展经营活动）一般项目：广告制作；广告设计、代理；图文设计制作；摄像及视频制作服务（除依法须经批准的项目外，凭营业执照依法自主开展经营活动）</w:t>
            </w:r>
          </w:p>
        </w:tc>
      </w:tr>
    </w:tbl>
    <w:p>
      <w:pPr>
        <w:pStyle w:val="Heading2"/>
        <w:spacing w:before="480" w:after="120"/>
        <w:ind w:firstLine="0"/>
        <w:jc w:val="left"/>
        <w:rPr>
          <w:rFonts w:ascii="微软雅黑" w:eastAsia="微软雅黑" w:hAnsi="微软雅黑" w:cs="微软雅黑"/>
          <w:b/>
          <w:color w:val="000000"/>
          <w:sz w:val="24"/>
          <w:u w:val="none"/>
        </w:rPr>
      </w:pPr>
      <w:bookmarkStart w:id="12" w:name="_Toc256000008"/>
      <w:r>
        <w:rPr>
          <w:rFonts w:ascii="微软雅黑" w:eastAsia="微软雅黑" w:hAnsi="微软雅黑" w:cs="微软雅黑"/>
          <w:b/>
          <w:color w:val="000000"/>
          <w:sz w:val="24"/>
          <w:u w:val="none"/>
        </w:rPr>
        <w:t>2.2 股东信息 (1)</w:t>
      </w:r>
      <w:bookmarkEnd w:id="12"/>
    </w:p>
    <w:p>
      <w:pPr>
        <w:spacing w:before="60" w:after="20"/>
        <w:ind w:firstLine="0"/>
        <w:jc w:val="left"/>
        <w:rPr>
          <w:rFonts w:ascii="微软雅黑" w:eastAsia="微软雅黑" w:hAnsi="微软雅黑" w:cs="微软雅黑"/>
          <w:b/>
          <w:color w:val="B21B1B"/>
          <w:sz w:val="20"/>
          <w:u w:val="none"/>
        </w:rPr>
      </w:pPr>
      <w:r>
        <w:rPr>
          <w:rFonts w:ascii="微软雅黑" w:eastAsia="微软雅黑" w:hAnsi="微软雅黑" w:cs="微软雅黑"/>
          <w:b/>
          <w:color w:val="B21B1B"/>
          <w:sz w:val="20"/>
          <w:u w:val="none"/>
        </w:rPr>
        <w:t>共 1 位股东，最大的股东是 南京银资物业经营管理有限责任公司，股东类型为 企业法人，出资比例为 100%。</w:t>
      </w:r>
    </w:p>
    <w:p>
      <w:pPr>
        <w:spacing w:before="60" w:after="20"/>
        <w:ind w:firstLine="0"/>
        <w:jc w:val="left"/>
        <w:rPr>
          <w:rFonts w:ascii="微软雅黑" w:eastAsia="微软雅黑" w:hAnsi="微软雅黑" w:cs="微软雅黑"/>
          <w:b/>
          <w:color w:val="B21B1B"/>
          <w:sz w:val="20"/>
          <w:u w:val="none"/>
        </w:rPr>
      </w:pPr>
      <w:r>
        <w:rPr>
          <w:rFonts w:ascii="微软雅黑" w:eastAsia="微软雅黑" w:hAnsi="微软雅黑" w:cs="微软雅黑"/>
          <w:b/>
          <w:color w:val="B21B1B"/>
          <w:sz w:val="20"/>
          <w:u w:val="none"/>
        </w:rPr>
        <w:drawing>
          <wp:inline>
            <wp:extent cx="6642100" cy="2286000"/>
            <wp:docPr id="100017"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ascii="微软雅黑" w:eastAsia="微软雅黑" w:hAnsi="微软雅黑" w:cs="微软雅黑"/>
          <w:b/>
          <w:color w:val="B21B1B"/>
          <w:sz w:val="20"/>
          <w:u w:val="none"/>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3118"/>
        <w:gridCol w:w="1398"/>
        <w:gridCol w:w="2150"/>
        <w:gridCol w:w="1613"/>
        <w:gridCol w:w="161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1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股东名称</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持股比例</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认缴出资额(万元)</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认缴出资日期</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首次持股日期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312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南京银资物业经营管理有限责任公司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9000</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2021-10-09</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r>
    </w:tbl>
    <w:p>
      <w:pPr>
        <w:pStyle w:val="Heading2"/>
        <w:spacing w:before="480" w:after="120"/>
        <w:ind w:firstLine="0"/>
        <w:jc w:val="left"/>
        <w:rPr>
          <w:rFonts w:ascii="微软雅黑" w:eastAsia="微软雅黑" w:hAnsi="微软雅黑" w:cs="微软雅黑"/>
          <w:b/>
          <w:color w:val="000000"/>
          <w:sz w:val="24"/>
          <w:u w:val="none"/>
        </w:rPr>
      </w:pPr>
      <w:bookmarkStart w:id="13" w:name="_Toc256000009"/>
      <w:r>
        <w:rPr>
          <w:rFonts w:ascii="微软雅黑" w:eastAsia="微软雅黑" w:hAnsi="微软雅黑" w:cs="微软雅黑"/>
          <w:b/>
          <w:color w:val="000000"/>
          <w:sz w:val="24"/>
          <w:u w:val="none"/>
        </w:rPr>
        <w:t>2.3 主要人员 (2)</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75"/>
        <w:gridCol w:w="4301"/>
        <w:gridCol w:w="2688"/>
        <w:gridCol w:w="268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44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姓名</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职务</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持股比例</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344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陈鸣</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执行董事,经理</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344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韩天宁</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监事</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r>
    </w:tbl>
    <w:p>
      <w:pPr>
        <w:pStyle w:val="Heading2"/>
        <w:spacing w:before="480" w:after="120"/>
        <w:ind w:firstLine="0"/>
        <w:jc w:val="left"/>
        <w:rPr>
          <w:rFonts w:ascii="微软雅黑" w:eastAsia="微软雅黑" w:hAnsi="微软雅黑" w:cs="微软雅黑"/>
          <w:b/>
          <w:color w:val="000000"/>
          <w:sz w:val="24"/>
          <w:u w:val="none"/>
        </w:rPr>
      </w:pPr>
      <w:bookmarkStart w:id="14" w:name="_Toc256000010"/>
      <w:r>
        <w:rPr>
          <w:rFonts w:ascii="微软雅黑" w:eastAsia="微软雅黑" w:hAnsi="微软雅黑" w:cs="微软雅黑"/>
          <w:b/>
          <w:color w:val="000000"/>
          <w:sz w:val="24"/>
          <w:u w:val="none"/>
        </w:rPr>
        <w:t>2.4 对外投资 (2)</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2150"/>
        <w:gridCol w:w="1075"/>
        <w:gridCol w:w="1075"/>
        <w:gridCol w:w="1613"/>
        <w:gridCol w:w="1613"/>
        <w:gridCol w:w="1075"/>
        <w:gridCol w:w="12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被投资企业名称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状态</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持股比例</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认缴出资额/持股数</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所属省份</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所属行业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江苏鑫智股权投资管理有限公司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在业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4000万元</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2018-03-31</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融联易云金融信息服务（北京）有限公司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6.25%</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2000万元</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2017-11-30</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金融业</w:t>
            </w:r>
          </w:p>
        </w:tc>
      </w:tr>
    </w:tbl>
    <w:p>
      <w:pPr>
        <w:pStyle w:val="Heading2"/>
        <w:spacing w:before="480" w:after="120"/>
        <w:ind w:firstLine="0"/>
        <w:jc w:val="left"/>
        <w:rPr>
          <w:rFonts w:ascii="微软雅黑" w:eastAsia="微软雅黑" w:hAnsi="微软雅黑" w:cs="微软雅黑"/>
          <w:b/>
          <w:color w:val="000000"/>
          <w:sz w:val="24"/>
          <w:u w:val="none"/>
        </w:rPr>
      </w:pPr>
      <w:bookmarkStart w:id="15" w:name="_Toc256000011"/>
      <w:r>
        <w:rPr>
          <w:rFonts w:ascii="微软雅黑" w:eastAsia="微软雅黑" w:hAnsi="微软雅黑" w:cs="微软雅黑"/>
          <w:b/>
          <w:color w:val="000000"/>
          <w:sz w:val="24"/>
          <w:u w:val="none"/>
        </w:rPr>
        <w:t>2.5 间接持股企业 (905)</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935"/>
        <w:gridCol w:w="861"/>
        <w:gridCol w:w="1183"/>
        <w:gridCol w:w="1720"/>
        <w:gridCol w:w="1291"/>
        <w:gridCol w:w="1397"/>
        <w:gridCol w:w="150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被间接投资企业名称</w:t>
            </w:r>
          </w:p>
        </w:tc>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状态</w:t>
            </w:r>
          </w:p>
        </w:tc>
        <w:tc>
          <w:tcPr>
            <w:tcW w:w="1185"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间接持股比例</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法定代表人/负责人</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注册资本</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所属地区</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所属行业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浙江鑫通创新股权投资管理有限公司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吴及峰</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浙江省杭州市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常州高鑫汇智创业投资合伙企业（有限合伙）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江苏鑫智股权投资管理有限公司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江苏省常州市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上海盛盎智鑫企业咨询管理中心（有限合伙）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47.619%</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上海盛盎私募基金管理有限公司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1050万元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上海市浦东新区</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日照金鑫茂物创业投资管理有限公司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段小光</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山东省日照市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南京江北芯谷邦盛创业投资合伙企业（有限合伙）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南京邦盛投资管理有限公司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上海吉六零鑫智新荟创业投资合伙企业（有限合伙）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上海吉六零私募基金管理有限公司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上海市松江区</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南京金雨鑫智创业投资合伙企业（有限合伙）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金雨茂物（西藏）创业投资管理有限公司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苏州高曼鑫智投资合伙企业（有限合伙）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18.1818%</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苏州高曼创新创业投资管理有限公司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110.0001万元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江苏省苏州市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南京雨创邦盛信通人才创业投资合伙企业（有限合伙）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南京邦盛投资管理有限公司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盐城高鑫汇智创业投资合伙企业（普通合伙）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苏州高曼创新创业投资管理有限公司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江苏省盐城市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无锡金朝创业投资合伙企业（有限合伙）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金雨茂物（西藏）创业投资管理有限公司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江苏省无锡市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南通东布洲金雨创业投资合伙企业（有限合伙）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南京金励创业投资合伙企业（有限合伙）</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江苏省南通市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苏州顺融泽实二期创业投资合伙企业（有限合伙）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5.1151%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苏州顺融泽实管理咨询合伙企业（有限合伙）</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19550万元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江苏省苏州市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常州鑫创汇创业投资合伙企业（有限合伙）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常州高鑫汇智创业投资合伙企业（有限合伙）</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江苏省常州市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江苏品值增信科技有限公司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饶翔</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信息传输、软件和信息技术服务业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上海孚腾沪明私募基金合伙企业（有限合伙）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4.8704%</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上海孚腾私募基金管理有限公司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41064万元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上海市浦东新区</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上海金资创兴一期创业投资合伙企业（有限合伙）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4.5249%</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上海盛盎智鑫企业咨询管理中心（有限合伙）</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11050万元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上海市浦东新区</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绍兴蔚米科技合伙企业（有限合伙）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李栋</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660万元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浙江省绍兴市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成都天赋品值科技有限公司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饶翔</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四川省成都市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沛县汉鑫股权投资合伙企业（有限合伙）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3.3333%</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江苏鑫智股权投资管理有限公司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江苏省徐州市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21</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南京鑫向荣创业投资合伙企业（有限合伙）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3.2258%</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江苏鑫智股权投资管理有限公司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3100万元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22</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日照鑫科创业投资合伙企业（有限合伙）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3.2258%</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江苏鑫智股权投资管理有限公司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3100万元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山东省日照市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江苏乐彩印刷材料有限公司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2.9126%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顾爱清</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1030万元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江苏省泰州市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制造业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24</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上海攸盛铝业有限公司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2.8835%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顾爱清</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上海市青浦区</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批发和零售业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25</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海安海开智造股权投资合伙企业（有限合伙）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2.439%</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江苏鑫智股权投资管理有限公司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4100万元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江苏省南通市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26</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南通创新鑫智股权投资合伙企业（有限合伙）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2.1164%</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江苏鑫智股权投资管理有限公司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4725万元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江苏省南通市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27</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徐州云鑫股权投资合伙企业（有限合伙）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江苏鑫智股权投资管理有限公司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江苏省徐州市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28</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济宁经开鑫智创业投资合伙企业（有限合伙）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江苏鑫智股权投资管理有限公司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山东省济宁市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29</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泰州鑫融股权投资基金合伙企业（有限合伙）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江苏鑫智股权投资管理有限公司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江苏省泰州市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30</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常州涌常铧兴科技创业投资合伙企业（有限合伙）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1.9799%</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上海涌源智企业管理合伙企业（有限合伙）</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20203万元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江苏省常州市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31</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常州和诺宁鑫股权投资合伙企业（有限合伙）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1.8182%</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常州和诺资本管理有限公司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5500万元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江苏省常州市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32</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上海芯联启辰私募投资基金合伙企业（有限合伙）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芯联私募基金管理（杭州）合伙企业（有限合伙）</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125000万元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上海市浦东新区</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33</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上海芯琏企业管理合伙企业（有限合伙）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芯联私募基金管理（杭州）合伙企业（有限合伙）</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36201万元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上海市松江区</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34</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上海芯联芯光创业投资合伙企业（有限合伙）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1.5992%</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芯联私募基金管理（杭州）合伙企业（有限合伙）</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2001万元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上海市徐汇区</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南京丰顿科技股份有限公司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邵兵</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821.3万元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36</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南京交控麒鑫创业投资合伙企业（有限合伙）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南京金雨鑫智创业投资合伙企业（有限合伙）</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30000万元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37</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日照高鑫二号创业投资合伙企业（有限合伙）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南京金连创业投资合伙企业（有限合伙）</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山东省日照市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38</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江苏在地创意文化旅游发展有限公司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许翌星</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39</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江苏集萃道路工程技术与装备研究所有限公司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张陈</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江苏省徐州市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40</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崴思新材料泰州有限公司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徐凌</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江苏省泰州市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制造业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41</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江苏夏博士光热科技有限公司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夏建业</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江苏省常州市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42</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徐州瑞斯克装备技术有限公司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任化杰</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江苏省徐州市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43</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南京莱医特电子科技有限公司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王芹</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44</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苏州智昕医教科技有限公司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王芹</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江苏省苏州市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科学研究和技术服务业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45</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南京莱医特知行文化传播有限公司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王芹</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文化、体育和娱乐业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46</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江苏鼎康神鹰新材料有限公司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0.9901%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周凯</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3000万元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江苏省徐州市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47</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江苏金鼎节能技术股份有限公司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0.9901%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周凯</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江苏省徐州市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制造业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48</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扬州扬鑫股权投资合伙企业（有限合伙）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0.9901%</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江苏鑫智股权投资管理有限公司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江苏省扬州市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49</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南京简智仪器设备有限公司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0.984%</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蒋春平</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1115.472万元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江苏省南京市</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信息传输、软件和信息技术服务业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50</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北京简智仪器设备有限公司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1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0.984%</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蒋春平</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200万元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北京市怀柔区</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批发和零售业</w:t>
            </w:r>
          </w:p>
        </w:tc>
      </w:tr>
    </w:tbl>
    <w:p>
      <w:pPr>
        <w:spacing w:before="54" w:after="18"/>
        <w:ind w:firstLine="0"/>
        <w:jc w:val="left"/>
        <w:rPr>
          <w:rFonts w:ascii="微软雅黑" w:eastAsia="微软雅黑" w:hAnsi="微软雅黑" w:cs="微软雅黑"/>
          <w:b w:val="0"/>
          <w:color w:val="808080"/>
          <w:sz w:val="18"/>
          <w:u w:val="none"/>
        </w:rPr>
      </w:pPr>
      <w:r>
        <w:rPr>
          <w:rFonts w:ascii="微软雅黑" w:eastAsia="微软雅黑" w:hAnsi="微软雅黑" w:cs="微软雅黑"/>
          <w:b w:val="0"/>
          <w:color w:val="808080"/>
          <w:sz w:val="18"/>
          <w:u w:val="none"/>
        </w:rPr>
        <w:t>此维度共计905条记录，当前报告中显示50条，如需更多请登录官方网站进行查询。</w:t>
      </w:r>
    </w:p>
    <w:p>
      <w:pPr>
        <w:pStyle w:val="Heading2"/>
        <w:spacing w:before="480" w:after="120"/>
        <w:ind w:firstLine="0"/>
        <w:jc w:val="left"/>
        <w:rPr>
          <w:rFonts w:ascii="微软雅黑" w:eastAsia="微软雅黑" w:hAnsi="微软雅黑" w:cs="微软雅黑"/>
          <w:b/>
          <w:color w:val="000000"/>
          <w:sz w:val="24"/>
          <w:u w:val="none"/>
        </w:rPr>
      </w:pPr>
      <w:bookmarkStart w:id="16" w:name="_Toc256000012"/>
      <w:r>
        <w:rPr>
          <w:rFonts w:ascii="微软雅黑" w:eastAsia="微软雅黑" w:hAnsi="微软雅黑" w:cs="微软雅黑"/>
          <w:b/>
          <w:color w:val="000000"/>
          <w:sz w:val="24"/>
          <w:u w:val="none"/>
        </w:rPr>
        <w:t>2.6 控制企业 (18)</w:t>
      </w:r>
      <w:bookmarkEnd w:id="16"/>
    </w:p>
    <w:p>
      <w:pPr>
        <w:spacing w:before="60" w:after="20"/>
        <w:ind w:firstLine="0"/>
        <w:jc w:val="left"/>
        <w:rPr>
          <w:rFonts w:ascii="微软雅黑" w:eastAsia="微软雅黑" w:hAnsi="微软雅黑" w:cs="微软雅黑"/>
          <w:b/>
          <w:color w:val="B21B1B"/>
          <w:sz w:val="20"/>
          <w:u w:val="none"/>
        </w:rPr>
      </w:pPr>
      <w:r>
        <w:rPr>
          <w:rFonts w:ascii="微软雅黑" w:eastAsia="微软雅黑" w:hAnsi="微软雅黑" w:cs="微软雅黑"/>
          <w:b/>
          <w:color w:val="B21B1B"/>
          <w:sz w:val="20"/>
          <w:u w:val="none"/>
        </w:rPr>
        <w:t>控制企业为当前企业通过直接或间接持股从而控制或参与控制其实际控制权的企业。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613"/>
        <w:gridCol w:w="861"/>
        <w:gridCol w:w="1075"/>
        <w:gridCol w:w="1291"/>
        <w:gridCol w:w="1075"/>
        <w:gridCol w:w="397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控制企业名称</w:t>
            </w:r>
          </w:p>
        </w:tc>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状态</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所属地区</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所属行业</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投资比例</w:t>
            </w:r>
          </w:p>
        </w:tc>
        <w:tc>
          <w:tcPr>
            <w:tcW w:w="398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股权链</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江苏鑫智股权投资管理有限公司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江苏省泰州市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路径1（占比100%）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浙江鑫通创新股权投资管理有限公司</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浙江省杭州市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100%</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路径1（占比100%）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江苏鑫合易家信息技术有限责任公司——&gt;（100%）江苏鑫智股权投资管理有限公司——&gt;（100%）浙江鑫通创新股权投资管理有限公司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常州高鑫汇智创业投资合伙企业（有限合伙）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江苏省常州市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50%</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路径1（占比50%）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江苏鑫合易家信息技术有限责任公司——&gt;（100%）江苏鑫智股权投资管理有限公司——&gt;（50%）常州高鑫汇智创业投资合伙企业（有限合伙）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沛县汉鑫股权投资合伙企业（有限合伙）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江苏省徐州市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3.3333%</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路径1（占比3.3333%）</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江苏鑫合易家信息技术有限责任公司——&gt;（100%）江苏鑫智股权投资管理有限公司——&gt;（3.3333%）沛县汉鑫股权投资合伙企业（有限合伙）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南京鑫向荣创业投资合伙企业（有限合伙）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江苏省南京市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3.2258%</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路径1（占比3.2258%）</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江苏鑫合易家信息技术有限责任公司——&gt;（100%）江苏鑫智股权投资管理有限公司——&gt;（3.2258%）南京鑫向荣创业投资合伙企业（有限合伙）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日照鑫科创业投资合伙企业（有限合伙）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山东省日照市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3.2258%</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路径1（占比3.2258%）</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江苏鑫合易家信息技术有限责任公司——&gt;（100%）江苏鑫智股权投资管理有限公司——&gt;（3.2258%）日照鑫科创业投资合伙企业（有限合伙）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海安海开智造股权投资合伙企业（有限合伙）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江苏省南通市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2.439%</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路径1（占比2.439%）</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江苏鑫合易家信息技术有限责任公司——&gt;（100%）江苏鑫智股权投资管理有限公司——&gt;（2.439%）海安海开智造股权投资合伙企业（有限合伙）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南通创新鑫智股权投资合伙企业（有限合伙）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江苏省南通市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2.1164%</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路径1（占比2.1164%）</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江苏鑫合易家信息技术有限责任公司——&gt;（100%）江苏鑫智股权投资管理有限公司——&gt;（2.1164%）南通创新鑫智股权投资合伙企业（有限合伙）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徐州云鑫股权投资合伙企业（有限合伙）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江苏省徐州市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路径1（占比2%）</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江苏鑫合易家信息技术有限责任公司——&gt;（100%）江苏鑫智股权投资管理有限公司——&gt;（2%）徐州云鑫股权投资合伙企业（有限合伙）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济宁经开鑫智创业投资合伙企业（有限合伙）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山东省济宁市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路径1（占比2%）</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江苏鑫合易家信息技术有限责任公司——&gt;（100%）江苏鑫智股权投资管理有限公司——&gt;（2%）济宁经开鑫智创业投资合伙企业（有限合伙）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泰州鑫融股权投资基金合伙企业（有限合伙）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江苏省泰州市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路径1（占比2%）</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江苏鑫合易家信息技术有限责任公司——&gt;（100%）江苏鑫智股权投资管理有限公司——&gt;（2%）泰州鑫融股权投资基金合伙企业（有限合伙）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扬州扬鑫股权投资合伙企业（有限合伙）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在业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江苏省扬州市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0.9901%</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路径1（占比0.9901%）</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江苏鑫合易家信息技术有限责任公司——&gt;（100%）江苏鑫智股权投资管理有限公司——&gt;（0.9901%）扬州扬鑫股权投资合伙企业（有限合伙）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南通鑫智股权投资合伙企业（有限合伙）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江苏省南通市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0.2217%</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路径1（占比0.2217%）</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江苏鑫合易家信息技术有限责任公司——&gt;（100%）江苏鑫智股权投资管理有限公司——&gt;（0.2217%）南通鑫智股权投资合伙企业（有限合伙）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常州鑫创汇创业投资合伙企业（有限合伙）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存续</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江苏省常州市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路径1（占比5%）</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江苏鑫合易家信息技术有限责任公司——&gt;（100%）江苏鑫智股权投资管理有限公司——&gt;（50%）常州高鑫汇智创业投资合伙企业（有限合伙）——&gt;（10%）常州鑫创汇创业投资合伙企业（有限合伙）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南通鑫智通创业投资合伙企业（有限合伙）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江苏省南通市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3.125%</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路径1（占比3.125%）</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江苏鑫合易家信息技术有限责任公司——&gt;（100%）江苏鑫智股权投资管理有限公司——&gt;（3.125%）南通鑫智通创业投资合伙企业（有限合伙）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日照鑫智创达创业投资合伙企业（有限合伙）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山东省日照市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金融业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2.439%</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路径1（占比2.439%）</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江苏鑫合易家信息技术有限责任公司——&gt;（100%）江苏鑫智股权投资管理有限公司——&gt;（2.439%）日照鑫智创达创业投资合伙企业（有限合伙）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扬州江都高新南银投资基金合伙企业（有限合伙）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江苏省扬州市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路径1（占比2%）</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江苏鑫合易家信息技术有限责任公司——&gt;（100%）江苏鑫智股权投资管理有限公司——&gt;（2%）扬州江都高新南银投资基金合伙企业（有限合伙）</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高邮邮盛股权投资合伙企业（有限合伙）</w:t>
            </w:r>
          </w:p>
        </w:tc>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注销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江苏省扬州市</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租赁和商务服务业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398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路径1（占比2%）</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江苏鑫合易家信息技术有限责任公司——&gt;（100%）江苏鑫智股权投资管理有限公司——&gt;（2%）高邮邮盛股权投资合伙企业（有限合伙）</w:t>
            </w:r>
          </w:p>
        </w:tc>
      </w:tr>
    </w:tbl>
    <w:p>
      <w:pPr>
        <w:pStyle w:val="Heading2"/>
        <w:spacing w:before="480" w:after="120"/>
        <w:ind w:firstLine="0"/>
        <w:jc w:val="left"/>
        <w:rPr>
          <w:rFonts w:ascii="微软雅黑" w:eastAsia="微软雅黑" w:hAnsi="微软雅黑" w:cs="微软雅黑"/>
          <w:b/>
          <w:color w:val="000000"/>
          <w:sz w:val="24"/>
          <w:u w:val="none"/>
        </w:rPr>
      </w:pPr>
      <w:bookmarkStart w:id="17" w:name="_Toc256000013"/>
      <w:r>
        <w:rPr>
          <w:rFonts w:ascii="微软雅黑" w:eastAsia="微软雅黑" w:hAnsi="微软雅黑" w:cs="微软雅黑"/>
          <w:b/>
          <w:color w:val="000000"/>
          <w:sz w:val="24"/>
          <w:u w:val="none"/>
        </w:rPr>
        <w:t>2.7 变更记录 (11)</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291"/>
        <w:gridCol w:w="1505"/>
        <w:gridCol w:w="3010"/>
        <w:gridCol w:w="3010"/>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变更日期</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变更项目</w:t>
            </w:r>
          </w:p>
        </w:tc>
        <w:tc>
          <w:tcPr>
            <w:tcW w:w="30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变更前</w:t>
            </w:r>
          </w:p>
        </w:tc>
        <w:tc>
          <w:tcPr>
            <w:tcW w:w="30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变更后</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数据来源</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2026-04-06</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登记机关变更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w:t>
            </w:r>
            <w:r>
              <w:rPr>
                <w:rStyle w:val="DefaultParagraphFont"/>
                <w:rFonts w:ascii="微软雅黑" w:eastAsia="微软雅黑" w:hAnsi="微软雅黑" w:cs="微软雅黑"/>
                <w:b w:val="0"/>
                <w:i w:val="0"/>
                <w:iCs w:val="0"/>
                <w:color w:val="F04040"/>
                <w:sz w:val="20"/>
                <w:u w:val="none"/>
              </w:rPr>
              <w:t>市浦口区行政审批局</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w:t>
            </w:r>
            <w:r>
              <w:rPr>
                <w:rStyle w:val="DefaultParagraphFont"/>
                <w:rFonts w:ascii="微软雅黑" w:eastAsia="微软雅黑" w:hAnsi="微软雅黑" w:cs="微软雅黑"/>
                <w:b w:val="0"/>
                <w:i w:val="0"/>
                <w:iCs w:val="0"/>
                <w:color w:val="F04040"/>
                <w:sz w:val="20"/>
                <w:u w:val="none"/>
              </w:rPr>
              <w:t>江北新区管理委员会政务服务管理办公室</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平台计算</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2021-10-20</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注册资本变更（注册资金、资金数额等变更）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5000.000000万元</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9000.000000万元</w:t>
            </w:r>
            <w:r>
              <w:rPr>
                <w:rStyle w:val="DefaultParagraphFont"/>
                <w:rFonts w:ascii="微软雅黑" w:eastAsia="微软雅黑" w:hAnsi="微软雅黑" w:cs="微软雅黑"/>
                <w:b w:val="0"/>
                <w:i w:val="0"/>
                <w:iCs w:val="0"/>
                <w:color w:val="FF6060"/>
                <w:sz w:val="20"/>
                <w:u w:val="none"/>
              </w:rPr>
              <w:t>（+4000万元）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2021-07-12</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企业类型变更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有限责任公司</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有限责任公司</w:t>
            </w:r>
            <w:r>
              <w:rPr>
                <w:rStyle w:val="DefaultParagraphFont"/>
                <w:rFonts w:ascii="微软雅黑" w:eastAsia="微软雅黑" w:hAnsi="微软雅黑" w:cs="微软雅黑"/>
                <w:b w:val="0"/>
                <w:i w:val="0"/>
                <w:iCs w:val="0"/>
                <w:color w:val="F04040"/>
                <w:sz w:val="20"/>
                <w:u w:val="none"/>
              </w:rPr>
              <w:t>（非自然人投资或控股的法人独资）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2021-07-12</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经营范围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信息技术、网络技术研发、技术咨询、技术服务、技术转让，计算机软硬件研发、销售，信息系统集成，企业管理咨询，教育咨询服务。（依法须经批准的项目,经相关部门批准后方可开展经营活动）</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信息技术、网络技术研发、技术咨询、技术服务、技术转让，计算机软硬件研发、销售，信息系统集成，企业管理咨询，教育咨询服务。（依法须经批准的项目,经相关部门批准后方可开展经营活动）</w:t>
            </w:r>
            <w:r>
              <w:rPr>
                <w:rStyle w:val="DefaultParagraphFont"/>
                <w:rFonts w:ascii="微软雅黑" w:eastAsia="微软雅黑" w:hAnsi="微软雅黑" w:cs="微软雅黑"/>
                <w:b w:val="0"/>
                <w:i w:val="0"/>
                <w:iCs w:val="0"/>
                <w:color w:val="F04040"/>
                <w:sz w:val="20"/>
                <w:u w:val="none"/>
              </w:rPr>
              <w:t>一般项目:广告制作</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广告设计、代理</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图文设计制作</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i w:val="0"/>
                <w:iCs w:val="0"/>
                <w:color w:val="F04040"/>
                <w:sz w:val="20"/>
                <w:u w:val="none"/>
              </w:rPr>
              <w:t>摄像及视频制作服务（除依法须经批准的项目外,凭营业执照依法自主开展经营活动）</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2021-07-12</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股东变更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南京银资物业经营管理有限责任公司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北京科蓝软件系统股份有限公司</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江苏润和软件股份有限公司</w:t>
            </w:r>
            <w:r>
              <w:rPr>
                <w:rStyle w:val="DefaultParagraphFont"/>
                <w:rFonts w:ascii="微软雅黑" w:eastAsia="微软雅黑" w:hAnsi="微软雅黑" w:cs="微软雅黑"/>
                <w:b w:val="0"/>
                <w:i w:val="0"/>
                <w:iCs w:val="0"/>
                <w:color w:val="FF6060"/>
                <w:sz w:val="20"/>
                <w:u w:val="none"/>
              </w:rPr>
              <w:t>【退出】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南京银资物业经营管理有限责任公司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2021-07-12</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法定代表人变更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i w:val="0"/>
                <w:iCs w:val="0"/>
                <w:color w:val="F04040"/>
                <w:sz w:val="20"/>
                <w:u w:val="none"/>
              </w:rPr>
              <w:t>余宣杰</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i w:val="0"/>
                <w:iCs w:val="0"/>
                <w:color w:val="F04040"/>
                <w:sz w:val="20"/>
                <w:u w:val="none"/>
              </w:rPr>
              <w:t>陈鸣</w:t>
            </w: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2021-07-12</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高级管理人员备案（董事、监事、经理等）</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陈鸣*（</w:t>
            </w:r>
            <w:r>
              <w:rPr>
                <w:rStyle w:val="DefaultParagraphFont"/>
                <w:rFonts w:ascii="微软雅黑" w:eastAsia="微软雅黑" w:hAnsi="微软雅黑" w:cs="微软雅黑"/>
                <w:b w:val="0"/>
                <w:i w:val="0"/>
                <w:iCs w:val="0"/>
                <w:color w:val="F04040"/>
                <w:sz w:val="20"/>
                <w:u w:val="none"/>
              </w:rPr>
              <w:t>副董事长,总经理</w:t>
            </w:r>
            <w:r>
              <w:rPr>
                <w:rStyle w:val="DefaultParagraphFont"/>
                <w:rFonts w:ascii="微软雅黑" w:eastAsia="微软雅黑" w:hAnsi="微软雅黑" w:cs="微软雅黑"/>
                <w:b w:val="0"/>
                <w:color w:val="000000"/>
                <w:sz w:val="20"/>
                <w:u w:val="none"/>
              </w:rPr>
              <w:t>），韩天宁（监事），余宣杰（董事长）</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color w:val="000000"/>
                <w:sz w:val="20"/>
                <w:u w:val="none"/>
              </w:rPr>
              <w:t>，刘延新（董事）</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color w:val="000000"/>
                <w:sz w:val="20"/>
                <w:u w:val="none"/>
              </w:rPr>
              <w:t>，唐今阳（董事）</w:t>
            </w:r>
            <w:r>
              <w:rPr>
                <w:rStyle w:val="DefaultParagraphFont"/>
                <w:rFonts w:ascii="微软雅黑" w:eastAsia="微软雅黑" w:hAnsi="微软雅黑" w:cs="微软雅黑"/>
                <w:b w:val="0"/>
                <w:i w:val="0"/>
                <w:iCs w:val="0"/>
                <w:color w:val="FF6060"/>
                <w:sz w:val="20"/>
                <w:u w:val="none"/>
              </w:rPr>
              <w:t>【退出】</w:t>
            </w:r>
            <w:r>
              <w:rPr>
                <w:rStyle w:val="DefaultParagraphFont"/>
                <w:rFonts w:ascii="微软雅黑" w:eastAsia="微软雅黑" w:hAnsi="微软雅黑" w:cs="微软雅黑"/>
                <w:b w:val="0"/>
                <w:color w:val="000000"/>
                <w:sz w:val="20"/>
                <w:u w:val="none"/>
              </w:rPr>
              <w:t>，王世欣（董事）</w:t>
            </w:r>
            <w:r>
              <w:rPr>
                <w:rStyle w:val="DefaultParagraphFont"/>
                <w:rFonts w:ascii="微软雅黑" w:eastAsia="微软雅黑" w:hAnsi="微软雅黑" w:cs="微软雅黑"/>
                <w:b w:val="0"/>
                <w:i w:val="0"/>
                <w:iCs w:val="0"/>
                <w:color w:val="FF6060"/>
                <w:sz w:val="20"/>
                <w:u w:val="none"/>
              </w:rPr>
              <w:t>【退出】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陈鸣*（</w:t>
            </w:r>
            <w:r>
              <w:rPr>
                <w:rStyle w:val="DefaultParagraphFont"/>
                <w:rFonts w:ascii="微软雅黑" w:eastAsia="微软雅黑" w:hAnsi="微软雅黑" w:cs="微软雅黑"/>
                <w:b w:val="0"/>
                <w:i w:val="0"/>
                <w:iCs w:val="0"/>
                <w:color w:val="F04040"/>
                <w:sz w:val="20"/>
                <w:u w:val="none"/>
              </w:rPr>
              <w:t>执行董事,经理</w:t>
            </w:r>
            <w:r>
              <w:rPr>
                <w:rStyle w:val="DefaultParagraphFont"/>
                <w:rFonts w:ascii="微软雅黑" w:eastAsia="微软雅黑" w:hAnsi="微软雅黑" w:cs="微软雅黑"/>
                <w:b w:val="0"/>
                <w:color w:val="000000"/>
                <w:sz w:val="20"/>
                <w:u w:val="none"/>
              </w:rPr>
              <w:t>），韩天宁（监事）</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平台计算</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2021-03-29</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高级管理人员备案（董事、监事、经理等）</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余宣杰(董事长)</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刘延新(董事)</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唐今阳(董事)</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韩天宁(监事)</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陈鸣*(</w:t>
            </w:r>
            <w:r>
              <w:rPr>
                <w:rStyle w:val="DefaultParagraphFont"/>
                <w:rFonts w:ascii="微软雅黑" w:eastAsia="微软雅黑" w:hAnsi="微软雅黑" w:cs="微软雅黑"/>
                <w:b w:val="0"/>
                <w:i w:val="0"/>
                <w:iCs w:val="0"/>
                <w:color w:val="F04040"/>
                <w:sz w:val="20"/>
                <w:u w:val="none"/>
              </w:rPr>
              <w:t>董事</w:t>
            </w:r>
            <w:r>
              <w:rPr>
                <w:rStyle w:val="DefaultParagraphFont"/>
                <w:rFonts w:ascii="微软雅黑" w:eastAsia="微软雅黑" w:hAnsi="微软雅黑" w:cs="微软雅黑"/>
                <w:b w:val="0"/>
                <w:color w:val="000000"/>
                <w:sz w:val="20"/>
                <w:u w:val="none"/>
              </w:rPr>
              <w:t>兼总经理)</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龙艺(副董事长)</w:t>
            </w:r>
            <w:r>
              <w:rPr>
                <w:rStyle w:val="DefaultParagraphFont"/>
                <w:rFonts w:ascii="微软雅黑" w:eastAsia="微软雅黑" w:hAnsi="微软雅黑" w:cs="微软雅黑"/>
                <w:b w:val="0"/>
                <w:i w:val="0"/>
                <w:iCs w:val="0"/>
                <w:color w:val="FF6060"/>
                <w:sz w:val="20"/>
                <w:u w:val="none"/>
              </w:rPr>
              <w:t>【退出】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余宣杰(董事长)</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刘延新(董事)</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唐今阳(董事)</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韩天宁(监事)</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陈鸣*(</w:t>
            </w:r>
            <w:r>
              <w:rPr>
                <w:rStyle w:val="DefaultParagraphFont"/>
                <w:rFonts w:ascii="微软雅黑" w:eastAsia="微软雅黑" w:hAnsi="微软雅黑" w:cs="微软雅黑"/>
                <w:b w:val="0"/>
                <w:i w:val="0"/>
                <w:iCs w:val="0"/>
                <w:color w:val="F04040"/>
                <w:sz w:val="20"/>
                <w:u w:val="none"/>
              </w:rPr>
              <w:t>副董事长</w:t>
            </w:r>
            <w:r>
              <w:rPr>
                <w:rStyle w:val="DefaultParagraphFont"/>
                <w:rFonts w:ascii="微软雅黑" w:eastAsia="微软雅黑" w:hAnsi="微软雅黑" w:cs="微软雅黑"/>
                <w:b w:val="0"/>
                <w:color w:val="000000"/>
                <w:sz w:val="20"/>
                <w:u w:val="none"/>
              </w:rPr>
              <w:t>、总经理)</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王世欣(董事)</w:t>
            </w:r>
            <w:r>
              <w:rPr>
                <w:rStyle w:val="DefaultParagraphFont"/>
                <w:rFonts w:ascii="微软雅黑" w:eastAsia="微软雅黑" w:hAnsi="微软雅黑" w:cs="微软雅黑"/>
                <w:b w:val="0"/>
                <w:i w:val="0"/>
                <w:iCs w:val="0"/>
                <w:color w:val="FF6060"/>
                <w:sz w:val="20"/>
                <w:u w:val="none"/>
              </w:rPr>
              <w:t>【新进】</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平台计算</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2020-09-16</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高级管理人员备案（董事、监事、经理等）</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余宣杰(董事长)</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龙艺(副董事长)</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唐今阳(董事)</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韩天宁(监事)</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陈鸣*(董事兼总经理)</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胡传高(董事)</w:t>
            </w:r>
            <w:r>
              <w:rPr>
                <w:rStyle w:val="DefaultParagraphFont"/>
                <w:rFonts w:ascii="微软雅黑" w:eastAsia="微软雅黑" w:hAnsi="微软雅黑" w:cs="微软雅黑"/>
                <w:b w:val="0"/>
                <w:i w:val="0"/>
                <w:iCs w:val="0"/>
                <w:color w:val="FF6060"/>
                <w:sz w:val="20"/>
                <w:u w:val="none"/>
              </w:rPr>
              <w:t>【退出】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余宣杰(董事长)</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龙艺(副董事长)</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唐今阳(董事)</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韩天宁(监事)</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陈鸣*(董事兼总经理)</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刘延新(董事)</w:t>
            </w:r>
            <w:r>
              <w:rPr>
                <w:rStyle w:val="DefaultParagraphFont"/>
                <w:rFonts w:ascii="微软雅黑" w:eastAsia="微软雅黑" w:hAnsi="微软雅黑" w:cs="微软雅黑"/>
                <w:b w:val="0"/>
                <w:i w:val="0"/>
                <w:iCs w:val="0"/>
                <w:color w:val="FF6060"/>
                <w:sz w:val="20"/>
                <w:u w:val="none"/>
              </w:rPr>
              <w:t>【新进】</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平台计算</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2019-03-15</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高级管理人员备案（董事、监事、经理等）</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余宣杰(</w:t>
            </w:r>
            <w:r>
              <w:rPr>
                <w:rStyle w:val="DefaultParagraphFont"/>
                <w:rFonts w:ascii="微软雅黑" w:eastAsia="微软雅黑" w:hAnsi="微软雅黑" w:cs="微软雅黑"/>
                <w:b w:val="0"/>
                <w:i w:val="0"/>
                <w:iCs w:val="0"/>
                <w:color w:val="F04040"/>
                <w:sz w:val="20"/>
                <w:u w:val="none"/>
              </w:rPr>
              <w:t>执行董事</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龙艺(</w:t>
            </w:r>
            <w:r>
              <w:rPr>
                <w:rStyle w:val="DefaultParagraphFont"/>
                <w:rFonts w:ascii="微软雅黑" w:eastAsia="微软雅黑" w:hAnsi="微软雅黑" w:cs="微软雅黑"/>
                <w:b w:val="0"/>
                <w:i w:val="0"/>
                <w:iCs w:val="0"/>
                <w:color w:val="F04040"/>
                <w:sz w:val="20"/>
                <w:u w:val="none"/>
              </w:rPr>
              <w:t>总经理</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陶承庆(监事)</w:t>
            </w:r>
            <w:r>
              <w:rPr>
                <w:rStyle w:val="DefaultParagraphFont"/>
                <w:rFonts w:ascii="微软雅黑" w:eastAsia="微软雅黑" w:hAnsi="微软雅黑" w:cs="微软雅黑"/>
                <w:b w:val="0"/>
                <w:i w:val="0"/>
                <w:iCs w:val="0"/>
                <w:color w:val="FF6060"/>
                <w:sz w:val="20"/>
                <w:u w:val="none"/>
              </w:rPr>
              <w:t>【退出】</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余宣杰(</w:t>
            </w:r>
            <w:r>
              <w:rPr>
                <w:rStyle w:val="DefaultParagraphFont"/>
                <w:rFonts w:ascii="微软雅黑" w:eastAsia="微软雅黑" w:hAnsi="微软雅黑" w:cs="微软雅黑"/>
                <w:b w:val="0"/>
                <w:i w:val="0"/>
                <w:iCs w:val="0"/>
                <w:color w:val="F04040"/>
                <w:sz w:val="20"/>
                <w:u w:val="none"/>
              </w:rPr>
              <w:t>董事长</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龙艺(</w:t>
            </w:r>
            <w:r>
              <w:rPr>
                <w:rStyle w:val="DefaultParagraphFont"/>
                <w:rFonts w:ascii="微软雅黑" w:eastAsia="微软雅黑" w:hAnsi="微软雅黑" w:cs="微软雅黑"/>
                <w:b w:val="0"/>
                <w:i w:val="0"/>
                <w:iCs w:val="0"/>
                <w:color w:val="F04040"/>
                <w:sz w:val="20"/>
                <w:u w:val="none"/>
              </w:rPr>
              <w:t>副董事长</w:t>
            </w:r>
            <w:r>
              <w:rPr>
                <w:rStyle w:val="DefaultParagraphFont"/>
                <w:rFonts w:ascii="微软雅黑" w:eastAsia="微软雅黑" w:hAnsi="微软雅黑" w:cs="微软雅黑"/>
                <w:b w:val="0"/>
                <w:color w:val="000000"/>
                <w:sz w:val="20"/>
                <w:u w:val="none"/>
              </w:rPr>
              <w:t>)</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胡传高(董事)</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唐今阳(董事)</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韩天宁(监事)</w:t>
            </w:r>
            <w:r>
              <w:rPr>
                <w:rStyle w:val="DefaultParagraphFont"/>
                <w:rFonts w:ascii="微软雅黑" w:eastAsia="微软雅黑" w:hAnsi="微软雅黑" w:cs="微软雅黑"/>
                <w:b w:val="0"/>
                <w:i w:val="0"/>
                <w:iCs w:val="0"/>
                <w:color w:val="FF6060"/>
                <w:sz w:val="20"/>
                <w:u w:val="none"/>
              </w:rPr>
              <w:t>【新进】</w:t>
            </w:r>
            <w:r>
              <w:rPr>
                <w:rStyle w:val="DefaultParagraphFont"/>
                <w:rFonts w:ascii="微软雅黑" w:eastAsia="微软雅黑" w:hAnsi="微软雅黑" w:cs="微软雅黑"/>
                <w:b w:val="0"/>
                <w:i w:val="0"/>
                <w:iCs w:val="0"/>
                <w:color w:val="FF6060"/>
                <w:sz w:val="20"/>
                <w:u w:val="none"/>
              </w:rPr>
              <w:br/>
            </w:r>
            <w:r>
              <w:rPr>
                <w:rStyle w:val="DefaultParagraphFont"/>
                <w:rFonts w:ascii="微软雅黑" w:eastAsia="微软雅黑" w:hAnsi="微软雅黑" w:cs="微软雅黑"/>
                <w:b w:val="0"/>
                <w:color w:val="000000"/>
                <w:sz w:val="20"/>
                <w:u w:val="none"/>
              </w:rPr>
              <w:t>陈鸣*(董事兼总经理)</w:t>
            </w:r>
            <w:r>
              <w:rPr>
                <w:rStyle w:val="DefaultParagraphFont"/>
                <w:rFonts w:ascii="微软雅黑" w:eastAsia="微软雅黑" w:hAnsi="微软雅黑" w:cs="微软雅黑"/>
                <w:b w:val="0"/>
                <w:i w:val="0"/>
                <w:iCs w:val="0"/>
                <w:color w:val="FF6060"/>
                <w:sz w:val="20"/>
                <w:u w:val="none"/>
              </w:rPr>
              <w:t>【新进】</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平台计算</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11</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2017-08-09</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注册资本变更（注册资金、资金数额等变更）</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3000.000000万元</w:t>
            </w:r>
          </w:p>
        </w:tc>
        <w:tc>
          <w:tcPr>
            <w:tcW w:w="30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5000.000000万元</w:t>
            </w:r>
            <w:r>
              <w:rPr>
                <w:rStyle w:val="DefaultParagraphFont"/>
                <w:rFonts w:ascii="微软雅黑" w:eastAsia="微软雅黑" w:hAnsi="微软雅黑" w:cs="微软雅黑"/>
                <w:b w:val="0"/>
                <w:i w:val="0"/>
                <w:iCs w:val="0"/>
                <w:color w:val="FF6060"/>
                <w:sz w:val="20"/>
                <w:u w:val="none"/>
              </w:rPr>
              <w:t>（+2000万元）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工商公示</w:t>
            </w:r>
          </w:p>
        </w:tc>
      </w:tr>
    </w:tbl>
    <w:p>
      <w:pPr>
        <w:pStyle w:val="Heading2"/>
        <w:spacing w:before="480" w:after="120"/>
        <w:ind w:firstLine="0"/>
        <w:jc w:val="left"/>
        <w:rPr>
          <w:rFonts w:ascii="微软雅黑" w:eastAsia="微软雅黑" w:hAnsi="微软雅黑" w:cs="微软雅黑"/>
          <w:b/>
          <w:color w:val="000000"/>
          <w:sz w:val="24"/>
          <w:u w:val="none"/>
        </w:rPr>
      </w:pPr>
      <w:bookmarkStart w:id="18" w:name="_Toc256000014"/>
      <w:r>
        <w:rPr>
          <w:rFonts w:ascii="微软雅黑" w:eastAsia="微软雅黑" w:hAnsi="微软雅黑" w:cs="微软雅黑"/>
          <w:b/>
          <w:color w:val="000000"/>
          <w:sz w:val="24"/>
          <w:u w:val="none"/>
        </w:rPr>
        <w:t>2.8 财务简析</w:t>
      </w:r>
      <w:bookmarkEnd w:id="18"/>
    </w:p>
    <w:p>
      <w:pPr>
        <w:spacing w:before="60" w:after="20"/>
        <w:ind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近几年企业营业收入、净利润、总资产、净资产、净利率、毛利率主要财务指标趋势。</w:t>
      </w:r>
    </w:p>
    <w:p>
      <w:pPr>
        <w:spacing w:before="60" w:after="20"/>
        <w:ind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6642100" cy="2540000"/>
            <wp:docPr id="100018"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rFonts w:ascii="微软雅黑" w:eastAsia="微软雅黑" w:hAnsi="微软雅黑" w:cs="微软雅黑"/>
          <w:b w:val="0"/>
          <w:color w:val="000000"/>
          <w:sz w:val="20"/>
          <w:u w:val="none"/>
        </w:rPr>
        <w:drawing>
          <wp:inline>
            <wp:extent cx="6642100" cy="2540000"/>
            <wp:docPr id="100019"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rFonts w:ascii="微软雅黑" w:eastAsia="微软雅黑" w:hAnsi="微软雅黑" w:cs="微软雅黑"/>
          <w:b w:val="0"/>
          <w:color w:val="000000"/>
          <w:sz w:val="20"/>
          <w:u w:val="none"/>
        </w:rPr>
        <w:drawing>
          <wp:inline>
            <wp:extent cx="6642100" cy="2540000"/>
            <wp:docPr id="100020"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pPr>
        <w:pStyle w:val="Heading2"/>
        <w:spacing w:before="480" w:after="120"/>
        <w:ind w:firstLine="0"/>
        <w:jc w:val="left"/>
        <w:rPr>
          <w:rFonts w:ascii="微软雅黑" w:eastAsia="微软雅黑" w:hAnsi="微软雅黑" w:cs="微软雅黑"/>
          <w:b/>
          <w:color w:val="000000"/>
          <w:sz w:val="24"/>
          <w:u w:val="none"/>
        </w:rPr>
      </w:pPr>
      <w:bookmarkStart w:id="19" w:name="_Toc256000015"/>
      <w:r>
        <w:rPr>
          <w:rFonts w:ascii="微软雅黑" w:eastAsia="微软雅黑" w:hAnsi="微软雅黑" w:cs="微软雅黑"/>
          <w:b/>
          <w:color w:val="000000"/>
          <w:sz w:val="24"/>
          <w:u w:val="none"/>
        </w:rPr>
        <w:t>2.9 财务数据</w:t>
      </w:r>
      <w:bookmarkEnd w:id="19"/>
    </w:p>
    <w:p>
      <w:pPr>
        <w:spacing w:before="60" w:after="20"/>
        <w:ind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主要指标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44"/>
        <w:gridCol w:w="1632"/>
        <w:gridCol w:w="1632"/>
        <w:gridCol w:w="1632"/>
        <w:gridCol w:w="163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c>
          <w:tcPr>
            <w:tcW w:w="1632"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2016年年报</w:t>
            </w:r>
          </w:p>
        </w:tc>
        <w:tc>
          <w:tcPr>
            <w:tcW w:w="1632"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c>
          <w:tcPr>
            <w:tcW w:w="1632"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c>
          <w:tcPr>
            <w:tcW w:w="1632"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利润表</w:t>
            </w:r>
          </w:p>
        </w:tc>
        <w:tc>
          <w:tcPr>
            <w:tcW w:w="6528" w:type="dxa"/>
            <w:gridSpan w:val="4"/>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 xml:space="preserve">  净利润</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-51.12万</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资产负债表</w:t>
            </w:r>
          </w:p>
        </w:tc>
        <w:tc>
          <w:tcPr>
            <w:tcW w:w="6528" w:type="dxa"/>
            <w:gridSpan w:val="4"/>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 xml:space="preserve">  资产合计</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1,383.26万</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 xml:space="preserve">  负债总计</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6.38万</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 xml:space="preserve">  所有者权益总计</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1,376.88万</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盈利能力</w:t>
            </w:r>
          </w:p>
        </w:tc>
        <w:tc>
          <w:tcPr>
            <w:tcW w:w="6528" w:type="dxa"/>
            <w:gridSpan w:val="4"/>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 xml:space="preserve">  加权净资产收益率(%)</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-3.71</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偿还能力</w:t>
            </w:r>
          </w:p>
        </w:tc>
        <w:tc>
          <w:tcPr>
            <w:tcW w:w="6528" w:type="dxa"/>
            <w:gridSpan w:val="4"/>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 xml:space="preserve">  资产负债率(%)</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0.46</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bl>
    <w:p>
      <w:pPr>
        <w:spacing w:before="60" w:after="20"/>
        <w:ind w:firstLine="0"/>
        <w:jc w:val="left"/>
        <w:rPr>
          <w:rFonts w:ascii="微软雅黑" w:eastAsia="微软雅黑" w:hAnsi="微软雅黑" w:cs="微软雅黑"/>
          <w:b/>
          <w:color w:val="000000"/>
          <w:sz w:val="20"/>
          <w:u w:val="none"/>
        </w:rPr>
      </w:pPr>
    </w:p>
    <w:p>
      <w:pPr>
        <w:spacing w:before="60" w:after="20"/>
        <w:ind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资产负债表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44"/>
        <w:gridCol w:w="1632"/>
        <w:gridCol w:w="1632"/>
        <w:gridCol w:w="1632"/>
        <w:gridCol w:w="163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c>
          <w:tcPr>
            <w:tcW w:w="1632"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2016年年报</w:t>
            </w:r>
          </w:p>
        </w:tc>
        <w:tc>
          <w:tcPr>
            <w:tcW w:w="1632"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c>
          <w:tcPr>
            <w:tcW w:w="1632"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c>
          <w:tcPr>
            <w:tcW w:w="1632"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资产总计</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1,383.26万</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负债总计</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6.38万</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所有者权益</w:t>
            </w:r>
          </w:p>
        </w:tc>
        <w:tc>
          <w:tcPr>
            <w:tcW w:w="6528" w:type="dxa"/>
            <w:gridSpan w:val="4"/>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 xml:space="preserve">  所有者权益总计</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1,376.88万</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负债和股东权益总计</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1,383.26万</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r>
    </w:tbl>
    <w:p>
      <w:pPr>
        <w:spacing w:before="60" w:after="20"/>
        <w:ind w:firstLine="0"/>
        <w:jc w:val="left"/>
        <w:rPr>
          <w:rFonts w:ascii="微软雅黑" w:eastAsia="微软雅黑" w:hAnsi="微软雅黑" w:cs="微软雅黑"/>
          <w:b/>
          <w:color w:val="000000"/>
          <w:sz w:val="20"/>
          <w:u w:val="none"/>
        </w:rPr>
      </w:pPr>
    </w:p>
    <w:p>
      <w:pPr>
        <w:spacing w:before="60" w:after="20"/>
        <w:ind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利润表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44"/>
        <w:gridCol w:w="1632"/>
        <w:gridCol w:w="1632"/>
        <w:gridCol w:w="1632"/>
        <w:gridCol w:w="163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c>
          <w:tcPr>
            <w:tcW w:w="1632"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2016年年报</w:t>
            </w:r>
          </w:p>
        </w:tc>
        <w:tc>
          <w:tcPr>
            <w:tcW w:w="1632"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c>
          <w:tcPr>
            <w:tcW w:w="1632"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c>
          <w:tcPr>
            <w:tcW w:w="1632" w:type="dxa"/>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p>
        </w:tc>
      </w:tr>
      <w:tr>
        <w:tblPrEx>
          <w:tblW w:w="5000" w:type="pct"/>
          <w:tblCellMar>
            <w:left w:w="108" w:type="dxa"/>
            <w:right w:w="108" w:type="dxa"/>
          </w:tblCellMar>
        </w:tblPrEx>
        <w:tc>
          <w:tcPr>
            <w:tcW w:w="4244"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净利润</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-51.12万</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c>
          <w:tcPr>
            <w:tcW w:w="16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w:t>
            </w:r>
          </w:p>
        </w:tc>
      </w:tr>
    </w:tbl>
    <w:p>
      <w:pPr>
        <w:pStyle w:val="Heading2"/>
        <w:spacing w:before="480" w:after="120"/>
        <w:ind w:firstLine="0"/>
        <w:jc w:val="left"/>
        <w:rPr>
          <w:rFonts w:ascii="微软雅黑" w:eastAsia="微软雅黑" w:hAnsi="微软雅黑" w:cs="微软雅黑"/>
          <w:b/>
          <w:color w:val="000000"/>
          <w:sz w:val="24"/>
          <w:u w:val="none"/>
        </w:rPr>
      </w:pPr>
      <w:bookmarkStart w:id="20" w:name="_Toc256000016"/>
      <w:r>
        <w:rPr>
          <w:rFonts w:ascii="微软雅黑" w:eastAsia="微软雅黑" w:hAnsi="微软雅黑" w:cs="微软雅黑"/>
          <w:b/>
          <w:color w:val="000000"/>
          <w:sz w:val="24"/>
          <w:u w:val="none"/>
        </w:rPr>
        <w:t>2.10 企业年报 (10)</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2"/>
        <w:gridCol w:w="2154"/>
        <w:gridCol w:w="1616"/>
        <w:gridCol w:w="1077"/>
        <w:gridCol w:w="269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年报年份</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年份</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2025年度报告</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2024年度报告</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发布日期</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2026-05-15</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2025-05-20</w:t>
            </w:r>
          </w:p>
        </w:tc>
      </w:tr>
      <w:tr>
        <w:tblPrEx>
          <w:tblW w:w="5000" w:type="pct"/>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股东及出资信息</w:t>
            </w:r>
          </w:p>
        </w:tc>
      </w:tr>
      <w:tr>
        <w:tblPrEx>
          <w:tblW w:w="5000" w:type="pct"/>
          <w:tblCellMar>
            <w:left w:w="108" w:type="dxa"/>
            <w:right w:w="108" w:type="dxa"/>
          </w:tblCellMar>
        </w:tblPrEx>
        <w:tc>
          <w:tcPr>
            <w:tcW w:w="32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股东名称</w:t>
            </w:r>
          </w:p>
        </w:tc>
        <w:tc>
          <w:tcPr>
            <w:tcW w:w="3770"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2025年</w:t>
            </w:r>
          </w:p>
        </w:tc>
        <w:tc>
          <w:tcPr>
            <w:tcW w:w="3770"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2024年</w:t>
            </w:r>
          </w:p>
        </w:tc>
      </w:tr>
      <w:tr>
        <w:tblPrEx>
          <w:tblW w:w="5000" w:type="pct"/>
          <w:tblCellMar>
            <w:left w:w="108" w:type="dxa"/>
            <w:right w:w="108" w:type="dxa"/>
          </w:tblCellMar>
        </w:tblPrEx>
        <w:tc>
          <w:tcPr>
            <w:tcW w:w="3232"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南京银资物业经营管理有限责任公司</w:t>
            </w:r>
          </w:p>
        </w:tc>
        <w:tc>
          <w:tcPr>
            <w:tcW w:w="3770"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认缴出资额(万元)：9000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认缴出资日期：2021-10-20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认缴出资方式：货币</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实缴出资额(万元)：9000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实缴出资日期：2021-10-20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实缴出资方式：货币</w:t>
            </w:r>
          </w:p>
        </w:tc>
        <w:tc>
          <w:tcPr>
            <w:tcW w:w="3770"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认缴出资额(万元)：9000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认缴出资日期：2021-10-20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认缴出资方式：货币</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实缴出资额(万元)：9000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实缴出资日期：2021-10-20</w:t>
            </w:r>
          </w:p>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实缴出资方式：货币</w:t>
            </w:r>
          </w:p>
        </w:tc>
      </w:tr>
      <w:tr>
        <w:tblPrEx>
          <w:tblW w:w="5000" w:type="pct"/>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社保信息</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城镇职工基本养老保险</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238人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238人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职工基本医疗保险</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238人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238人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生育保险</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238人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238人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失业保险</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238人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238人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工伤保险</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238人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238人</w:t>
            </w:r>
          </w:p>
        </w:tc>
      </w:tr>
      <w:tr>
        <w:tblPrEx>
          <w:tblW w:w="5000" w:type="pct"/>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单位缴费基数</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单位参加城镇职工基本养老保险缴费基数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单位参加失业保险缴费基数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单位参加职工基本医疗保险缴费基数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单位基础工伤保险缴费基数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单位参加生育保险缴费基数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本期实际缴费金额</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参加城镇职工基本养老保险本期实际缴费基数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参加失业保险本期实际缴费基数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参加职工基本医疗保险本期实际缴费基数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参加工伤保险本期实际缴费基数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参加生育保险本期实际缴费基数</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单位累计欠缴金额</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单位参加城镇职工基本养老保险累计欠缴金额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单位参加失业保险累计欠缴金额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单位参加职工基本医疗保险累计欠缴金额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单位参加工伤保险累计欠缴金额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单位参加生育保险累计欠缴金额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10772" w:type="dxa"/>
            <w:gridSpan w:val="5"/>
            <w:tcBorders>
              <w:top w:val="single" w:sz="2" w:space="0" w:color="D8D8D8"/>
              <w:left w:val="single" w:sz="2" w:space="0" w:color="D8D8D8"/>
              <w:bottom w:val="single" w:sz="2" w:space="0" w:color="D8D8D8"/>
              <w:right w:val="single" w:sz="2" w:space="0" w:color="D8D8D8"/>
            </w:tcBorders>
            <w:shd w:val="clear" w:color="auto" w:fill="F2F2F2"/>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企业资产状况信息</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资产总额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所有者权益合计</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营业总收入</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营业总收入中主营业务收入</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利润总额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净利润</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纳税总额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r>
        <w:tblPrEx>
          <w:tblW w:w="5000" w:type="pct"/>
          <w:tblCellMar>
            <w:left w:w="108" w:type="dxa"/>
            <w:right w:w="108" w:type="dxa"/>
          </w:tblCellMar>
        </w:tblPrEx>
        <w:tc>
          <w:tcPr>
            <w:tcW w:w="5386"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负债总额</w:t>
            </w:r>
          </w:p>
        </w:tc>
        <w:tc>
          <w:tcPr>
            <w:tcW w:w="2693" w:type="dxa"/>
            <w:gridSpan w:val="2"/>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c>
          <w:tcPr>
            <w:tcW w:w="2693" w:type="dxa"/>
            <w:tcBorders>
              <w:top w:val="single" w:sz="2" w:space="0" w:color="D8D8D8"/>
              <w:left w:val="single" w:sz="2" w:space="0" w:color="D8D8D8"/>
              <w:bottom w:val="single" w:sz="2" w:space="0" w:color="D8D8D8"/>
              <w:right w:val="single" w:sz="2"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企业选择不公示</w:t>
            </w:r>
          </w:p>
        </w:tc>
      </w:tr>
    </w:tbl>
    <w:p>
      <w:pPr>
        <w:spacing w:before="54" w:after="18"/>
        <w:ind w:firstLine="0"/>
        <w:jc w:val="left"/>
        <w:rPr>
          <w:rFonts w:ascii="微软雅黑" w:eastAsia="微软雅黑" w:hAnsi="微软雅黑" w:cs="微软雅黑"/>
          <w:b w:val="0"/>
          <w:color w:val="808080"/>
          <w:sz w:val="18"/>
          <w:u w:val="none"/>
        </w:rPr>
      </w:pPr>
      <w:r>
        <w:rPr>
          <w:rFonts w:ascii="微软雅黑" w:eastAsia="微软雅黑" w:hAnsi="微软雅黑" w:cs="微软雅黑"/>
          <w:b w:val="0"/>
          <w:color w:val="808080"/>
          <w:sz w:val="18"/>
          <w:u w:val="none"/>
        </w:rPr>
        <w:t>此维度共计10条记录，当前报告中显示2条，如需更多请登录官方网站进行查询。</w:t>
      </w:r>
    </w:p>
    <w:p>
      <w:pPr>
        <w:pStyle w:val="Heading2"/>
        <w:spacing w:before="480" w:after="120"/>
        <w:ind w:firstLine="0"/>
        <w:jc w:val="left"/>
        <w:rPr>
          <w:rFonts w:ascii="微软雅黑" w:eastAsia="微软雅黑" w:hAnsi="微软雅黑" w:cs="微软雅黑"/>
          <w:b/>
          <w:color w:val="000000"/>
          <w:sz w:val="24"/>
          <w:u w:val="none"/>
        </w:rPr>
      </w:pPr>
      <w:bookmarkStart w:id="21" w:name="_Toc256000017"/>
      <w:r>
        <w:rPr>
          <w:rFonts w:ascii="微软雅黑" w:eastAsia="微软雅黑" w:hAnsi="微软雅黑" w:cs="微软雅黑"/>
          <w:b/>
          <w:color w:val="000000"/>
          <w:sz w:val="24"/>
          <w:u w:val="none"/>
        </w:rPr>
        <w:t>2.11 受益所有人 (1)</w:t>
      </w:r>
      <w:bookmarkEnd w:id="21"/>
    </w:p>
    <w:p>
      <w:pPr>
        <w:spacing w:before="60" w:after="20"/>
        <w:ind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bCs/>
          <w:color w:val="000000"/>
          <w:sz w:val="20"/>
          <w:u w:val="none"/>
        </w:rPr>
        <w:t>判定理由：</w:t>
      </w:r>
      <w:r>
        <w:rPr>
          <w:rStyle w:val="DefaultParagraphFont"/>
          <w:rFonts w:ascii="微软雅黑" w:eastAsia="微软雅黑" w:hAnsi="微软雅黑" w:cs="微软雅黑"/>
          <w:b w:val="0"/>
          <w:color w:val="000000"/>
          <w:sz w:val="20"/>
          <w:u w:val="none"/>
        </w:rPr>
        <w:t>未能穿透识别出直接或者间接拥有超过25%（含）公司股权或者表决权的自然人，将其人事财务控制人视为受益所有人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2366"/>
        <w:gridCol w:w="3763"/>
        <w:gridCol w:w="37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37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受益所有人</w:t>
            </w:r>
          </w:p>
        </w:tc>
        <w:tc>
          <w:tcPr>
            <w:tcW w:w="377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受益所有人类型</w:t>
            </w:r>
          </w:p>
        </w:tc>
        <w:tc>
          <w:tcPr>
            <w:tcW w:w="377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任职类型</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陈鸣</w:t>
            </w:r>
          </w:p>
        </w:tc>
        <w:tc>
          <w:tcPr>
            <w:tcW w:w="37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人事财务控制人</w:t>
            </w:r>
          </w:p>
        </w:tc>
        <w:tc>
          <w:tcPr>
            <w:tcW w:w="37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执行董事,经理</w:t>
            </w:r>
          </w:p>
        </w:tc>
      </w:tr>
    </w:tbl>
    <w:p>
      <w:pPr>
        <w:pStyle w:val="Heading2"/>
        <w:spacing w:before="480" w:after="120"/>
        <w:ind w:firstLine="0"/>
        <w:jc w:val="left"/>
        <w:rPr>
          <w:rFonts w:ascii="微软雅黑" w:eastAsia="微软雅黑" w:hAnsi="微软雅黑" w:cs="微软雅黑"/>
          <w:b/>
          <w:color w:val="000000"/>
          <w:sz w:val="24"/>
          <w:u w:val="none"/>
        </w:rPr>
      </w:pPr>
      <w:bookmarkStart w:id="22" w:name="_Toc256000018"/>
      <w:r>
        <w:rPr>
          <w:rFonts w:ascii="微软雅黑" w:eastAsia="微软雅黑" w:hAnsi="微软雅黑" w:cs="微软雅黑"/>
          <w:b/>
          <w:color w:val="000000"/>
          <w:sz w:val="24"/>
          <w:u w:val="none"/>
        </w:rPr>
        <w:t>2.12 实际控制人</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720"/>
        <w:gridCol w:w="1291"/>
        <w:gridCol w:w="1291"/>
        <w:gridCol w:w="1291"/>
        <w:gridCol w:w="429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实际控制人（大数据分析）</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直接持股比例</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总持股比例</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表决权比例</w:t>
            </w:r>
          </w:p>
        </w:tc>
        <w:tc>
          <w:tcPr>
            <w:tcW w:w="430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控制链</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172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南京银行工会委员会</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100%</w:t>
            </w:r>
          </w:p>
        </w:tc>
        <w:tc>
          <w:tcPr>
            <w:tcW w:w="430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控制路径1 (占比100%)</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000000"/>
                <w:sz w:val="20"/>
                <w:u w:val="none"/>
              </w:rPr>
              <w:t>南京银行工会委员会———&gt;(100%)南京银资物业经营管理有限责任公司———&gt;(100%)江苏鑫合易家信息技术有限责任公司</w:t>
            </w:r>
          </w:p>
        </w:tc>
      </w:tr>
    </w:tbl>
    <w:p>
      <w:pPr>
        <w:spacing w:before="60" w:after="20"/>
        <w:ind w:firstLine="0"/>
        <w:jc w:val="left"/>
        <w:rPr>
          <w:rFonts w:ascii="微软雅黑" w:eastAsia="微软雅黑" w:hAnsi="微软雅黑" w:cs="微软雅黑"/>
          <w:b w:val="0"/>
          <w:color w:val="808080"/>
          <w:sz w:val="20"/>
          <w:u w:val="none"/>
        </w:rPr>
      </w:pPr>
      <w:r>
        <w:rPr>
          <w:rFonts w:ascii="微软雅黑" w:eastAsia="微软雅黑" w:hAnsi="微软雅黑" w:cs="微软雅黑"/>
          <w:b w:val="0"/>
          <w:color w:val="808080"/>
          <w:sz w:val="20"/>
          <w:u w:val="none"/>
        </w:rPr>
        <w:t>备注：以上数据是企查查大数据分析引擎基于公开信息挖掘的成果，仅供参考。该成果不构成任何明示或暗示的观点或保证。</w:t>
      </w:r>
    </w:p>
    <w:p>
      <w:pPr>
        <w:pStyle w:val="Heading1"/>
        <w:spacing w:before="600" w:after="150"/>
        <w:ind w:firstLine="0"/>
        <w:jc w:val="left"/>
        <w:rPr>
          <w:rFonts w:ascii="微软雅黑" w:eastAsia="微软雅黑" w:hAnsi="微软雅黑" w:cs="微软雅黑"/>
          <w:b/>
          <w:color w:val="000000"/>
          <w:sz w:val="30"/>
          <w:u w:val="none"/>
        </w:rPr>
      </w:pPr>
      <w:bookmarkStart w:id="23" w:name="_Toc256000019"/>
      <w:r>
        <w:rPr>
          <w:rFonts w:ascii="微软雅黑" w:eastAsia="微软雅黑" w:hAnsi="微软雅黑" w:cs="微软雅黑"/>
          <w:b/>
          <w:color w:val="000000"/>
          <w:sz w:val="30"/>
          <w:u w:val="none"/>
        </w:rPr>
        <w:t>3 法定代表人相关信息</w:t>
      </w:r>
      <w:bookmarkEnd w:id="23"/>
    </w:p>
    <w:p>
      <w:pPr>
        <w:pStyle w:val="Heading2"/>
        <w:spacing w:before="72" w:after="24"/>
        <w:ind w:firstLine="0"/>
        <w:jc w:val="left"/>
        <w:rPr>
          <w:rFonts w:ascii="微软雅黑" w:eastAsia="微软雅黑" w:hAnsi="微软雅黑" w:cs="微软雅黑"/>
          <w:b/>
          <w:color w:val="000000"/>
          <w:sz w:val="24"/>
          <w:u w:val="none"/>
        </w:rPr>
      </w:pPr>
      <w:bookmarkStart w:id="24" w:name="_Toc256000020"/>
      <w:r>
        <w:rPr>
          <w:rFonts w:ascii="微软雅黑" w:eastAsia="微软雅黑" w:hAnsi="微软雅黑" w:cs="微软雅黑"/>
          <w:b/>
          <w:color w:val="000000"/>
          <w:sz w:val="24"/>
          <w:u w:val="none"/>
        </w:rPr>
        <w:t>3.1 担任法定代表人的企业信息 (1)</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935"/>
        <w:gridCol w:w="1075"/>
        <w:gridCol w:w="1075"/>
        <w:gridCol w:w="1613"/>
        <w:gridCol w:w="1397"/>
        <w:gridCol w:w="1183"/>
        <w:gridCol w:w="161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企业名称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登记状态</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持股比例</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担任法定代表人起止时间</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注册资本</w:t>
            </w:r>
          </w:p>
        </w:tc>
        <w:tc>
          <w:tcPr>
            <w:tcW w:w="1185"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地区</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行业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在业</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2021-07-12至今</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9000万元</w:t>
            </w:r>
          </w:p>
        </w:tc>
        <w:tc>
          <w:tcPr>
            <w:tcW w:w="11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w:t>
            </w:r>
          </w:p>
        </w:tc>
        <w:tc>
          <w:tcPr>
            <w:tcW w:w="1616"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信息传输、软件和信息技术服务业</w:t>
            </w:r>
          </w:p>
        </w:tc>
      </w:tr>
    </w:tbl>
    <w:p>
      <w:pPr>
        <w:pStyle w:val="Heading2"/>
        <w:spacing w:before="480" w:after="120"/>
        <w:ind w:firstLine="0"/>
        <w:jc w:val="left"/>
        <w:rPr>
          <w:rFonts w:ascii="微软雅黑" w:eastAsia="微软雅黑" w:hAnsi="微软雅黑" w:cs="微软雅黑"/>
          <w:b/>
          <w:color w:val="000000"/>
          <w:sz w:val="24"/>
          <w:u w:val="none"/>
        </w:rPr>
      </w:pPr>
      <w:bookmarkStart w:id="25" w:name="_Toc256000021"/>
      <w:r>
        <w:rPr>
          <w:rFonts w:ascii="微软雅黑" w:eastAsia="微软雅黑" w:hAnsi="微软雅黑" w:cs="微软雅黑"/>
          <w:b/>
          <w:color w:val="000000"/>
          <w:sz w:val="24"/>
          <w:u w:val="none"/>
        </w:rPr>
        <w:t>3.2 法定代表人在外任职信息 (1)</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935"/>
        <w:gridCol w:w="1075"/>
        <w:gridCol w:w="1291"/>
        <w:gridCol w:w="1505"/>
        <w:gridCol w:w="1505"/>
        <w:gridCol w:w="1075"/>
        <w:gridCol w:w="150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企业名称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登记状态</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职位</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任职起止时间</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注册资本</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地区</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行业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1939"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在业</w:t>
            </w:r>
          </w:p>
        </w:tc>
        <w:tc>
          <w:tcPr>
            <w:tcW w:w="1293"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执行董事,经理</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2019-03-15至今</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9000万元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w:t>
            </w:r>
          </w:p>
        </w:tc>
        <w:tc>
          <w:tcPr>
            <w:tcW w:w="150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信息传输、软件和信息技术服务业</w:t>
            </w:r>
          </w:p>
        </w:tc>
      </w:tr>
    </w:tbl>
    <w:p>
      <w:pPr>
        <w:pStyle w:val="Heading1"/>
        <w:spacing w:before="600" w:after="150"/>
        <w:ind w:firstLine="0"/>
        <w:jc w:val="left"/>
        <w:rPr>
          <w:rFonts w:ascii="微软雅黑" w:eastAsia="微软雅黑" w:hAnsi="微软雅黑" w:cs="微软雅黑"/>
          <w:b/>
          <w:color w:val="000000"/>
          <w:sz w:val="30"/>
          <w:u w:val="none"/>
        </w:rPr>
      </w:pPr>
      <w:bookmarkStart w:id="26" w:name="_Toc256000022"/>
      <w:r>
        <w:rPr>
          <w:rFonts w:ascii="微软雅黑" w:eastAsia="微软雅黑" w:hAnsi="微软雅黑" w:cs="微软雅黑"/>
          <w:b/>
          <w:color w:val="000000"/>
          <w:sz w:val="30"/>
          <w:u w:val="none"/>
        </w:rPr>
        <w:t>4 经营信息</w:t>
      </w:r>
      <w:bookmarkEnd w:id="26"/>
    </w:p>
    <w:p>
      <w:pPr>
        <w:pStyle w:val="Heading2"/>
        <w:spacing w:before="72" w:after="24"/>
        <w:ind w:firstLine="0"/>
        <w:jc w:val="left"/>
        <w:rPr>
          <w:rFonts w:ascii="微软雅黑" w:eastAsia="微软雅黑" w:hAnsi="微软雅黑" w:cs="微软雅黑"/>
          <w:b/>
          <w:color w:val="000000"/>
          <w:sz w:val="24"/>
          <w:u w:val="none"/>
        </w:rPr>
      </w:pPr>
      <w:bookmarkStart w:id="27" w:name="_Toc256000023"/>
      <w:r>
        <w:rPr>
          <w:rFonts w:ascii="微软雅黑" w:eastAsia="微软雅黑" w:hAnsi="微软雅黑" w:cs="微软雅黑"/>
          <w:b/>
          <w:color w:val="000000"/>
          <w:sz w:val="24"/>
          <w:u w:val="none"/>
        </w:rPr>
        <w:t>4.1 资质证书 (12)</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291"/>
        <w:gridCol w:w="2257"/>
        <w:gridCol w:w="1505"/>
        <w:gridCol w:w="1613"/>
        <w:gridCol w:w="1075"/>
        <w:gridCol w:w="1075"/>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证书名称</w:t>
            </w:r>
          </w:p>
        </w:tc>
        <w:tc>
          <w:tcPr>
            <w:tcW w:w="22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资质类别及等级/产品名称</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证书编号</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发证机构</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发证日期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有效期至</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证书状态</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软件企业证书</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软件企业证书</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苏RQ-2024-A0020</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江苏省软件行业协会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2025-06-27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2026-06-27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CMMI证书</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CMMI成熟度等级五级</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2023-07-31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2026-07-31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信息安全管理体系认证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0350123IS30617R0M</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兴原认证中心有限公司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2023-07-06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2026-07-05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信息技术服务管理体系认证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0352023ITSM344R0CN</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兴原认证中心有限公司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2023-07-06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2026-07-05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质量管理体系认证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0350123Q30659R0M</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兴原认证中心有限公司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2023-06-19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2026-06-18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软件产品证书</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鑫合易家征信前置系统</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苏RC-2022-A3072</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江苏省软件行业协会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2022-12-29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2027-12-29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软件产品证书</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鑫合易家鑫零售软件</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苏RC-2022-A3071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江苏省软件行业协会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2022-12-29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2027-12-29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软件企业证书</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软件企业证书</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苏RQ-2020-A0743</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江苏省软件行业协会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2022-12-29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信息技术服务管理体系认证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0022020ITSM077R0CN</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方圆标志认证集团有限公司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2020-07-08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2023-07-07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过期失效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信息安全管理体系认证</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00220IS0145R0M</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方圆标志认证集团有限公司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2020-07-08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2023-07-07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过期失效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软件产品证书</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鑫合易家会务系统软件</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苏RC-2019-A2342</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江苏省软件行业协会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2019-10-16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2024-10-16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过期失效</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软件产品证书</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鑫合易家“鑫E家”同业合作平台软件</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苏RC-2019-A2341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江苏省软件行业协会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2019-10-16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2024-10-16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过期失效</w:t>
            </w:r>
          </w:p>
        </w:tc>
      </w:tr>
    </w:tbl>
    <w:p>
      <w:pPr>
        <w:pStyle w:val="Heading2"/>
        <w:spacing w:before="480" w:after="120"/>
        <w:ind w:firstLine="0"/>
        <w:jc w:val="left"/>
        <w:rPr>
          <w:rFonts w:ascii="微软雅黑" w:eastAsia="微软雅黑" w:hAnsi="微软雅黑" w:cs="微软雅黑"/>
          <w:b/>
          <w:color w:val="000000"/>
          <w:sz w:val="24"/>
          <w:u w:val="none"/>
        </w:rPr>
      </w:pPr>
      <w:bookmarkStart w:id="28" w:name="_Toc256000024"/>
      <w:r>
        <w:rPr>
          <w:rFonts w:ascii="微软雅黑" w:eastAsia="微软雅黑" w:hAnsi="微软雅黑" w:cs="微软雅黑"/>
          <w:b/>
          <w:color w:val="000000"/>
          <w:sz w:val="24"/>
          <w:u w:val="none"/>
        </w:rPr>
        <w:t>4.2 信用评价</w:t>
      </w:r>
      <w:bookmarkEnd w:id="28"/>
    </w:p>
    <w:p>
      <w:pPr>
        <w:pStyle w:val="Heading3"/>
        <w:spacing w:before="66" w:after="22"/>
        <w:ind w:firstLine="0"/>
        <w:jc w:val="left"/>
        <w:rPr>
          <w:rFonts w:ascii="微软雅黑" w:eastAsia="微软雅黑" w:hAnsi="微软雅黑" w:cs="微软雅黑"/>
          <w:b/>
          <w:color w:val="000000"/>
          <w:sz w:val="22"/>
          <w:u w:val="none"/>
        </w:rPr>
      </w:pPr>
      <w:bookmarkStart w:id="29" w:name="_Toc256000025"/>
      <w:r>
        <w:rPr>
          <w:rFonts w:ascii="微软雅黑" w:eastAsia="微软雅黑" w:hAnsi="微软雅黑" w:cs="微软雅黑"/>
          <w:b/>
          <w:color w:val="000000"/>
          <w:sz w:val="22"/>
          <w:u w:val="none"/>
        </w:rPr>
        <w:t>4.2.1 纳税信用等级 (5)</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3226"/>
        <w:gridCol w:w="2150"/>
        <w:gridCol w:w="1505"/>
        <w:gridCol w:w="301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23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纳税人识别号</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评价年度</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纳税信用等级</w:t>
            </w:r>
          </w:p>
        </w:tc>
        <w:tc>
          <w:tcPr>
            <w:tcW w:w="30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评价单位</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91320111MA1MQFT81P</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w:t>
            </w:r>
          </w:p>
        </w:tc>
        <w:tc>
          <w:tcPr>
            <w:tcW w:w="30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国家税务总局江苏省电子税务局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91320111MA1MQFT81P</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w:t>
            </w:r>
          </w:p>
        </w:tc>
        <w:tc>
          <w:tcPr>
            <w:tcW w:w="30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国家税务总局江苏省电子税务局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91320111MA1MQFT81P</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w:t>
            </w:r>
          </w:p>
        </w:tc>
        <w:tc>
          <w:tcPr>
            <w:tcW w:w="30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国家税务总局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91320111MA1MQFT81P</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w:t>
            </w:r>
          </w:p>
        </w:tc>
        <w:tc>
          <w:tcPr>
            <w:tcW w:w="30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国家税务总局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91320111MA1MQFT81P</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w:t>
            </w:r>
          </w:p>
        </w:tc>
        <w:tc>
          <w:tcPr>
            <w:tcW w:w="30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国家税务总局</w:t>
            </w:r>
          </w:p>
        </w:tc>
      </w:tr>
    </w:tbl>
    <w:p>
      <w:pPr>
        <w:pStyle w:val="Heading2"/>
        <w:spacing w:before="480" w:after="120"/>
        <w:ind w:firstLine="0"/>
        <w:jc w:val="left"/>
        <w:rPr>
          <w:rFonts w:ascii="微软雅黑" w:eastAsia="微软雅黑" w:hAnsi="微软雅黑" w:cs="微软雅黑"/>
          <w:b/>
          <w:color w:val="000000"/>
          <w:sz w:val="24"/>
          <w:u w:val="none"/>
        </w:rPr>
      </w:pPr>
      <w:bookmarkStart w:id="30" w:name="_Toc256000026"/>
      <w:r>
        <w:rPr>
          <w:rFonts w:ascii="微软雅黑" w:eastAsia="微软雅黑" w:hAnsi="微软雅黑" w:cs="微软雅黑"/>
          <w:b/>
          <w:color w:val="000000"/>
          <w:sz w:val="24"/>
          <w:u w:val="none"/>
        </w:rPr>
        <w:t>4.3 招投标 (82)</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2150"/>
        <w:gridCol w:w="1075"/>
        <w:gridCol w:w="861"/>
        <w:gridCol w:w="861"/>
        <w:gridCol w:w="1397"/>
        <w:gridCol w:w="1397"/>
        <w:gridCol w:w="1075"/>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项目名称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省份地区</w:t>
            </w:r>
          </w:p>
        </w:tc>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发布日期</w:t>
            </w:r>
          </w:p>
        </w:tc>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单位角色</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招采单位</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中标单位</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中标金额</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信息类型</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安徽省农村信用社联合社信息科技系统（交易类）开发及运维人员驻场服务供应商入围项目中标结果公告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安徽省|合肥市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2026-05-26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安徽省农村信用社联合社</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深圳市金证科技股份有限公司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安徽省农村信用社联合社信息科技系统（交易类）开发及运维人员驻场服务供应商入围项目中标结果公告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安徽省|合肥市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2026-05-26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安徽省农村信用社联合社</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更多29家详见官网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蚌埠农商银行贷前统一风控和自动化贷后系统项目中标候选人公示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安徽省|蚌埠市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2026-05-08</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蚌埠农村商业银行股份有限公司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安徽国信汇融科技有限公司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870000元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安徽省农村信用社联合社信息科技系统（交易类）开发及运维人员驻场服务供应商入围项目中标候选人公示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安徽省|合肥市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2026-05-06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安徽省农村信用社联合社</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建设零售客户关系管理系统项目（新建系统软件）中标（成交）结果公告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四川省|乐山市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2026-04-29</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乐山市商业银行股份有限公司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上海屹通信息科技发展有限公司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3450000.00元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新疆银行信息科技人力外包技术开发类专用资源池建设项目单一来源公示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新疆维吾尔自治区|乌鲁木齐市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2026-04-22</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新疆银行股份有限公司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更多36家详见官网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招标公告|招标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薪金贷半线上化咨询项目（二次）中标（成交）结果公告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四川省|乐山市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2026-04-21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乐山市商业银行股份有限公司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中科聚信信息技术（北京）有限公司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785000.00元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南京银行股份有限公司RPA流程机器人系统license框架采购项目-结果公示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江苏省|南京市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2026-04-10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公共数据流通利用基础设施-金融服务智慧风控应用场景建设项目中标候选人公示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湖南省|长沙市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2026-03-31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湖南数据产业集团有限公司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小微企业类贷款半线上化咨询采购项目中标（成交）结果公告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四川省|乐山市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2026-03-19</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乐山市商业银行股份有限公司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中科聚信信息技术（北京）有限公司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关于视频中台视频业务通话流量套餐包采购项目评标结果的公示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2026-03-17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福建省农村信用社联合社</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飞虎互动科技（北京）有限公司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24.8万元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机器人流程自动化（RPA）项目二期成交公告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辽宁省|鞍山市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2026-03-17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119.6万元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机器人流程自动化（RPA）项目二期单一来源采购邀请</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辽宁省|鞍山市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2026-03-06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招标公告|招标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郑州银行线上化科创产品项目中标结果公告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河南省|郑州市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2026-03-06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郑州银行股份有限公司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郑州银行线上化科创产品项目中标候选人公示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河南省|郑州市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2026-03-02</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郑州银行股份有限公司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鑫同业综合业务管理系统信创改造项目中标结果公告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2026-02-27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43.5万元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鑫同业综合业务管理系统信创改造项目中标候选人公示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2026-02-11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43.5万元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鞍山银行风控本地化回迁采购项目</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辽宁省|鞍山市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2026-01-16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490万元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RPA机器人流程自动化项目（二期建设） 成交结果公告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山东省|东营市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2026-01-07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东营银行股份有限公司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鞍山银行风控本地化回迁采购项目</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辽宁省|鞍山市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2025-12-31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招标公告|招标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关于视频中台接入腾讯公有IM技术改造服务项目评标结果的公示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2025-12-26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福建省农村信用社联合社</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飞虎互动科技（北京）有限公司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9.65万元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RPA机器人流程自动化项目（二期建设）单一来源采购公示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山东省|东营市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2025-12-25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东营银行股份有限公司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甘肃农担智能风控中台项目（二次）中标结果更正公告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甘肃省|兰州市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2025-12-10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甘肃省农业融资担保有限责任公司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钛镕智能科技（苏州）有限公司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中标公告|变更</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南京银行股份有限公司运营后督规则迁移及差异化额度管控等功能建设项目</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江苏省|南京市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2025-12-05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137.4万元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鑫云控SaaS风控服务采购项目成交公告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辽宁省|鞍山市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2025-10-31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49.5万元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山东省生态环境规划研究院生物多样性金融工具与政策可行性研究项目(2)成交公告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山东省|济南市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2025-10-24</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山东省生态环境规划研究院</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北京达道至简科技有限公司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19.7万元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科创企业评价体系项目中标结果公告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2025-10-21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138万元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东营银行科盈E贷二期改造项目中标结果公告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山东省|东营市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2025-10-20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东营银行股份有限公司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江苏鑫合易家信息科技有限责任公司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互联网贷款风控升级项目中标结果公告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2025-10-20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65.5万元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南京银行南京分行2025-2026年RPA机器人许可采购项目-结果公示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江苏省|南京市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2025-10-16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南京银行股份有限公司南京分行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131.82万元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科创企业评价体系项目中标候选人公示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2025-10-14</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138万元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江苏省农担公司AI智能审查项目中标结果公告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江苏省|南京市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2025-10-14</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江苏省农业融资担保有限责任公司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44.8万元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互联网贷款风控升级项目中标候选人公示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2025-10-13</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65.5万元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江苏省农担公司AI智能审查项目中标候选人公示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江苏省|南京市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2025-10-10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江苏省农业融资担保有限责任公司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44.8万元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东营银行科盈E贷二期改造项目单一来源采购公示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山东省|东营市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2025-09-30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东营银行股份有限公司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江苏鑫合易家信息科技有限责任公司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招标公告|招标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潍坊银行“鲁担e贷”产品采购项目成交结果公告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山东省|潍坊市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2025-09-23</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潍坊银行股份有限公司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甘肃农担智能风控中台项目（二次)中标公告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甘肃省|兰州市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2025-09-18</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甘肃省农业融资担保有限责任公司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钛镕智能科技（苏州）有限公司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261.78万元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潍坊银行潍企e贷产品采购项目中标公告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山东省|潍坊市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2025-09-03</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潍坊银行股份有限公司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135万元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西安银行股份有限公司科创线上贷款产品建设项目成交结果公示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陕西省|西安市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2025-08-20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西安银行股份有限公司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1470000.00元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南京银行股份有限公司零售移动一体化系统建设项目</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江苏省|南京市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2025-06-30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270万元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安徽省农村信用社联合社机器人流程自动化平台（二次）中标结果公告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安徽省|合肥市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2025-06-27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安徽省农村信用社联合社</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29万元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商会管理系统项目中标结果公告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2025-06-27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安徽省农村信用社联合社机器人流程自动化平台（二次）中标候选人公示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安徽省|合肥市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2025-06-23</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安徽省农村信用社联合社</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商会管理系统项目中标候选人公示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2025-06-17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福建海峡银行股份有限公司2025-2028年信息科技人力外协服务及外包业务测试人员项目（前台服务类）中标结果公示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2025-06-13</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更多1家详见官网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2.23万元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湖南银行股份有限公司综合管理部品牌宣传供应商2025年新增入库名单公告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湖南省</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2025-06-12</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湖南湘江银行股份有限公司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更多26家详见官网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福建海峡银行股份有限公司2025-2028年信息科技人力外协服务及外包业务测试人员项目（前台服务类）中标候选人公示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2025-06-05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上海安硕信息技术股份有限公司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2.23万元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江苏扬州农村商业银行股份有限公司RPA应用扩展建设项目中标候选人公示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江苏省|扬州市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2025-05-07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江苏扬州农村商业银行股份有限公司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达观数据有限公司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马鞍山农商银行机器人流程自动化（RPA）中标候选人公示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安徽省|马鞍山市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2025-04-30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安徽马鞍山农村商业银行股份有限公司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浙江实在智能科技有限公司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零售业务管理平台(二次）中标结果公告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2025-04-17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237万元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零售业务管理平台(二次）中标候选人公示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2025-04-08</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237万元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鞍山银行2024-2026科技人力外包服务框架采购项目（二次）中标结果公示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辽宁省|鞍山市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2024-12-27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更多1家详见官网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2024年度鑫同业综合管理系统外协人月服务项目（二次）中标结果公告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2024-12-24</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鞍山银行2024-2026科技人力外包服务框架采购项目（二次）中标候选人公示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辽宁省|鞍山市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2024-12-23</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更多1家详见官网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2024年度鑫同业综合管理系统外协人月服务项目（二次）中标候选人公示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2024-12-17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交通银行总行集中采购项目采购结果</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上海市|浦东新区</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2024-10-28</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投标单位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交通银行总行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飞虎互动科技（北京）有限公司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394.8万元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交通银行总行集中采购项目采购结果</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2024-09-26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交通银行总行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江苏润和软件股份有限公司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94.5万元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中标公告|开标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中山农村商业银行股份有限公司微信银行2.0采购项目评审结果公示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广东省|中山市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2024-08-29</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中山农村商业银行股份有限公司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210万元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移动展业项目房易贷、个体工商业贷款风控建模咨询服务采购中标（成交）结果公告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四川省|乐山市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2024-08-16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乐山市商业银行股份有限公司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新疆银行企业级RPA平台采购【重新招标】-中标候选人公示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新疆维吾尔自治区|乌鲁木齐市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2024-07-23</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新疆银行股份有限公司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江苏省农担公司电子签约平台项目成交结果公告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江苏省|南京市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2024-07-12</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江苏省农业融资担保有限责任公司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61万元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成都银行机器人流程自动化工具（RPA）采购项目成交结果公示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四川省|成都市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2024-05-31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成都银行股份有限公司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福建海峡银行股份有限公司互联网贷款风控服务项目中标结果公告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2024-05-29</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140万元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鑫智惠普惠金融信贷平台运维服务采购项目结果公告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辽宁省|鞍山市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2024-05-15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191万元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[非电子标]鑫智惠普惠金融信贷平台运维服务采购项目</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辽宁省|鞍山市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2024-05-07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交通银行总行集中采购项目采购结果</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2024-04-17</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交通银行总行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江苏润和软件股份有限公司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更多1家详见官网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47.334万元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鞍山银行二手房按揭贷款产品项目结果公告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辽宁省|鞍山市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2024-03-20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159万元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[非电子标]鞍山银行二手房按揭贷款产品项目</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辽宁省|鞍山市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2024-03-11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鞍山银行股份有限公司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69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鑫同业综合业务管理系统流程优化改造项目成交结果公示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2023-09-22</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鑫同业综合业务管理系统流程优化改造项目单一来源采购公示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2023-08-24</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招标公告|招标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福建海峡银行股份有限公司对公业务管理系统项目(结果公示)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2023-08-11</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北京宇信科技集团股份有限公司</w:t>
            </w:r>
            <w:r>
              <w:rPr>
                <w:rStyle w:val="DefaultParagraphFont"/>
                <w:rFonts w:ascii="微软雅黑" w:eastAsia="微软雅黑" w:hAnsi="微软雅黑" w:cs="微软雅黑"/>
                <w:b w:val="0"/>
                <w:color w:val="000000"/>
                <w:sz w:val="20"/>
                <w:u w:val="none"/>
              </w:rPr>
              <w:br/>
            </w:r>
            <w:r>
              <w:rPr>
                <w:rStyle w:val="DefaultParagraphFont"/>
                <w:rFonts w:ascii="微软雅黑" w:eastAsia="微软雅黑" w:hAnsi="微软雅黑" w:cs="微软雅黑"/>
                <w:b w:val="0"/>
                <w:color w:val="ED7D31"/>
                <w:sz w:val="16"/>
                <w:szCs w:val="16"/>
                <w:u w:val="none"/>
              </w:rPr>
              <w:t>更多1家详见官网</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372万元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2023-2024年度互联网贷款风控服务项目成交结果公示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2023-05-24</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73</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福建海峡银行股份有限公司零售业务管理平台项目中标结果公示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2023-02-20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368万元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74</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福建海峡银行股份有限公司零售业务管理平台项目中标候选人公示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福建省|福州市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2023-02-16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福建海峡银行股份有限公司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368万元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75</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龙江银行--RPA流程自动化系统采购项目-变更公告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黑龙江省|哈尔滨市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2023-02-05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龙江银行股份有限公司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中标公告|变更</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76</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龙江银行--RPA流程自动化系统采购项目废标公示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黑龙江省|哈尔滨市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2023-02-03</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提及单位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龙江银行股份有限公司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中标公告|废标流标终止</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77</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内蒙古银行风控决策引擎相关系统建设项目中标候选人公示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内蒙古自治区|呼和浩特市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2023-01-16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内蒙古银行股份有限公司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325万元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中标公告|中标候选</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78</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消费贷项目单一来源采购公示</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安徽省|合肥市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2022-05-10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合肥科技农村商业银行股份有限公司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招标公告|招标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79</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甘肃银行股份有限公司小甘微厅项目成交公告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甘肃省|兰州市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2022-05-05</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甘肃银行股份有限公司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53万元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80</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齐鲁银行RPA机器人项目研发人员外包项目</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山东省|济南市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2022-04-20</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齐鲁银行</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81</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南京银行股份有限公司新建直销微信小程序及H5系统（理财子公司）项目</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江苏省|南京市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2020-12-29</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南京银行股份有限公司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82</w:t>
            </w:r>
          </w:p>
        </w:tc>
        <w:tc>
          <w:tcPr>
            <w:tcW w:w="2154"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贵阳银行视频银行多媒体平台项目中标公告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贵州省|贵阳市</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2019-12-16</w:t>
            </w:r>
          </w:p>
        </w:tc>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中标单位</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贵阳银行股份有限公司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152.5万元</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中标公告|中标成交</w:t>
            </w:r>
          </w:p>
        </w:tc>
      </w:tr>
    </w:tbl>
    <w:p>
      <w:pPr>
        <w:pStyle w:val="Heading2"/>
        <w:spacing w:before="480" w:after="120"/>
        <w:ind w:firstLine="0"/>
        <w:jc w:val="left"/>
        <w:rPr>
          <w:rFonts w:ascii="微软雅黑" w:eastAsia="微软雅黑" w:hAnsi="微软雅黑" w:cs="微软雅黑"/>
          <w:b/>
          <w:color w:val="000000"/>
          <w:sz w:val="24"/>
          <w:u w:val="none"/>
        </w:rPr>
      </w:pPr>
      <w:bookmarkStart w:id="31" w:name="_Toc256000027"/>
      <w:r>
        <w:rPr>
          <w:rFonts w:ascii="微软雅黑" w:eastAsia="微软雅黑" w:hAnsi="微软雅黑" w:cs="微软雅黑"/>
          <w:b/>
          <w:color w:val="000000"/>
          <w:sz w:val="24"/>
          <w:u w:val="none"/>
        </w:rPr>
        <w:t>4.4 招聘 (49)</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398"/>
        <w:gridCol w:w="2365"/>
        <w:gridCol w:w="1613"/>
        <w:gridCol w:w="1505"/>
        <w:gridCol w:w="1613"/>
        <w:gridCol w:w="139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发布日期</w:t>
            </w:r>
          </w:p>
        </w:tc>
        <w:tc>
          <w:tcPr>
            <w:tcW w:w="237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招聘职位</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月薪</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学历</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经验</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办公地点</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2025-12-26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运维工程师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15-20K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5-10年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2025-12-23</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前端开发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12-15K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2025-12-19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python开发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9-12K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2025-11-26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ui设计</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10-15K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2025-11-19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Java开发工程师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13-16K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2025-11-07</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Java开发（初级）</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12-16K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2025-04-25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产品经理</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10-15K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2025-04-12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产品经理（普惠）</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14-15K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2025-04-02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大数据开发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16-22K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5-10年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2025-04-02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Java开发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10-15K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2024-12-18</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销售助理</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7-10k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2024-08-29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大客户销售</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6-9k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统招本科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2024-08-29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数据开发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11-16K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2024-08-19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鸿蒙开发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15-25K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2024-08-19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销售经理</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14-28K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2024-08-17</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销售经理</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10-15K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经验不限</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2024-06-21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供应链金融产品经理</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15-20K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2024-06-15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Java开发工程师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13-22K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2024-06-15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Python开发工程师</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13-20K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5-10年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2024-06-15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销售经理</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14-28K</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本科</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3-5年</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w:t>
            </w:r>
          </w:p>
        </w:tc>
      </w:tr>
    </w:tbl>
    <w:p>
      <w:pPr>
        <w:spacing w:before="54" w:after="18"/>
        <w:ind w:firstLine="0"/>
        <w:jc w:val="left"/>
        <w:rPr>
          <w:rFonts w:ascii="微软雅黑" w:eastAsia="微软雅黑" w:hAnsi="微软雅黑" w:cs="微软雅黑"/>
          <w:b w:val="0"/>
          <w:color w:val="808080"/>
          <w:sz w:val="18"/>
          <w:u w:val="none"/>
        </w:rPr>
      </w:pPr>
      <w:r>
        <w:rPr>
          <w:rFonts w:ascii="微软雅黑" w:eastAsia="微软雅黑" w:hAnsi="微软雅黑" w:cs="微软雅黑"/>
          <w:b w:val="0"/>
          <w:color w:val="808080"/>
          <w:sz w:val="18"/>
          <w:u w:val="none"/>
        </w:rPr>
        <w:t>此维度共计49条记录，当前报告中显示20条，如需更多请登录官方网站进行查询。</w:t>
      </w:r>
    </w:p>
    <w:p>
      <w:pPr>
        <w:pStyle w:val="Heading2"/>
        <w:spacing w:before="480" w:after="120"/>
        <w:ind w:firstLine="0"/>
        <w:jc w:val="left"/>
        <w:rPr>
          <w:rFonts w:ascii="微软雅黑" w:eastAsia="微软雅黑" w:hAnsi="微软雅黑" w:cs="微软雅黑"/>
          <w:b/>
          <w:color w:val="000000"/>
          <w:sz w:val="24"/>
          <w:u w:val="none"/>
        </w:rPr>
      </w:pPr>
      <w:bookmarkStart w:id="32" w:name="_Toc256000028"/>
      <w:r>
        <w:rPr>
          <w:rFonts w:ascii="微软雅黑" w:eastAsia="微软雅黑" w:hAnsi="微软雅黑" w:cs="微软雅黑"/>
          <w:b/>
          <w:color w:val="000000"/>
          <w:sz w:val="24"/>
          <w:u w:val="none"/>
        </w:rPr>
        <w:t>4.5 行政许可 (5)</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613"/>
        <w:gridCol w:w="1613"/>
        <w:gridCol w:w="1075"/>
        <w:gridCol w:w="1075"/>
        <w:gridCol w:w="1291"/>
        <w:gridCol w:w="2150"/>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决定文书/许可编号</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决定文书/许可证名称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有效期自</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有效期至</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许可机关</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许可内容</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数据来源单位</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(01112078)公司变更〔2017〕第08090006号</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2017-08-09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南京市浦口区市场监督管理局</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企业名称：江苏鑫合易家信息技术有限责任公司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〔01119012〕公司备案〔2022〕第06140004号</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公司备案</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2016-07-27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2099-12-31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南京市浦口区市场监督管理局</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公司备案</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江苏省市场监督管理局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(01110090)公司设立〔2016〕第07270012号</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2016-07-27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南京市浦口区市场监督管理局</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企业名称：江苏鑫合易家信息技术有限责任公司</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〔01119049〕公司备案〔2022〕第09220001号</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公司备案</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2016-07-27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2099-12-31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南京市浦口区行政审批局</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公司备案</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江苏省市场监督管理局</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〔01119009〕公司备案〔2020〕第09160003号</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公司备案</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2016-07-27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2099-12-31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南京市浦口区市场监督管理局</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公司备案</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江苏省市场监督管理局</w:t>
            </w:r>
          </w:p>
        </w:tc>
      </w:tr>
    </w:tbl>
    <w:p>
      <w:pPr>
        <w:pStyle w:val="Heading2"/>
        <w:spacing w:before="480" w:after="120"/>
        <w:ind w:firstLine="0"/>
        <w:jc w:val="left"/>
        <w:rPr>
          <w:rFonts w:ascii="微软雅黑" w:eastAsia="微软雅黑" w:hAnsi="微软雅黑" w:cs="微软雅黑"/>
          <w:b/>
          <w:color w:val="000000"/>
          <w:sz w:val="24"/>
          <w:u w:val="none"/>
        </w:rPr>
      </w:pPr>
      <w:bookmarkStart w:id="33" w:name="_Toc256000029"/>
      <w:r>
        <w:rPr>
          <w:rFonts w:ascii="微软雅黑" w:eastAsia="微软雅黑" w:hAnsi="微软雅黑" w:cs="微软雅黑"/>
          <w:b/>
          <w:color w:val="000000"/>
          <w:sz w:val="24"/>
          <w:u w:val="none"/>
        </w:rPr>
        <w:t>4.6 客户 (20)</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3655"/>
        <w:gridCol w:w="2150"/>
        <w:gridCol w:w="1936"/>
        <w:gridCol w:w="21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6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客户</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销售金额(万元)</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公开日期</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数据来源</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安徽省农村信用社联合社</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2026-05-26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新疆银行股份有限公司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2026-04-22</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2026-04-10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鞍山银行股份有限公司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119.6</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2026-03-17</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郑州银行股份有限公司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68</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2026-03-06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福建海峡银行股份有限公司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43.5</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2026-02-27</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东营银行股份有限公司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25</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2026-01-07</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南京银行股份有限公司南京分行</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131.82</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2025-10-16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江苏省农业融资担保有限责任公司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44.8</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2025-10-10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潍坊银行股份有限公司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40</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2025-09-23</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西安银行股份有限公司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147</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2025-08-20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中山农村商业银行股份有限公司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210</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2024-08-29</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乐山市商业银行股份有限公司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50</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2024-08-16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成都银行股份有限公司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2024-05-31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内蒙古银行股份有限公司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325</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2023-01-16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合肥科技农村商业银行股份有限公司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2022-05-10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甘肃银行股份有限公司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53</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2022-05-05</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齐鲁银行股份有限公司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2022-04-20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招投标</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江苏金融租赁股份有限公司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26.2</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企业公告</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w:t>
            </w:r>
          </w:p>
        </w:tc>
        <w:tc>
          <w:tcPr>
            <w:tcW w:w="36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贵阳银行股份有限公司</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152.5</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2019-12-17</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企业公告</w:t>
            </w:r>
          </w:p>
        </w:tc>
      </w:tr>
    </w:tbl>
    <w:p>
      <w:pPr>
        <w:pStyle w:val="Heading2"/>
        <w:spacing w:before="480" w:after="120"/>
        <w:ind w:firstLine="0"/>
        <w:jc w:val="left"/>
        <w:rPr>
          <w:rFonts w:ascii="微软雅黑" w:eastAsia="微软雅黑" w:hAnsi="微软雅黑" w:cs="微软雅黑"/>
          <w:b/>
          <w:color w:val="000000"/>
          <w:sz w:val="24"/>
          <w:u w:val="none"/>
        </w:rPr>
      </w:pPr>
      <w:bookmarkStart w:id="34" w:name="_Toc256000030"/>
      <w:r>
        <w:rPr>
          <w:rFonts w:ascii="微软雅黑" w:eastAsia="微软雅黑" w:hAnsi="微软雅黑" w:cs="微软雅黑"/>
          <w:b/>
          <w:color w:val="000000"/>
          <w:sz w:val="24"/>
          <w:u w:val="none"/>
        </w:rPr>
        <w:t>4.7 纳税人资质 (1)</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935"/>
        <w:gridCol w:w="1935"/>
        <w:gridCol w:w="2365"/>
        <w:gridCol w:w="1291"/>
        <w:gridCol w:w="1291"/>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纳税人识别号</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纳税人资格类型</w:t>
            </w:r>
          </w:p>
        </w:tc>
        <w:tc>
          <w:tcPr>
            <w:tcW w:w="237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主管税务机关</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有效期起</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有效期止</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状态</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91320111MA1MQFT81P</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一般纳税人</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国家税务总局南京市浦口区税务局</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2016-08-01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9999-12-31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有效</w:t>
            </w:r>
          </w:p>
        </w:tc>
      </w:tr>
    </w:tbl>
    <w:p>
      <w:pPr>
        <w:pStyle w:val="Heading1"/>
        <w:spacing w:before="600" w:after="150"/>
        <w:ind w:firstLine="0"/>
        <w:jc w:val="left"/>
        <w:rPr>
          <w:rFonts w:ascii="微软雅黑" w:eastAsia="微软雅黑" w:hAnsi="微软雅黑" w:cs="微软雅黑"/>
          <w:b/>
          <w:color w:val="000000"/>
          <w:sz w:val="30"/>
          <w:u w:val="none"/>
        </w:rPr>
      </w:pPr>
      <w:bookmarkStart w:id="35" w:name="_Toc256000031"/>
      <w:r>
        <w:rPr>
          <w:rFonts w:ascii="微软雅黑" w:eastAsia="微软雅黑" w:hAnsi="微软雅黑" w:cs="微软雅黑"/>
          <w:b/>
          <w:color w:val="000000"/>
          <w:sz w:val="30"/>
          <w:u w:val="none"/>
        </w:rPr>
        <w:t>5 企业发展</w:t>
      </w:r>
      <w:bookmarkEnd w:id="35"/>
    </w:p>
    <w:p>
      <w:pPr>
        <w:pStyle w:val="Heading2"/>
        <w:spacing w:before="72" w:after="24"/>
        <w:ind w:firstLine="0"/>
        <w:jc w:val="left"/>
        <w:rPr>
          <w:rFonts w:ascii="微软雅黑" w:eastAsia="微软雅黑" w:hAnsi="微软雅黑" w:cs="微软雅黑"/>
          <w:b/>
          <w:color w:val="000000"/>
          <w:sz w:val="24"/>
          <w:u w:val="none"/>
        </w:rPr>
      </w:pPr>
      <w:bookmarkStart w:id="36" w:name="_Toc256000032"/>
      <w:r>
        <w:rPr>
          <w:rFonts w:ascii="微软雅黑" w:eastAsia="微软雅黑" w:hAnsi="微软雅黑" w:cs="微软雅黑"/>
          <w:b/>
          <w:color w:val="000000"/>
          <w:sz w:val="24"/>
          <w:u w:val="none"/>
        </w:rPr>
        <w:t>5.1 核心人员 (2)</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291"/>
        <w:gridCol w:w="1613"/>
        <w:gridCol w:w="698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姓名</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职位</w:t>
            </w:r>
          </w:p>
        </w:tc>
        <w:tc>
          <w:tcPr>
            <w:tcW w:w="700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简介</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韩天宁</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监事</w:t>
            </w:r>
          </w:p>
        </w:tc>
        <w:tc>
          <w:tcPr>
            <w:tcW w:w="700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陈鸣</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董事，总经理</w:t>
            </w:r>
          </w:p>
        </w:tc>
        <w:tc>
          <w:tcPr>
            <w:tcW w:w="700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苏宁消费金融总经理陈鸣已于7月离开苏宁消金，回到母行南京银行。</w:t>
            </w:r>
          </w:p>
        </w:tc>
      </w:tr>
    </w:tbl>
    <w:p>
      <w:pPr>
        <w:pStyle w:val="Heading2"/>
        <w:spacing w:before="480" w:after="120"/>
        <w:ind w:firstLine="0"/>
        <w:jc w:val="left"/>
        <w:rPr>
          <w:rFonts w:ascii="微软雅黑" w:eastAsia="微软雅黑" w:hAnsi="微软雅黑" w:cs="微软雅黑"/>
          <w:b/>
          <w:color w:val="000000"/>
          <w:sz w:val="24"/>
          <w:u w:val="none"/>
        </w:rPr>
      </w:pPr>
      <w:bookmarkStart w:id="37" w:name="_Toc256000033"/>
      <w:r>
        <w:rPr>
          <w:rFonts w:ascii="微软雅黑" w:eastAsia="微软雅黑" w:hAnsi="微软雅黑" w:cs="微软雅黑"/>
          <w:b/>
          <w:color w:val="000000"/>
          <w:sz w:val="24"/>
          <w:u w:val="none"/>
        </w:rPr>
        <w:t>5.2 企业业务 (1)</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076"/>
        <w:gridCol w:w="1075"/>
        <w:gridCol w:w="1075"/>
        <w:gridCol w:w="1075"/>
        <w:gridCol w:w="1075"/>
        <w:gridCol w:w="45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产品图片</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产品名</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当前轮次</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成立日期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所属城市</w:t>
            </w:r>
          </w:p>
        </w:tc>
        <w:tc>
          <w:tcPr>
            <w:tcW w:w="45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产品介绍</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1" name=""/>
                  <wp:cNvGraphicFramePr/>
                  <a:graphic xmlns:a="http://schemas.openxmlformats.org/drawingml/2006/main">
                    <a:graphicData uri="http://schemas.openxmlformats.org/drawingml/2006/picture">
                      <pic:pic xmlns:pic="http://schemas.openxmlformats.org/drawingml/2006/picture">
                        <pic:nvPicPr>
                          <pic:cNvPr id="100021" name=""/>
                          <pic:cNvPicPr/>
                        </pic:nvPicPr>
                        <pic:blipFill>
                          <a:blip xmlns:r="http://schemas.openxmlformats.org/officeDocument/2006/relationships" r:embed="rId18"/>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2016-07-27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w:t>
            </w:r>
          </w:p>
        </w:tc>
        <w:tc>
          <w:tcPr>
            <w:tcW w:w="45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信息技术有限责任公司，“鑫合易家”是一家以金融为基础，以科技为手段，以服务为宗旨，面向金融机构的科技服务公司。公司以提供创新型的金融服务为前提，充分利用互联网技术、大数据应用技术、云计算技术、区块链等技术手段，为广大中小金融机构提供安全、专业、高效、丰富的科技与金融服务。公司未来将主要开展三大业务：首先，实现金融机构同业合作的“互联网+”。针对金融机构的业务合作需求，重构业务场景，打造“鑫e家”同业合作互联网平台，将金融同业合作的各项业务从线下搬到线上，消除信息不对称，提升业务交易效率，降低业务风险，让金融机构开展同业合作更加方便、高效、规范，形成金融同业机构合作共赢的互联网平台生态圈；其次，针对中小金融机构的科技短板，将挖掘其共性的科技需求，提供标准化的科技产品服务以及云服务等，重点聚焦于金融市场的各类业务系统，并提供针对性的科技咨询、培训等金融服务；此外，未来将利用客户优势及金融服务能力，整合多方资源，提供金融培训、咨询服务、业务撮合，打造中小金融机构的一揽子专业金融解决方案。</w:t>
            </w:r>
          </w:p>
        </w:tc>
      </w:tr>
    </w:tbl>
    <w:p>
      <w:pPr>
        <w:pStyle w:val="Heading2"/>
        <w:spacing w:before="480" w:after="120"/>
        <w:ind w:firstLine="0"/>
        <w:jc w:val="left"/>
        <w:rPr>
          <w:rFonts w:ascii="微软雅黑" w:eastAsia="微软雅黑" w:hAnsi="微软雅黑" w:cs="微软雅黑"/>
          <w:b/>
          <w:color w:val="000000"/>
          <w:sz w:val="24"/>
          <w:u w:val="none"/>
        </w:rPr>
      </w:pPr>
      <w:bookmarkStart w:id="38" w:name="_Toc256000034"/>
      <w:r>
        <w:rPr>
          <w:rFonts w:ascii="微软雅黑" w:eastAsia="微软雅黑" w:hAnsi="微软雅黑" w:cs="微软雅黑"/>
          <w:b/>
          <w:color w:val="000000"/>
          <w:sz w:val="24"/>
          <w:u w:val="none"/>
        </w:rPr>
        <w:t>5.3 竞品信息 (20)</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1075"/>
        <w:gridCol w:w="1075"/>
        <w:gridCol w:w="1075"/>
        <w:gridCol w:w="1075"/>
        <w:gridCol w:w="1075"/>
        <w:gridCol w:w="3225"/>
        <w:gridCol w:w="129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产品图片</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产品名</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当前轮次</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成立日期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所属城市</w:t>
            </w:r>
          </w:p>
        </w:tc>
        <w:tc>
          <w:tcPr>
            <w:tcW w:w="323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产品介绍</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所属企业</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惠米科技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2015-12-17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浙江省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杭州惠米信息科技有限公司，是一家以互联网金融科技整体解决方案及软件产品为核心、标准化管理的创新型科技企业。公司成立以来，秉承着以技术为驱动力，致力于为证券、银行、基金、信托、保险、交易所、私募等机构提供整体解决方案。同时服务范围涉及到区块链、电商、O2O、供应链、在线教育、智慧城市、企业OA等众多领域，累计为100多家金融机构提供了整体金融解决方案。</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杭州惠米信息科技有限公司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2" name=""/>
                  <wp:cNvGraphicFramePr/>
                  <a:graphic xmlns:a="http://schemas.openxmlformats.org/drawingml/2006/main">
                    <a:graphicData uri="http://schemas.openxmlformats.org/drawingml/2006/picture">
                      <pic:pic xmlns:pic="http://schemas.openxmlformats.org/drawingml/2006/picture">
                        <pic:nvPicPr>
                          <pic:cNvPr id="100022" name=""/>
                          <pic:cNvPicPr/>
                        </pic:nvPicPr>
                        <pic:blipFill>
                          <a:blip xmlns:r="http://schemas.openxmlformats.org/officeDocument/2006/relationships" r:embed="rId19"/>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众合鑫</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2016-02-24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众合鑫公司致力于为金融行业客户提供一站式互联网营销解决方案，为全球用户提供24小时移动金融服务的科技企业，目前在国内提供移动商务服务、金融信息服务，金融技术服务。</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北京众合鑫科技有限公司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支点信融</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2014-07-09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支点信融”是首批创新式金融集成信息服务平台，其运营主体是沛秀投资咨询（上海）有限公司。依托互联网平台、先进技术、专业金融团队，以信息撮合为核心，一端对接有投资理财需求的各类理财者，提供安全、便捷、收益可观的理财方式，一端对接有融资需求的中小微企业，提供专业、便捷、高效的融资渠道，打破金融信息不对称壁垒，打造透明化、市场化金融信息服务机制，提供高效率、一站式金融信息精准服务，并不断探索互联网金融服务模式，推动直接融资，践行普惠金融，服务中国实体经济发展的国家战略的互联网金融科技公司。</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沛秀投资咨询（上海）有限公司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禾盟通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2017-04-11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福建省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福建合码通信息服务有限责任公司旗下的禾盟通是国内前沿的金融科技解决方案提供商，致力于为企业、银行及金融机构提供专业的金融信息技术服务，公司产品包括收银台、APP、一码付等基于账户、信用鉴权类的金融基础核心产品，提供资金存管、现金管理、供应链金融等一站式金融云解决方案。</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福建合码通信息服务有限责任公司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3" name=""/>
                  <wp:cNvGraphicFramePr/>
                  <a:graphic xmlns:a="http://schemas.openxmlformats.org/drawingml/2006/main">
                    <a:graphicData uri="http://schemas.openxmlformats.org/drawingml/2006/picture">
                      <pic:pic xmlns:pic="http://schemas.openxmlformats.org/drawingml/2006/picture">
                        <pic:nvPicPr>
                          <pic:cNvPr id="100023" name=""/>
                          <pic:cNvPicPr/>
                        </pic:nvPicPr>
                        <pic:blipFill>
                          <a:blip xmlns:r="http://schemas.openxmlformats.org/officeDocument/2006/relationships" r:embed="rId20"/>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启迪金科</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2017-07-05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启迪金科是一个金融科技服务平台，利用互联网和大数据手段，为科技企业、金融机构、金融从业者提供信息咨询等综合服务，致力于通过科技手段提升金融服务能力，服务于金融两端，一端服务中小微企业和双创企业，一端服务各类金融机构，在资金需求方与资金供给方之间提供有别于传统银行业和证券市场的新渠道，提高资金融通的效率，通过大数据分析解决信息不对称和信用问题，提供更有针对性的特色服务和更多样化的产品。</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启迪金科（北京）科技股份有限公司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4" name=""/>
                  <wp:cNvGraphicFramePr/>
                  <a:graphic xmlns:a="http://schemas.openxmlformats.org/drawingml/2006/main">
                    <a:graphicData uri="http://schemas.openxmlformats.org/drawingml/2006/picture">
                      <pic:pic xmlns:pic="http://schemas.openxmlformats.org/drawingml/2006/picture">
                        <pic:nvPicPr>
                          <pic:cNvPr id="100024" name=""/>
                          <pic:cNvPicPr/>
                        </pic:nvPicPr>
                        <pic:blipFill>
                          <a:blip xmlns:r="http://schemas.openxmlformats.org/officeDocument/2006/relationships" r:embed="rId21"/>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广融理财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2015-07-28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浙江省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杭州广融信息技术有限公司专注于提供金融互助服务，秉承智慧融资，放心理财的理念，致力于提供一个高效、低成本的互助融资平台。公司为广大客户提供高品质的金融信息技术专业化服务，致力于为所有投资人提供完善的金融交易服务体系。</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杭州广融信息技术有限公司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5" name=""/>
                  <wp:cNvGraphicFramePr/>
                  <a:graphic xmlns:a="http://schemas.openxmlformats.org/drawingml/2006/main">
                    <a:graphicData uri="http://schemas.openxmlformats.org/drawingml/2006/picture">
                      <pic:pic xmlns:pic="http://schemas.openxmlformats.org/drawingml/2006/picture">
                        <pic:nvPicPr>
                          <pic:cNvPr id="100025" name=""/>
                          <pic:cNvPicPr/>
                        </pic:nvPicPr>
                        <pic:blipFill>
                          <a:blip xmlns:r="http://schemas.openxmlformats.org/officeDocument/2006/relationships" r:embed="rId22"/>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乐富金融Lefucn</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2012-11-22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天津市</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乐富金融Lefucn结合互联网与金融业的创新与发展，融合国、内外先进信息和金融技术，联合众多金融机构共同为客户提供专业金融服务。</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天津乐富金融服务有限公司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6" name=""/>
                  <wp:cNvGraphicFramePr/>
                  <a:graphic xmlns:a="http://schemas.openxmlformats.org/drawingml/2006/main">
                    <a:graphicData uri="http://schemas.openxmlformats.org/drawingml/2006/picture">
                      <pic:pic xmlns:pic="http://schemas.openxmlformats.org/drawingml/2006/picture">
                        <pic:nvPicPr>
                          <pic:cNvPr id="100026" name=""/>
                          <pic:cNvPicPr/>
                        </pic:nvPicPr>
                        <pic:blipFill>
                          <a:blip xmlns:r="http://schemas.openxmlformats.org/officeDocument/2006/relationships" r:embed="rId23"/>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金电信科</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1992-09-04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北京市</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金电信科聚焦金融信创和监管科技领域，为金融行业提供安全、高效、稳定的金融机具、应用软件、咨询、系统集成、部署实施等产品和服务。</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金电信息科技（北京）有限责任公司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小远科技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天使轮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2016-11-14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浙江省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小远科技有限公司致力于金融信息化、自动化、互联网化领域的高端技术研究。为证券期货行业的交易所、经纪公司、投资公司、交易团队等定制高技术含量的交易平台，同时也为证券期货行业提供产品化的客户交易软件。</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远大生物农业有限公司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7" name=""/>
                  <wp:cNvGraphicFramePr/>
                  <a:graphic xmlns:a="http://schemas.openxmlformats.org/drawingml/2006/main">
                    <a:graphicData uri="http://schemas.openxmlformats.org/drawingml/2006/picture">
                      <pic:pic xmlns:pic="http://schemas.openxmlformats.org/drawingml/2006/picture">
                        <pic:nvPicPr>
                          <pic:cNvPr id="100027" name=""/>
                          <pic:cNvPicPr/>
                        </pic:nvPicPr>
                        <pic:blipFill>
                          <a:blip xmlns:r="http://schemas.openxmlformats.org/officeDocument/2006/relationships" r:embed="rId24"/>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深圳通联金融</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2009-03-09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广东省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深圳通联金融网络科技服务有限公司主要从事金融行业远程服务中心、金融创新支付、金融理财产品、互联网金融微电商等业务，承接了多家商业银行的金融服务类业务，是商业银行的战略合作伙伴。</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深圳通联金融网络科技服务有限公司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珏诚科技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2018-03-08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珏诚科技是一家专业从事科技金融服务的技术企业。公司定位于金融+科技，与银行深度合作，线上业务系统建设+客户推介，为银行及其客户提供一站式解决方案。</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上海珏诚信息科技有限公司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8" name=""/>
                  <wp:cNvGraphicFramePr/>
                  <a:graphic xmlns:a="http://schemas.openxmlformats.org/drawingml/2006/main">
                    <a:graphicData uri="http://schemas.openxmlformats.org/drawingml/2006/picture">
                      <pic:pic xmlns:pic="http://schemas.openxmlformats.org/drawingml/2006/picture">
                        <pic:nvPicPr>
                          <pic:cNvPr id="100028" name=""/>
                          <pic:cNvPicPr/>
                        </pic:nvPicPr>
                        <pic:blipFill>
                          <a:blip xmlns:r="http://schemas.openxmlformats.org/officeDocument/2006/relationships" r:embed="rId25"/>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易企银</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2018-11-29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易企银是一家金融服务平台运营商，依托在区块链、物联网、云计算、大数据、人工智能等前沿技术的强大研发实力，致力于为客户提供各类金融科技产品及服务，包括金融软件应用研发、平台运营、新技术研发与应用等。</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苏州大陆智源机器人科技有限公司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基联网络</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2017-04-05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广东省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深圳基联网络科技有限公司是一家拥有丰富互联网产品研发、运营经验的金融科技公司，致力于为银行、基金、证券以及信托等行业提供技术及运营服务，专注实施金融电商平台、货币基金支付、银行代收付平台、证券投顾业务平台、消费金融服务、网络与信息安全等领域的金融科技解决方案。</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深圳基联网络科技有限公司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29" name=""/>
                  <wp:cNvGraphicFramePr/>
                  <a:graphic xmlns:a="http://schemas.openxmlformats.org/drawingml/2006/main">
                    <a:graphicData uri="http://schemas.openxmlformats.org/drawingml/2006/picture">
                      <pic:pic xmlns:pic="http://schemas.openxmlformats.org/drawingml/2006/picture">
                        <pic:nvPicPr>
                          <pic:cNvPr id="100029" name=""/>
                          <pic:cNvPicPr/>
                        </pic:nvPicPr>
                        <pic:blipFill>
                          <a:blip xmlns:r="http://schemas.openxmlformats.org/officeDocument/2006/relationships" r:embed="rId26"/>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钛镕科技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A轮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2015-08-07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钛镕科技致力于为金融机构提供互联网大数据风控平台服务，运用大数据挖掘模型来评估信贷主体的信用状况，将机器学习领域较成熟的技术创造性地应用于传统信贷风险管理领域，有效提高金融机构风控管理水平。</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江苏泰融数智科技有限公司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30" name=""/>
                  <wp:cNvGraphicFramePr/>
                  <a:graphic xmlns:a="http://schemas.openxmlformats.org/drawingml/2006/main">
                    <a:graphicData uri="http://schemas.openxmlformats.org/drawingml/2006/picture">
                      <pic:pic xmlns:pic="http://schemas.openxmlformats.org/drawingml/2006/picture">
                        <pic:nvPicPr>
                          <pic:cNvPr id="100030" name=""/>
                          <pic:cNvPicPr/>
                        </pic:nvPicPr>
                        <pic:blipFill>
                          <a:blip xmlns:r="http://schemas.openxmlformats.org/officeDocument/2006/relationships" r:embed="rId27"/>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金恒创智</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2015-09-16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广东省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深圳金恒创智信息技术有限公司，是一家高科技、创新型互联网金融企业。公司成立于2015年，总部位于深圳南山区科技园繁华地带。本着技术改变金融的理念，立足于资产管理和金融服务平台，专注于为银行、证券、信托、私募、基金等金融机构提供一流的服务和最佳的解决方案。产品涵盖当前市场主流的金融资产管理业务，同时提供个性化的交易前端及清算、估值、TA等后台业务，满足投资者多元化财富管理需求。公司发展迅猛，目前拥有员工近300人，其中本科以上学历人员占80%，核心团队均为互联网金融行业的资深从业人员，在软件研发、技术创新、业务拓展、系统维护和产品服务等方面，具备雄厚的实力，能为客户持续创造关键价值。以科技为眼，以世界为窗，以用户价值为本，金恒创智不断创新，努力打造成为较专业的金融生态系统平台，为广大金融机构提供高水平、定制化的成套解决方案。使命技术改变金融愿景改变金融系统环境，提供较专业的金融生态系统平台核心价值观专业、合作、诚信、创新</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深圳金恒创智信息技术有限公司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31" name=""/>
                  <wp:cNvGraphicFramePr/>
                  <a:graphic xmlns:a="http://schemas.openxmlformats.org/drawingml/2006/main">
                    <a:graphicData uri="http://schemas.openxmlformats.org/drawingml/2006/picture">
                      <pic:pic xmlns:pic="http://schemas.openxmlformats.org/drawingml/2006/picture">
                        <pic:nvPicPr>
                          <pic:cNvPr id="100031" name=""/>
                          <pic:cNvPicPr/>
                        </pic:nvPicPr>
                        <pic:blipFill>
                          <a:blip xmlns:r="http://schemas.openxmlformats.org/officeDocument/2006/relationships" r:embed="rId28"/>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金网信通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2017-07-25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辽宁省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金网信通（大连）信息技术有限公司是从事应用系统开发、信息安全服务的技术企业，始终致力于服务金融机构，以支付为核心、提供“互联网+科技+金融”的金融科技解决方案创新型科技企业。</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金网信通（大连）信息技术有限公司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仟链科技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天使轮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2018-05-10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广东省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仟链科技是一家供应链金融科技公司，借助新兴科技手段建设垂直行业信用生态圈，为金融机构与实体产业之间搭建信息服务平台。</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深圳仟链数字科技有限公司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32" name=""/>
                  <wp:cNvGraphicFramePr/>
                  <a:graphic xmlns:a="http://schemas.openxmlformats.org/drawingml/2006/main">
                    <a:graphicData uri="http://schemas.openxmlformats.org/drawingml/2006/picture">
                      <pic:pic xmlns:pic="http://schemas.openxmlformats.org/drawingml/2006/picture">
                        <pic:nvPicPr>
                          <pic:cNvPr id="100032" name=""/>
                          <pic:cNvPicPr/>
                        </pic:nvPicPr>
                        <pic:blipFill>
                          <a:blip xmlns:r="http://schemas.openxmlformats.org/officeDocument/2006/relationships" r:embed="rId29"/>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财信金科</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股权转让</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2016-02-23</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湖南省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财信金科成立于20216年，通过搭建金融科技平台，精耕消费金融、供应链金融等多种业务场景，实现场景、 技术和资金的有效链接，以先进的理念、灵活的产品为中小微企业、个人消费者、核心企业提供优质的金融服务，满足多样化的金融需求，降低中小微企业及个人等群体的融资难度。</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湖南财信金融科技服务有限公司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33" name=""/>
                  <wp:cNvGraphicFramePr/>
                  <a:graphic xmlns:a="http://schemas.openxmlformats.org/drawingml/2006/main">
                    <a:graphicData uri="http://schemas.openxmlformats.org/drawingml/2006/picture">
                      <pic:pic xmlns:pic="http://schemas.openxmlformats.org/drawingml/2006/picture">
                        <pic:nvPicPr>
                          <pic:cNvPr id="100033" name=""/>
                          <pic:cNvPicPr/>
                        </pic:nvPicPr>
                        <pic:blipFill>
                          <a:blip xmlns:r="http://schemas.openxmlformats.org/officeDocument/2006/relationships" r:embed="rId30"/>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峰吟科技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2018-06-15</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上海市</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峰吟科技是一家由资深的财富管理专家、互联网技术专家和资产管理专家团队组建的金融科技公司，旨在用科技与金融相结合的手段，为高端财富管理的小型机构提供包括系统、工具、培训、运营、风控、投资等在内的多方位的综合服务，用科技+内容的方式助推中国高端财富管理行业的模式转型。这是一个由多位连续创业者组建的初创公司，也是一个由多位资深的跨界专家组成的创新公司，更是一个在组建之初就得到了多家VC关注的公司。我们欢迎那些有自我成长动能、愿意跨界学习新的知识，能够在充分授权的工作环境中自我管理达成目标的年轻人。</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上海峰吟信息科技有限公司</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drawing>
                <wp:inline>
                  <wp:extent cx="508000" cy="508000"/>
                  <wp:docPr id="100034" name=""/>
                  <wp:cNvGraphicFramePr/>
                  <a:graphic xmlns:a="http://schemas.openxmlformats.org/drawingml/2006/main">
                    <a:graphicData uri="http://schemas.openxmlformats.org/drawingml/2006/picture">
                      <pic:pic xmlns:pic="http://schemas.openxmlformats.org/drawingml/2006/picture">
                        <pic:nvPicPr>
                          <pic:cNvPr id="100034" name=""/>
                          <pic:cNvPicPr/>
                        </pic:nvPicPr>
                        <pic:blipFill>
                          <a:blip xmlns:r="http://schemas.openxmlformats.org/officeDocument/2006/relationships" r:embed="rId31"/>
                          <a:stretch>
                            <a:fillRect/>
                          </a:stretch>
                        </pic:blipFill>
                        <pic:spPr>
                          <a:xfrm>
                            <a:off x="0" y="0"/>
                            <a:ext cx="508000" cy="508000"/>
                          </a:xfrm>
                          <a:prstGeom prst="rect">
                            <a:avLst/>
                          </a:prstGeom>
                        </pic:spPr>
                      </pic:pic>
                    </a:graphicData>
                  </a:graphic>
                </wp:inline>
              </w:drawing>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芯鑫金科</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未融资</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2017-10-26</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广东省</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深圳前海芯链鑫网络科技有限公司，是一家专注于为金融机构“新零售全案解决服务”的创新型技术企业。公司专注于创新科技金融服务，致力发展成为科技金融服务行业的领跑者，实现优质服务与客户之间的完美传递。公司的业务模式：以“新金融零售业务全案咨询”为抓手，提供网络贷款平台的开发、迭代和SaaS服务；开放式互联网平台的开发、迭代和SaaS服务；C端和B端大数据风控建模服务；线上和线下相结合业务的系统和风控构建等。</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深圳前海芯链鑫网络科技有限公司</w:t>
            </w:r>
          </w:p>
        </w:tc>
      </w:tr>
    </w:tbl>
    <w:p>
      <w:pPr>
        <w:pStyle w:val="Heading1"/>
        <w:spacing w:before="600" w:after="150"/>
        <w:ind w:firstLine="0"/>
        <w:jc w:val="left"/>
        <w:rPr>
          <w:rFonts w:ascii="微软雅黑" w:eastAsia="微软雅黑" w:hAnsi="微软雅黑" w:cs="微软雅黑"/>
          <w:b/>
          <w:color w:val="000000"/>
          <w:sz w:val="30"/>
          <w:u w:val="none"/>
        </w:rPr>
      </w:pPr>
      <w:bookmarkStart w:id="39" w:name="_Toc256000035"/>
      <w:r>
        <w:rPr>
          <w:rFonts w:ascii="微软雅黑" w:eastAsia="微软雅黑" w:hAnsi="微软雅黑" w:cs="微软雅黑"/>
          <w:b/>
          <w:color w:val="000000"/>
          <w:sz w:val="30"/>
          <w:u w:val="none"/>
        </w:rPr>
        <w:t>6 知识产权</w:t>
      </w:r>
      <w:bookmarkEnd w:id="39"/>
    </w:p>
    <w:p>
      <w:pPr>
        <w:pStyle w:val="Heading2"/>
        <w:spacing w:before="72" w:after="24"/>
        <w:ind w:firstLine="0"/>
        <w:jc w:val="left"/>
        <w:rPr>
          <w:rFonts w:ascii="微软雅黑" w:eastAsia="微软雅黑" w:hAnsi="微软雅黑" w:cs="微软雅黑"/>
          <w:b/>
          <w:color w:val="000000"/>
          <w:sz w:val="24"/>
          <w:u w:val="none"/>
        </w:rPr>
      </w:pPr>
      <w:bookmarkStart w:id="40" w:name="_Toc256000036"/>
      <w:r>
        <w:rPr>
          <w:rFonts w:ascii="微软雅黑" w:eastAsia="微软雅黑" w:hAnsi="微软雅黑" w:cs="微软雅黑"/>
          <w:b/>
          <w:color w:val="000000"/>
          <w:sz w:val="24"/>
          <w:u w:val="none"/>
        </w:rPr>
        <w:t>6.1 商标信息 (6)</w:t>
      </w:r>
      <w:bookmarkEnd w:id="40"/>
    </w:p>
    <w:p>
      <w:pPr>
        <w:spacing w:before="60" w:after="20"/>
        <w:ind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商标共</w:t>
      </w:r>
      <w:r>
        <w:rPr>
          <w:rStyle w:val="DefaultParagraphFont"/>
          <w:rFonts w:ascii="微软雅黑" w:eastAsia="微软雅黑" w:hAnsi="微软雅黑" w:cs="微软雅黑"/>
          <w:b/>
          <w:bCs/>
          <w:color w:val="ED7D31"/>
          <w:sz w:val="20"/>
          <w:u w:val="none"/>
        </w:rPr>
        <w:t>6</w:t>
      </w:r>
      <w:r>
        <w:rPr>
          <w:rStyle w:val="DefaultParagraphFont"/>
          <w:rFonts w:ascii="微软雅黑" w:eastAsia="微软雅黑" w:hAnsi="微软雅黑" w:cs="微软雅黑"/>
          <w:b w:val="0"/>
          <w:color w:val="000000"/>
          <w:sz w:val="20"/>
          <w:u w:val="none"/>
        </w:rPr>
        <w:t>项 ，申请数量最多的年份是</w:t>
      </w:r>
      <w:r>
        <w:rPr>
          <w:rStyle w:val="DefaultParagraphFont"/>
          <w:rFonts w:ascii="微软雅黑" w:eastAsia="微软雅黑" w:hAnsi="微软雅黑" w:cs="微软雅黑"/>
          <w:b/>
          <w:bCs/>
          <w:color w:val="ED7D31"/>
          <w:sz w:val="20"/>
          <w:u w:val="none"/>
        </w:rPr>
        <w:t>2019</w:t>
      </w:r>
      <w:r>
        <w:rPr>
          <w:rStyle w:val="DefaultParagraphFont"/>
          <w:rFonts w:ascii="微软雅黑" w:eastAsia="微软雅黑" w:hAnsi="微软雅黑" w:cs="微软雅黑"/>
          <w:b w:val="0"/>
          <w:color w:val="000000"/>
          <w:sz w:val="20"/>
          <w:u w:val="none"/>
        </w:rPr>
        <w:t>年。</w:t>
      </w:r>
    </w:p>
    <w:p>
      <w:r>
        <w:rPr>
          <w:rFonts w:ascii="微软雅黑" w:eastAsia="微软雅黑" w:hAnsi="微软雅黑" w:cs="微软雅黑"/>
          <w:b w:val="0"/>
          <w:color w:val="000000"/>
          <w:sz w:val="20"/>
          <w:u w:val="none"/>
        </w:rPr>
        <w:drawing>
          <wp:inline>
            <wp:extent cx="6642100" cy="2540000"/>
            <wp:docPr id="100035"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rPr>
          <w:rFonts w:ascii="微软雅黑" w:eastAsia="微软雅黑" w:hAnsi="微软雅黑" w:cs="微软雅黑"/>
          <w:b w:val="0"/>
          <w:color w:val="000000"/>
          <w:sz w:val="20"/>
          <w:u w:val="none"/>
        </w:rPr>
        <w:br/>
      </w:r>
    </w:p>
    <w:p>
      <w:r>
        <w:rPr>
          <w:rFonts w:ascii="微软雅黑" w:eastAsia="微软雅黑" w:hAnsi="微软雅黑" w:cs="微软雅黑"/>
          <w:sz w:val="20"/>
        </w:rPr>
        <w:drawing>
          <wp:inline>
            <wp:extent cx="6642100" cy="1778000"/>
            <wp:docPr id="100036"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rPr>
          <w:rFonts w:ascii="微软雅黑" w:eastAsia="微软雅黑" w:hAnsi="微软雅黑" w:cs="微软雅黑"/>
          <w:sz w:val="20"/>
        </w:rPr>
        <w:br/>
      </w:r>
    </w:p>
    <w:p>
      <w:r>
        <w:rPr>
          <w:rFonts w:ascii="微软雅黑" w:eastAsia="微软雅黑" w:hAnsi="微软雅黑" w:cs="微软雅黑"/>
          <w:sz w:val="20"/>
        </w:rPr>
        <w:drawing>
          <wp:inline>
            <wp:extent cx="6642100" cy="2540000"/>
            <wp:docPr id="100037"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r>
        <w:rPr>
          <w:rFonts w:ascii="微软雅黑" w:eastAsia="微软雅黑" w:hAnsi="微软雅黑" w:cs="微软雅黑"/>
          <w:sz w:val="20"/>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1290"/>
        <w:gridCol w:w="2150"/>
        <w:gridCol w:w="1613"/>
        <w:gridCol w:w="1721"/>
        <w:gridCol w:w="1397"/>
        <w:gridCol w:w="172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b/>
                <w:color w:val="000000"/>
                <w:sz w:val="20"/>
              </w:rPr>
            </w:pPr>
            <w:r>
              <w:rPr>
                <w:b/>
                <w:color w:val="000000"/>
                <w:sz w:val="20"/>
              </w:rPr>
              <w:t>序号</w:t>
            </w:r>
          </w:p>
        </w:tc>
        <w:tc>
          <w:tcPr>
            <w:tcW w:w="12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b/>
                <w:color w:val="000000"/>
                <w:sz w:val="20"/>
              </w:rPr>
            </w:pPr>
            <w:r>
              <w:rPr>
                <w:b/>
                <w:color w:val="000000"/>
                <w:sz w:val="20"/>
              </w:rPr>
              <w:t>商标图案</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b/>
                <w:color w:val="000000"/>
                <w:sz w:val="20"/>
              </w:rPr>
            </w:pPr>
            <w:r>
              <w:rPr>
                <w:b/>
                <w:color w:val="000000"/>
                <w:sz w:val="20"/>
              </w:rPr>
              <w:t>商标名称</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b/>
                <w:color w:val="000000"/>
                <w:sz w:val="20"/>
              </w:rPr>
            </w:pPr>
            <w:r>
              <w:rPr>
                <w:b/>
                <w:color w:val="000000"/>
                <w:sz w:val="20"/>
              </w:rPr>
              <w:t>商标状态</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b/>
                <w:color w:val="000000"/>
                <w:sz w:val="20"/>
              </w:rPr>
            </w:pPr>
            <w:r>
              <w:rPr>
                <w:b/>
                <w:color w:val="000000"/>
                <w:sz w:val="20"/>
              </w:rPr>
              <w:t>申请/注册号</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b/>
                <w:color w:val="000000"/>
                <w:sz w:val="20"/>
              </w:rPr>
            </w:pPr>
            <w:r>
              <w:rPr>
                <w:b/>
                <w:color w:val="000000"/>
                <w:sz w:val="20"/>
              </w:rPr>
              <w:t>申请日期</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b/>
                <w:color w:val="000000"/>
                <w:sz w:val="20"/>
              </w:rPr>
            </w:pPr>
            <w:r>
              <w:rPr>
                <w:b/>
                <w:color w:val="000000"/>
                <w:sz w:val="20"/>
              </w:rPr>
              <w:t>国际分类</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1</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134797"/>
                  <wp:docPr id="100038" name=""/>
                  <wp:cNvGraphicFramePr/>
                  <a:graphic xmlns:a="http://schemas.openxmlformats.org/drawingml/2006/main">
                    <a:graphicData uri="http://schemas.openxmlformats.org/drawingml/2006/picture">
                      <pic:pic xmlns:pic="http://schemas.openxmlformats.org/drawingml/2006/picture">
                        <pic:nvPicPr>
                          <pic:cNvPr id="100038" name=""/>
                          <pic:cNvPicPr/>
                        </pic:nvPicPr>
                        <pic:blipFill>
                          <a:blip xmlns:r="http://schemas.openxmlformats.org/officeDocument/2006/relationships" r:embed="rId35"/>
                          <a:stretch>
                            <a:fillRect/>
                          </a:stretch>
                        </pic:blipFill>
                        <pic:spPr>
                          <a:xfrm>
                            <a:off x="0" y="0"/>
                            <a:ext cx="508000" cy="134797"/>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小飞鸽家校</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43890001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2020-01-17</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41类 教育娱乐</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2</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33414"/>
                  <wp:docPr id="100039" name=""/>
                  <wp:cNvGraphicFramePr/>
                  <a:graphic xmlns:a="http://schemas.openxmlformats.org/drawingml/2006/main">
                    <a:graphicData uri="http://schemas.openxmlformats.org/drawingml/2006/picture">
                      <pic:pic xmlns:pic="http://schemas.openxmlformats.org/drawingml/2006/picture">
                        <pic:nvPicPr>
                          <pic:cNvPr id="100039" name=""/>
                          <pic:cNvPicPr/>
                        </pic:nvPicPr>
                        <pic:blipFill>
                          <a:blip xmlns:r="http://schemas.openxmlformats.org/officeDocument/2006/relationships" r:embed="rId36"/>
                          <a:stretch>
                            <a:fillRect/>
                          </a:stretch>
                        </pic:blipFill>
                        <pic:spPr>
                          <a:xfrm>
                            <a:off x="0" y="0"/>
                            <a:ext cx="508000" cy="233414"/>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鑫同业</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41876244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2019-10-25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36类 金融物管</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3</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53309"/>
                  <wp:docPr id="100040" name=""/>
                  <wp:cNvGraphicFramePr/>
                  <a:graphic xmlns:a="http://schemas.openxmlformats.org/drawingml/2006/main">
                    <a:graphicData uri="http://schemas.openxmlformats.org/drawingml/2006/picture">
                      <pic:pic xmlns:pic="http://schemas.openxmlformats.org/drawingml/2006/picture">
                        <pic:nvPicPr>
                          <pic:cNvPr id="100040" name=""/>
                          <pic:cNvPicPr/>
                        </pic:nvPicPr>
                        <pic:blipFill>
                          <a:blip xmlns:r="http://schemas.openxmlformats.org/officeDocument/2006/relationships" r:embed="rId37"/>
                          <a:stretch>
                            <a:fillRect/>
                          </a:stretch>
                        </pic:blipFill>
                        <pic:spPr>
                          <a:xfrm>
                            <a:off x="0" y="0"/>
                            <a:ext cx="508000" cy="253309"/>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鑫助手</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41895042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2019-10-25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4</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225672"/>
                  <wp:docPr id="100041" name=""/>
                  <wp:cNvGraphicFramePr/>
                  <a:graphic xmlns:a="http://schemas.openxmlformats.org/drawingml/2006/main">
                    <a:graphicData uri="http://schemas.openxmlformats.org/drawingml/2006/picture">
                      <pic:pic xmlns:pic="http://schemas.openxmlformats.org/drawingml/2006/picture">
                        <pic:nvPicPr>
                          <pic:cNvPr id="100041" name=""/>
                          <pic:cNvPicPr/>
                        </pic:nvPicPr>
                        <pic:blipFill>
                          <a:blip xmlns:r="http://schemas.openxmlformats.org/officeDocument/2006/relationships" r:embed="rId38"/>
                          <a:stretch>
                            <a:fillRect/>
                          </a:stretch>
                        </pic:blipFill>
                        <pic:spPr>
                          <a:xfrm>
                            <a:off x="0" y="0"/>
                            <a:ext cx="508000" cy="225672"/>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鑫智惠</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41887925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2019-10-25</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36类 金融物管</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5</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508000"/>
                  <wp:docPr id="100042" name=""/>
                  <wp:cNvGraphicFramePr/>
                  <a:graphic xmlns:a="http://schemas.openxmlformats.org/drawingml/2006/main">
                    <a:graphicData uri="http://schemas.openxmlformats.org/drawingml/2006/picture">
                      <pic:pic xmlns:pic="http://schemas.openxmlformats.org/drawingml/2006/picture">
                        <pic:nvPicPr>
                          <pic:cNvPr id="100042" name=""/>
                          <pic:cNvPicPr/>
                        </pic:nvPicPr>
                        <pic:blipFill>
                          <a:blip xmlns:r="http://schemas.openxmlformats.org/officeDocument/2006/relationships" r:embed="rId39"/>
                          <a:stretch>
                            <a:fillRect/>
                          </a:stretch>
                        </pic:blipFill>
                        <pic:spPr>
                          <a:xfrm>
                            <a:off x="0" y="0"/>
                            <a:ext cx="508000" cy="508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鑫合易家</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已注册</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21409450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2016-09-26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41类 教育娱乐</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t>6</w:t>
            </w:r>
          </w:p>
        </w:tc>
        <w:tc>
          <w:tcPr>
            <w:tcW w:w="129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b w:val="0"/>
                <w:color w:val="000000"/>
                <w:sz w:val="20"/>
              </w:rPr>
            </w:pPr>
            <w:r>
              <w:rPr>
                <w:b w:val="0"/>
                <w:color w:val="000000"/>
                <w:sz w:val="20"/>
              </w:rPr>
              <w:drawing>
                <wp:inline>
                  <wp:extent cx="508000" cy="508000"/>
                  <wp:docPr id="100043" name=""/>
                  <wp:cNvGraphicFramePr/>
                  <a:graphic xmlns:a="http://schemas.openxmlformats.org/drawingml/2006/main">
                    <a:graphicData uri="http://schemas.openxmlformats.org/drawingml/2006/picture">
                      <pic:pic xmlns:pic="http://schemas.openxmlformats.org/drawingml/2006/picture">
                        <pic:nvPicPr>
                          <pic:cNvPr id="100043" name=""/>
                          <pic:cNvPicPr/>
                        </pic:nvPicPr>
                        <pic:blipFill>
                          <a:blip xmlns:r="http://schemas.openxmlformats.org/officeDocument/2006/relationships" r:embed="rId39"/>
                          <a:stretch>
                            <a:fillRect/>
                          </a:stretch>
                        </pic:blipFill>
                        <pic:spPr>
                          <a:xfrm>
                            <a:off x="0" y="0"/>
                            <a:ext cx="508000" cy="508000"/>
                          </a:xfrm>
                          <a:prstGeom prst="rect">
                            <a:avLst/>
                          </a:prstGeom>
                        </pic:spPr>
                      </pic:pic>
                    </a:graphicData>
                  </a:graphic>
                </wp:inline>
              </w:drawing>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鑫合易家</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商标无效·初审驳回</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21409517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2016-09-26</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b w:val="0"/>
                <w:color w:val="000000"/>
                <w:sz w:val="20"/>
              </w:rPr>
            </w:pPr>
            <w:r>
              <w:rPr>
                <w:b w:val="0"/>
                <w:color w:val="000000"/>
                <w:sz w:val="20"/>
              </w:rPr>
              <w:t>42类 设计研究</w:t>
            </w:r>
          </w:p>
        </w:tc>
      </w:tr>
    </w:tbl>
    <w:p>
      <w:pPr>
        <w:pStyle w:val="Heading2"/>
        <w:spacing w:before="480" w:after="120"/>
        <w:ind w:firstLine="0"/>
        <w:jc w:val="left"/>
        <w:rPr>
          <w:rFonts w:ascii="微软雅黑" w:eastAsia="微软雅黑" w:hAnsi="微软雅黑" w:cs="微软雅黑"/>
          <w:b/>
          <w:color w:val="000000"/>
          <w:sz w:val="24"/>
          <w:u w:val="none"/>
        </w:rPr>
      </w:pPr>
      <w:bookmarkStart w:id="41" w:name="_Toc256000037"/>
      <w:r>
        <w:rPr>
          <w:rFonts w:ascii="微软雅黑" w:eastAsia="微软雅黑" w:hAnsi="微软雅黑" w:cs="微软雅黑"/>
          <w:b/>
          <w:color w:val="000000"/>
          <w:sz w:val="24"/>
          <w:u w:val="none"/>
        </w:rPr>
        <w:t>6.2 专利信息 (40)</w:t>
      </w:r>
      <w:bookmarkEnd w:id="41"/>
    </w:p>
    <w:p>
      <w:r>
        <w:rPr>
          <w:rStyle w:val="DefaultParagraphFont"/>
          <w:rFonts w:ascii="微软雅黑" w:eastAsia="微软雅黑" w:hAnsi="微软雅黑" w:cs="微软雅黑"/>
          <w:b w:val="0"/>
          <w:color w:val="000000"/>
          <w:sz w:val="20"/>
          <w:u w:val="none"/>
        </w:rPr>
        <w:t>专利共</w:t>
      </w:r>
      <w:r>
        <w:rPr>
          <w:rStyle w:val="DefaultParagraphFont"/>
          <w:rFonts w:ascii="微软雅黑" w:eastAsia="微软雅黑" w:hAnsi="微软雅黑" w:cs="微软雅黑"/>
          <w:b/>
          <w:bCs/>
          <w:color w:val="ED7D31"/>
          <w:sz w:val="20"/>
          <w:u w:val="none"/>
        </w:rPr>
        <w:t>40</w:t>
      </w:r>
      <w:r>
        <w:rPr>
          <w:rStyle w:val="DefaultParagraphFont"/>
          <w:rFonts w:ascii="微软雅黑" w:eastAsia="微软雅黑" w:hAnsi="微软雅黑" w:cs="微软雅黑"/>
          <w:b w:val="0"/>
          <w:color w:val="000000"/>
          <w:sz w:val="20"/>
          <w:u w:val="none"/>
        </w:rPr>
        <w:t xml:space="preserve">项 ，申请数量最多的年份是 </w:t>
      </w:r>
      <w:r>
        <w:rPr>
          <w:rStyle w:val="DefaultParagraphFont"/>
          <w:rFonts w:ascii="微软雅黑" w:eastAsia="微软雅黑" w:hAnsi="微软雅黑" w:cs="微软雅黑"/>
          <w:b/>
          <w:bCs/>
          <w:color w:val="ED7D31"/>
          <w:sz w:val="20"/>
          <w:u w:val="none"/>
        </w:rPr>
        <w:t>2024</w:t>
      </w:r>
      <w:r>
        <w:rPr>
          <w:rStyle w:val="DefaultParagraphFont"/>
          <w:rFonts w:ascii="微软雅黑" w:eastAsia="微软雅黑" w:hAnsi="微软雅黑" w:cs="微软雅黑"/>
          <w:b w:val="0"/>
          <w:color w:val="000000"/>
          <w:sz w:val="20"/>
          <w:u w:val="none"/>
        </w:rPr>
        <w:t>年。专利类型最多的是</w:t>
      </w:r>
      <w:r>
        <w:rPr>
          <w:rStyle w:val="DefaultParagraphFont"/>
          <w:rFonts w:ascii="微软雅黑" w:eastAsia="微软雅黑" w:hAnsi="微软雅黑" w:cs="微软雅黑"/>
          <w:b/>
          <w:bCs/>
          <w:color w:val="ED7D31"/>
          <w:sz w:val="20"/>
          <w:u w:val="none"/>
        </w:rPr>
        <w:t>外观设计</w:t>
      </w:r>
      <w:r>
        <w:rPr>
          <w:rStyle w:val="DefaultParagraphFont"/>
          <w:rFonts w:ascii="微软雅黑" w:eastAsia="微软雅黑" w:hAnsi="微软雅黑" w:cs="微软雅黑"/>
          <w:b w:val="0"/>
          <w:color w:val="000000"/>
          <w:sz w:val="20"/>
          <w:u w:val="none"/>
        </w:rPr>
        <w:t>。</w:t>
      </w:r>
      <w:r>
        <w:rPr>
          <w:rFonts w:ascii="微软雅黑" w:eastAsia="微软雅黑" w:hAnsi="微软雅黑" w:cs="微软雅黑"/>
          <w:b w:val="0"/>
          <w:color w:val="000000"/>
          <w:sz w:val="20"/>
          <w:u w:val="none"/>
        </w:rPr>
        <w:br/>
      </w:r>
      <w:r>
        <w:rPr>
          <w:rFonts w:ascii="微软雅黑" w:eastAsia="微软雅黑" w:hAnsi="微软雅黑" w:cs="微软雅黑"/>
          <w:b w:val="0"/>
          <w:color w:val="000000"/>
          <w:sz w:val="20"/>
          <w:u w:val="none"/>
        </w:rPr>
        <w:drawing>
          <wp:inline>
            <wp:extent cx="6642100" cy="2540000"/>
            <wp:docPr id="100044"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r>
        <w:rPr>
          <w:rFonts w:ascii="微软雅黑" w:eastAsia="微软雅黑" w:hAnsi="微软雅黑" w:cs="微软雅黑"/>
          <w:b w:val="0"/>
          <w:color w:val="000000"/>
          <w:sz w:val="20"/>
          <w:u w:val="none"/>
        </w:rPr>
        <w:br/>
      </w:r>
    </w:p>
    <w:p>
      <w:r>
        <w:rPr>
          <w:rFonts w:ascii="微软雅黑" w:eastAsia="微软雅黑" w:hAnsi="微软雅黑" w:cs="微软雅黑"/>
          <w:sz w:val="20"/>
        </w:rPr>
        <w:drawing>
          <wp:inline>
            <wp:extent cx="6642100" cy="2540000"/>
            <wp:docPr id="100045"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r>
        <w:rPr>
          <w:rFonts w:ascii="微软雅黑" w:eastAsia="微软雅黑" w:hAnsi="微软雅黑" w:cs="微软雅黑"/>
          <w:sz w:val="20"/>
        </w:rPr>
        <w:br/>
      </w:r>
    </w:p>
    <w:p>
      <w:pPr>
        <w:ind w:firstLine="0"/>
        <w:rPr>
          <w:rFonts w:ascii="微软雅黑" w:eastAsia="微软雅黑" w:hAnsi="微软雅黑" w:cs="微软雅黑"/>
          <w:sz w:val="20"/>
        </w:rPr>
      </w:pPr>
      <w:r>
        <w:rPr>
          <w:rFonts w:ascii="微软雅黑" w:eastAsia="微软雅黑" w:hAnsi="微软雅黑" w:cs="微软雅黑"/>
          <w:sz w:val="20"/>
        </w:rPr>
        <w:drawing>
          <wp:inline>
            <wp:extent cx="6642100" cy="2540000"/>
            <wp:docPr id="100046"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r>
        <w:rPr>
          <w:rFonts w:ascii="微软雅黑" w:eastAsia="微软雅黑" w:hAnsi="微软雅黑" w:cs="微软雅黑"/>
          <w:sz w:val="20"/>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2150"/>
        <w:gridCol w:w="1075"/>
        <w:gridCol w:w="1075"/>
        <w:gridCol w:w="1398"/>
        <w:gridCol w:w="1398"/>
        <w:gridCol w:w="1398"/>
        <w:gridCol w:w="139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rPr>
            </w:pPr>
            <w:r>
              <w:rPr>
                <w:rFonts w:ascii="微软雅黑" w:eastAsia="微软雅黑" w:hAnsi="微软雅黑" w:cs="微软雅黑"/>
                <w:b/>
                <w:color w:val="000000"/>
                <w:sz w:val="20"/>
              </w:rPr>
              <w:t>序号</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发明名称</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专利类型</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法律状态</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申请号</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申请日期</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公开(公告)号</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rPr>
            </w:pPr>
            <w:r>
              <w:rPr>
                <w:rFonts w:ascii="微软雅黑" w:eastAsia="微软雅黑" w:hAnsi="微软雅黑" w:cs="微软雅黑"/>
                <w:b/>
                <w:color w:val="000000"/>
                <w:sz w:val="20"/>
              </w:rPr>
              <w:t>公开(公告)日期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一种基于视觉变换器的图像翻译语义结构相似性度量方法及系统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CN202511293698.5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2025-09-11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CN121170343A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2025-12-19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一种基于深度学习与动态行为分析的WebShell检测方法及系统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CN202511008398.8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2025-07-22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CN120896730B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2026-04-17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一种通过深度学习自动识别设计稿元素生成活动的方法</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CN202510228250.9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2025-02-28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CN120220173B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2025-12-23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4</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一种预测用户行为智能柜台辅助办理业务的方法</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CN202411877581.7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2024-12-19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CN119809788A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2025-04-11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5</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用于电子设备的活动流程跟踪图形用户界面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CN202430609913.8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CN309405274S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2025-07-25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用于预约上门办理贷款的手机图形用户界面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CN202430610126.5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CN309405139S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2025-07-25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7</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用于热点话题讨论的手机图形用户界面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CN202430610127.X</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CN309405140S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2025-07-25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8</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用于电子设备的活动流程跟踪图形用户界面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CN202430609912.3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CN309391627S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2025-07-18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9</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用于电子设备的会议报名图形用户界面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CN202430596222.9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CN309391604S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2025-07-18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用于会议报名的电子设备图形用户界面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CN202430596221.4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2024-09-19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CN309405265S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2025-07-25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基于RPA实现增量数据自动下载方法及系统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CN202411299497.1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2024-09-18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CN119342047A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2025-01-21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12</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用于电子设备的抢券营销活动图形用户界面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CN202430593739.2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2024-09-18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CN309405263S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2025-07-25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13</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用于兑换福利的手机图形用户界面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CN202430593737.3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2024-09-18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CN309405138S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2025-07-25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14</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用于手机的新用户授权认证活动的图形用户界面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CN202430573553.0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2024-09-09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CN309239648S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2025-04-15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15</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用于手机的结算活动的图形用户界面（二）</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CN202430564072.3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2024-09-04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CN309239644S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2025-04-15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用于手机的结算活动的图形用户界面（一）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CN202430564073.8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2024-09-04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CN309239645S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2025-04-15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17</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一种基于LLM2Vec算法的文本查重方法及系统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CN202410954853.2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2024-07-17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CN118885602A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2024-11-01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18</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一种基于WebAuthn的开源实体Key认证方法</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公布驳回</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CN202410752515.0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2024-06-12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CN118337530A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2024-07-12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19</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一种基于BGE-M3算法的代码查重方法及系统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CN202410588447.9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2024-05-13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CN118467033A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2024-08-09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用于手机的数字化移动营销的图形用户界面（一）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CN202430166879.1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2024-03-28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CN308961582S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2024-11-22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用于手机的客户管理和运营的图形用户界面（一）</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CN202430166874.9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2024-03-28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CN308952502S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2024-11-19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22</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用于电子设备的征信授权图形用户界面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CN202330805398.6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2023-12-07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CN308618104S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2024-05-03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23</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用于手机的数字化移动营销的图形用户界面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CN202330709080.8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2023-10-31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CN308651517S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2024-05-24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24</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一种优化消息弹窗通知的方法、系统和装置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公布驳回</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CN202311416612.4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2023-10-27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CN117527958A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2024-02-06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25</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用于手机的签到和福利优惠领取的图形用户界面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CN202330698123.7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2023-10-27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CN308624259S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2024-05-07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一种营销活动搭建图片优化处理的方法、系统和装置</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实质审查</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CN202310591124.0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2023-05-23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CN116796087A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2023-09-22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27</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多人同时人脸识别和动作识别验证的系统与方法</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CN202210441102.1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2022-04-25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CN114821780B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2024-12-10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28</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手机的信息交流共享软件图形用户界面（鑫合网络家园）</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CN202230236725.6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2022-04-25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CN307521804S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2022-08-30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29</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一种去除视频中颜色滤镜和拉伸效果的方法</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公布驳回</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CN202210418903.6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2022-04-20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CN114742735A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2022-07-12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用于手机信用卡激活程序的图形用户界面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CN202130856267.1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2021-12-24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CN307316453S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2022-05-06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31</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一种基于RFM模型泛化特征的金融类客户分级方法</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公布驳回</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CN202111588546.X</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2021-12-23</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CN114386490A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2022-04-22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32</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一种根据气象信息生成个性化情景验证码的方法和系统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CN202111313268.7</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2021-11-08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CN114422161B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2024-04-16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33</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一种在聊天内容中嵌入水印的系统和方法</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CN202111306603.0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2021-11-05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CN113987430B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2025-07-22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34</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手机的线上贷款图形用户界面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CN202130452706.2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2021-07-16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CN306964527S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2021-11-26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35</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手机的园区服务管理图形用户界面</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外观设计</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CN202130336131.8</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2021-06-02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CN307417275S</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2022-06-24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36</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一种生成具有二维码水印动态图片的系统及其方法</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CN202110609966.5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2021-06-01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CN113284035B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2024-08-02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37</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一种传染病感染风险预测系统及方法</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公布驳回</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CN202011022679.6</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2020-09-25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CN112164472A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2021-01-01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38</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一种统计APP安装量的方法</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发明授权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授权</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CN202010850026.0</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2020-08-21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CN111984277B</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2022-04-08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39</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一种手机号空号账号解绑方法及系统</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公布驳回</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CN202010171169.9</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2020-03-12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CN111405499A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2020-07-10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rPr>
            </w:pPr>
            <w:r>
              <w:rPr>
                <w:rFonts w:ascii="微软雅黑" w:eastAsia="微软雅黑" w:hAnsi="微软雅黑" w:cs="微软雅黑"/>
                <w:b w:val="0"/>
                <w:color w:val="000000"/>
                <w:sz w:val="20"/>
              </w:rPr>
              <w:t>40</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一种根据用户使用习惯动态快速加载模块的方法</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发明公布</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公布驳回</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CN201911358505.4</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2019-12-25</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CN111078321A</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rPr>
            </w:pPr>
            <w:r>
              <w:rPr>
                <w:rFonts w:ascii="微软雅黑" w:eastAsia="微软雅黑" w:hAnsi="微软雅黑" w:cs="微软雅黑"/>
                <w:b w:val="0"/>
                <w:color w:val="000000"/>
                <w:sz w:val="20"/>
              </w:rPr>
              <w:t>2020-04-28</w:t>
            </w:r>
          </w:p>
        </w:tc>
      </w:tr>
    </w:tbl>
    <w:p>
      <w:pPr>
        <w:pStyle w:val="Heading2"/>
        <w:spacing w:before="480" w:after="120"/>
        <w:ind w:firstLine="0"/>
        <w:jc w:val="left"/>
        <w:rPr>
          <w:rFonts w:ascii="微软雅黑" w:eastAsia="微软雅黑" w:hAnsi="微软雅黑" w:cs="微软雅黑"/>
          <w:b/>
          <w:color w:val="000000"/>
          <w:sz w:val="24"/>
          <w:u w:val="none"/>
        </w:rPr>
      </w:pPr>
      <w:bookmarkStart w:id="42" w:name="_Toc256000038"/>
      <w:r>
        <w:rPr>
          <w:rFonts w:ascii="微软雅黑" w:eastAsia="微软雅黑" w:hAnsi="微软雅黑" w:cs="微软雅黑"/>
          <w:b/>
          <w:color w:val="000000"/>
          <w:sz w:val="24"/>
          <w:u w:val="none"/>
        </w:rPr>
        <w:t>6.3 软件著作权 (68)</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2365"/>
        <w:gridCol w:w="1721"/>
        <w:gridCol w:w="967"/>
        <w:gridCol w:w="1721"/>
        <w:gridCol w:w="1021"/>
        <w:gridCol w:w="1021"/>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37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软件全称</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软件简称</w:t>
            </w:r>
          </w:p>
        </w:tc>
        <w:tc>
          <w:tcPr>
            <w:tcW w:w="96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版本号</w:t>
            </w:r>
          </w:p>
        </w:tc>
        <w:tc>
          <w:tcPr>
            <w:tcW w:w="17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登记号</w:t>
            </w:r>
          </w:p>
        </w:tc>
        <w:tc>
          <w:tcPr>
            <w:tcW w:w="102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开发完成日期</w:t>
            </w:r>
          </w:p>
        </w:tc>
        <w:tc>
          <w:tcPr>
            <w:tcW w:w="1023"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首次发布日期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登记日期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场景化组件创作平台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2025SR2337178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2025-12-03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鑫合易家营销线索系统软件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线索管理系统</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2025SR2336337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2025-12-03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鑫合易家批量开卡RPA软件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2025SR2148391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2025-11-05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科创金融移动展业平台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2025SR2146039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2025-11-04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鑫合易家固定资产录入RPA软件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固定资产录入</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2025SR2142157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2025-11-04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智能助手系统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V3.0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2025SR1970192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2025-10-13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鑫合易家云名片软件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2025SR1893779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2025-09-28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鑫合易家智能招标RPA+AI软件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智能招标</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2025SR1893552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2025-09-28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企业尽调大模型系统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i尽调</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2025SR1879109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2025-09-26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鑫合易家进项票助手RPA软件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2025SR1879085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2025-09-26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鑫合易家企业客户调查智能体系统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企业客户调查智能体</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2025SR1878949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2025-09-26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数据可视化平台-鑫合“数聚台”系统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数聚台</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2025SR1431898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2025-08-01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鑫合易家机器人流程自动化（RPA）软件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2025SR1397274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2025-07-30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鑫合易家AI智能体开发平台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鑫智擎</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2025SR1397203</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2025-07-30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普惠金融移动展业平台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2025SR1396716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2025-07-30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电子签约系统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2025SR1311391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2025-07-21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受益所有人信息查询前置管理系统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受益所有人查询系统</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2025SR1264538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2025-07-15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智能中登查询登记系统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2025SR0684264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2024-11-12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2025-04-25</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资金流信用信息共享平台数据管理系统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2025SR0322919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2024-11-15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2025-02-24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鑫智惠-贷款核算平台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2024SR1686042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2023-06-12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2024-11-04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移动端产品图片优化处理平台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2024SR1643185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2024-07-01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2024-10-30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万象低代码平台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2024SR1639275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2024-04-26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2024-10-29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23</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积分权益平台管理系统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积分权益系统</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V2.0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2024SR0885687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2023-12-28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2024-06-27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24</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鑫合易家文本流程系统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2024SR0884204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2023-12-28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2024-06-27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鑫合易家进项税抵扣RPA软件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2024SR0878349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2023-12-28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鑫合易家营销任务系统软件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营销任务系统</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V2.0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2024SR0878327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2023-12-28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27</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鑫合易家账单下载RPA软件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2024SR0878322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2023-06-16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28</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智能助手系统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V2.0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2024SR0878315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2024-02-29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风控决策引擎平台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2024SR0877999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2022-12-12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2024-06-26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鑫合易家鑫零售软件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鑫零售</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V3.0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2024SR0124272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2023-07-07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2024-01-18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积分权益平台管理系统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积分权益系统</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2024SR0105620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2023-09-20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2024-01-16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鑫合易家营销任务系统软件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营销任务系统</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2024SR0105614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2023-05-26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2024-01-16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33</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鑫合易家营销平台软件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营销平台</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V4.0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2024SR0105579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2023-06-09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2024-01-16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34</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鑫合易家自动开具发票RPA软件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2024SR0105554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2023-06-28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2024-01-16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鑫云控数据处理平台系统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2024SR0027880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2020-06-04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2024-01-04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电子期刊系统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2023SR1732515</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2023-05-01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2023-12-22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37</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鑫合易家机器人流程自动化（RPA）业务开发管理软件系统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鑫合RPA</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2023SR1603208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2022-08-26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2023-12-11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38</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鑫合易家鑫同业综合业务管理系统软件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鑫同业</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2023SR1247843</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2023-07-26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2023-10-17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智能助手系统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2023SR0650082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2023-04-21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2023-06-14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鑫合易家鑫云控系统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鑫云控</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2023SR0203981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2022-11-16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2023-02-07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41</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鑫合易家征信前置系统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征信前置</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V2.0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2022SR1524621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2022-06-30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2022-11-17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42</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鑫合易家RPA后台管理软件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RPA后管</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2022SR1520009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2022-03-01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2022-11-17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43</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鑫合易家敏感词检测管理平台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2022SR1507476</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2022-09-30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2022-11-16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44</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征信衍生变量管理系统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2022SR1507437</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2022-10-10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2022-11-16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45</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鑫合易家数据可视化看板软件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2022SR1506624</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2022-09-01</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2022-11-16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46</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鑫合易家鑫零售软件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鑫零售</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V2.0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2022SR0542880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2022-04-28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47</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鑫合易家营销平台软件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营销平台</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V3.0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2022SR0542879</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2022-04-28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48</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鑫合易家征信前置系统</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征信前置</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2022SR0542668</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2022-04-28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49</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鑫合易家权益系统软件</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权益系统</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2022SR0542022</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2022-04-28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50</w:t>
            </w:r>
          </w:p>
        </w:tc>
        <w:tc>
          <w:tcPr>
            <w:tcW w:w="237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鑫合易家开发平台</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96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V1.0</w:t>
            </w:r>
          </w:p>
        </w:tc>
        <w:tc>
          <w:tcPr>
            <w:tcW w:w="172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2021SR1789060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2021-08-20</w:t>
            </w:r>
          </w:p>
        </w:tc>
        <w:tc>
          <w:tcPr>
            <w:tcW w:w="1023"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2021-11-18</w:t>
            </w:r>
          </w:p>
        </w:tc>
      </w:tr>
    </w:tbl>
    <w:p>
      <w:pPr>
        <w:spacing w:before="54" w:after="18"/>
        <w:ind w:firstLine="0"/>
        <w:jc w:val="left"/>
        <w:rPr>
          <w:rFonts w:ascii="微软雅黑" w:eastAsia="微软雅黑" w:hAnsi="微软雅黑" w:cs="微软雅黑"/>
          <w:b w:val="0"/>
          <w:color w:val="808080"/>
          <w:sz w:val="18"/>
          <w:u w:val="none"/>
        </w:rPr>
      </w:pPr>
      <w:r>
        <w:rPr>
          <w:rFonts w:ascii="微软雅黑" w:eastAsia="微软雅黑" w:hAnsi="微软雅黑" w:cs="微软雅黑"/>
          <w:b w:val="0"/>
          <w:color w:val="808080"/>
          <w:sz w:val="18"/>
          <w:u w:val="none"/>
        </w:rPr>
        <w:t>此维度共计68条记录，当前报告中显示50条，如需更多请登录官方网站进行查询。</w:t>
      </w:r>
    </w:p>
    <w:p>
      <w:pPr>
        <w:pStyle w:val="Heading2"/>
        <w:spacing w:before="480" w:after="120"/>
        <w:ind w:firstLine="0"/>
        <w:jc w:val="left"/>
        <w:rPr>
          <w:rFonts w:ascii="微软雅黑" w:eastAsia="微软雅黑" w:hAnsi="微软雅黑" w:cs="微软雅黑"/>
          <w:b/>
          <w:color w:val="000000"/>
          <w:sz w:val="24"/>
          <w:u w:val="none"/>
        </w:rPr>
      </w:pPr>
      <w:bookmarkStart w:id="43" w:name="_Toc256000039"/>
      <w:r>
        <w:rPr>
          <w:rFonts w:ascii="微软雅黑" w:eastAsia="微软雅黑" w:hAnsi="微软雅黑" w:cs="微软雅黑"/>
          <w:b/>
          <w:color w:val="000000"/>
          <w:sz w:val="24"/>
          <w:u w:val="none"/>
        </w:rPr>
        <w:t>6.4 备案网站 (1)</w:t>
      </w:r>
      <w:bookmarkEnd w:id="43"/>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2"/>
        <w:gridCol w:w="2478"/>
        <w:gridCol w:w="1939"/>
        <w:gridCol w:w="1939"/>
        <w:gridCol w:w="2154"/>
        <w:gridCol w:w="1400"/>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47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网站名称</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网址</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域名</w:t>
            </w:r>
          </w:p>
        </w:tc>
        <w:tc>
          <w:tcPr>
            <w:tcW w:w="2154"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网站备案/许可证号</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审核日期</w:t>
            </w:r>
          </w:p>
        </w:tc>
      </w:tr>
      <w:tr>
        <w:tblPrEx>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江苏鑫合易家</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www.jsxhyj.cn</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jsxhyj.cn</w:t>
            </w:r>
          </w:p>
        </w:tc>
        <w:tc>
          <w:tcPr>
            <w:tcW w:w="2154"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苏ICP备19072122号-1</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2025-02-07</w:t>
            </w:r>
          </w:p>
        </w:tc>
      </w:tr>
    </w:tbl>
    <w:p>
      <w:pPr>
        <w:pStyle w:val="Heading1"/>
        <w:spacing w:before="600" w:after="150"/>
        <w:ind w:firstLine="0"/>
        <w:jc w:val="left"/>
        <w:rPr>
          <w:rFonts w:ascii="微软雅黑" w:eastAsia="微软雅黑" w:hAnsi="微软雅黑" w:cs="微软雅黑"/>
          <w:b/>
          <w:color w:val="000000"/>
          <w:sz w:val="30"/>
          <w:u w:val="none"/>
        </w:rPr>
      </w:pPr>
      <w:bookmarkStart w:id="44" w:name="_Toc256000040"/>
      <w:r>
        <w:rPr>
          <w:rFonts w:ascii="微软雅黑" w:eastAsia="微软雅黑" w:hAnsi="微软雅黑" w:cs="微软雅黑"/>
          <w:b/>
          <w:color w:val="000000"/>
          <w:sz w:val="30"/>
          <w:u w:val="none"/>
        </w:rPr>
        <w:t>7 新闻公告</w:t>
      </w:r>
      <w:bookmarkEnd w:id="44"/>
    </w:p>
    <w:p>
      <w:pPr>
        <w:pStyle w:val="Heading2"/>
        <w:spacing w:before="72" w:after="24"/>
        <w:ind w:firstLine="0"/>
        <w:jc w:val="left"/>
        <w:rPr>
          <w:rFonts w:ascii="微软雅黑" w:eastAsia="微软雅黑" w:hAnsi="微软雅黑" w:cs="微软雅黑"/>
          <w:b/>
          <w:color w:val="000000"/>
          <w:sz w:val="24"/>
          <w:u w:val="none"/>
        </w:rPr>
      </w:pPr>
      <w:bookmarkStart w:id="45" w:name="_Toc256000041"/>
      <w:r>
        <w:rPr>
          <w:rFonts w:ascii="微软雅黑" w:eastAsia="微软雅黑" w:hAnsi="微软雅黑" w:cs="微软雅黑"/>
          <w:b/>
          <w:color w:val="000000"/>
          <w:sz w:val="24"/>
          <w:u w:val="none"/>
        </w:rPr>
        <w:t>7.1 新闻舆情 (7)</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4301"/>
        <w:gridCol w:w="2580"/>
        <w:gridCol w:w="1505"/>
        <w:gridCol w:w="150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430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标题</w:t>
            </w:r>
          </w:p>
        </w:tc>
        <w:tc>
          <w:tcPr>
            <w:tcW w:w="2585"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来源</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情感类型</w:t>
            </w:r>
          </w:p>
        </w:tc>
        <w:tc>
          <w:tcPr>
            <w:tcW w:w="1508"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发布时间</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RPA应用：建行覆盖33项业务领域，浦发上线1298个场景，中小银行也在招标</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凤凰网</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2024-09-24</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2023年度南京市劳动关系和谐企业</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南京市浦口区人民政府-浦口区人民政府</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2024-01-03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HopeInfra 两款系列产品亮相鲲鹏解决方案联合发布大会</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今日头条</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2020-12-30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润和软件：携手华为发布四大鲲鹏解决方案 致力于成为中国基础软件领先者</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证券之星</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2020-09-27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联合发布四大解决方案 华为携手润和软件深耕鲲鹏生态</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证券时报网</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2020-09-27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“RPA百行百日普惠科技节”在线开幕 众多产品供中小银行免费体验</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今日头条</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积极</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2020-06-10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430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科蓝软件：参股公司参与设立融联易云金融信息服务</w:t>
            </w:r>
          </w:p>
        </w:tc>
        <w:tc>
          <w:tcPr>
            <w:tcW w:w="2585"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中证网</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中立</w:t>
            </w:r>
          </w:p>
        </w:tc>
        <w:tc>
          <w:tcPr>
            <w:tcW w:w="1508"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2018-03-16</w:t>
            </w:r>
          </w:p>
        </w:tc>
      </w:tr>
    </w:tbl>
    <w:p>
      <w:pPr>
        <w:pStyle w:val="Heading2"/>
        <w:spacing w:before="480" w:after="120"/>
        <w:ind w:firstLine="0"/>
        <w:jc w:val="left"/>
        <w:rPr>
          <w:rFonts w:ascii="微软雅黑" w:eastAsia="微软雅黑" w:hAnsi="微软雅黑" w:cs="微软雅黑"/>
          <w:b/>
          <w:color w:val="000000"/>
          <w:sz w:val="24"/>
          <w:u w:val="none"/>
        </w:rPr>
      </w:pPr>
      <w:bookmarkStart w:id="46" w:name="_Toc256000042"/>
      <w:r>
        <w:rPr>
          <w:rFonts w:ascii="微软雅黑" w:eastAsia="微软雅黑" w:hAnsi="微软雅黑" w:cs="微软雅黑"/>
          <w:b/>
          <w:color w:val="000000"/>
          <w:sz w:val="24"/>
          <w:u w:val="none"/>
        </w:rPr>
        <w:t>7.2 相关公告 (175)</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3226"/>
        <w:gridCol w:w="1935"/>
        <w:gridCol w:w="1075"/>
        <w:gridCol w:w="2258"/>
        <w:gridCol w:w="139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23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标题</w:t>
            </w:r>
          </w:p>
        </w:tc>
        <w:tc>
          <w:tcPr>
            <w:tcW w:w="1939"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公告类型</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证券类型</w:t>
            </w:r>
          </w:p>
        </w:tc>
        <w:tc>
          <w:tcPr>
            <w:tcW w:w="22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证券简称/代码</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鹿城银行：2025年年度股东会会议决议公告</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股东大会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2026-05-18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南京银行：2025年年度股东会资料</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其他公告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2026-05-07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南京银行：部分关联方情况介绍</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关联交易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2026-04-23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南京银行：2026年度部分关联方日常关联交易预计额度的公告</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关联交易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2026-04-23</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鹿城银行：关于预计2026年日常性关联交易的公告</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关联交易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2026-04-22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鹿城银行：2025年年度报告</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年报</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2026-04-22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鹿城银行：第五届董事会第二次会议决议公告</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董事会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2026-04-22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8</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鹿城银行：关于召开2025年年度股东会通知公告（提供网络投票）</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其他公告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2026-04-22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9</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南京银行：2024年年度股东大会资料</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股东大会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2025-05-09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10</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南京银行：部分关联方情况介绍</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关联交易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2025-04-22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11</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南京银行：关于部分关联方2025年度日常关联交易预计额度的公告</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关联交易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2025-04-22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12</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鹿城银行：关于预计2025年日常性关联交易的公告</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关联交易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2025-04-21</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13</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南京银行：2023年年度股东大会资料（含临时提案）</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股东大会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2024-05-09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14</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南京银行：关于部分关联方2024年度日常关联交易预计额度的公告</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关联交易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2024-04-27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15</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南京银行：2023年年度股东大会资料</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股东大会</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2024-04-27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16</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南京银行：部分关联方情况介绍</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关联交易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2024-04-27</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17</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鹿城银行：关于预计2024年日常性关联交易的公告</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关联交易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2024-04-26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18</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南京银行股份有限公司2023年金融债券(第一期)募集说明书</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发行公告</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2023-08-18</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19</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南京银行：京银行股份有限公司关于部分关联方2023年度日常关联交易预计额度的公告</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关联交易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2023-04-29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南京银行：部分关联方情况介绍</w:t>
            </w:r>
          </w:p>
        </w:tc>
        <w:tc>
          <w:tcPr>
            <w:tcW w:w="1939"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关联交易</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262"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2023-04-29</w:t>
            </w:r>
          </w:p>
        </w:tc>
      </w:tr>
    </w:tbl>
    <w:p>
      <w:pPr>
        <w:spacing w:before="54" w:after="18"/>
        <w:ind w:firstLine="0"/>
        <w:jc w:val="left"/>
        <w:rPr>
          <w:rFonts w:ascii="微软雅黑" w:eastAsia="微软雅黑" w:hAnsi="微软雅黑" w:cs="微软雅黑"/>
          <w:b w:val="0"/>
          <w:color w:val="808080"/>
          <w:sz w:val="18"/>
          <w:u w:val="none"/>
        </w:rPr>
      </w:pPr>
      <w:r>
        <w:rPr>
          <w:rFonts w:ascii="微软雅黑" w:eastAsia="微软雅黑" w:hAnsi="微软雅黑" w:cs="微软雅黑"/>
          <w:b w:val="0"/>
          <w:color w:val="808080"/>
          <w:sz w:val="18"/>
          <w:u w:val="none"/>
        </w:rPr>
        <w:t>此维度共计175条记录，当前报告中显示20条，如需更多请登录官方网站进行查询。</w:t>
      </w:r>
    </w:p>
    <w:p>
      <w:pPr>
        <w:pStyle w:val="Heading1"/>
        <w:spacing w:before="600" w:after="150"/>
        <w:ind w:firstLine="0"/>
        <w:jc w:val="left"/>
        <w:rPr>
          <w:rFonts w:ascii="微软雅黑" w:eastAsia="微软雅黑" w:hAnsi="微软雅黑" w:cs="微软雅黑"/>
          <w:b/>
          <w:color w:val="000000"/>
          <w:sz w:val="30"/>
          <w:u w:val="none"/>
        </w:rPr>
      </w:pPr>
      <w:bookmarkStart w:id="47" w:name="_Toc256000043"/>
      <w:r>
        <w:rPr>
          <w:rFonts w:ascii="微软雅黑" w:eastAsia="微软雅黑" w:hAnsi="微软雅黑" w:cs="微软雅黑"/>
          <w:b/>
          <w:color w:val="000000"/>
          <w:sz w:val="30"/>
          <w:u w:val="none"/>
        </w:rPr>
        <w:t>8 关联风险</w:t>
      </w:r>
      <w:bookmarkEnd w:id="47"/>
    </w:p>
    <w:p>
      <w:pPr>
        <w:pStyle w:val="Heading2"/>
        <w:spacing w:before="72" w:after="24"/>
        <w:ind w:firstLine="0"/>
        <w:jc w:val="left"/>
        <w:rPr>
          <w:rFonts w:ascii="微软雅黑" w:eastAsia="微软雅黑" w:hAnsi="微软雅黑" w:cs="微软雅黑"/>
          <w:b/>
          <w:color w:val="000000"/>
          <w:sz w:val="24"/>
          <w:u w:val="none"/>
        </w:rPr>
      </w:pPr>
      <w:bookmarkStart w:id="48" w:name="_Toc256000044"/>
      <w:r>
        <w:rPr>
          <w:rFonts w:ascii="微软雅黑" w:eastAsia="微软雅黑" w:hAnsi="微软雅黑" w:cs="微软雅黑"/>
          <w:b/>
          <w:color w:val="000000"/>
          <w:sz w:val="24"/>
          <w:u w:val="none"/>
        </w:rPr>
        <w:t>8.1 关联企业风险</w:t>
      </w:r>
      <w:bookmarkEnd w:id="48"/>
    </w:p>
    <w:p>
      <w:pPr>
        <w:numPr>
          <w:ilvl w:val="0"/>
          <w:numId w:val="1"/>
        </w:numPr>
        <w:spacing w:before="60" w:after="20"/>
        <w:ind w:left="0"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股权冻结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2580"/>
        <w:gridCol w:w="2473"/>
        <w:gridCol w:w="3763"/>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585"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名称</w:t>
            </w:r>
          </w:p>
        </w:tc>
        <w:tc>
          <w:tcPr>
            <w:tcW w:w="2478"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关系</w:t>
            </w:r>
          </w:p>
        </w:tc>
        <w:tc>
          <w:tcPr>
            <w:tcW w:w="3770"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内容</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数量</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25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融联易云金融信息服务（北京）有限公司</w:t>
            </w:r>
          </w:p>
        </w:tc>
        <w:tc>
          <w:tcPr>
            <w:tcW w:w="247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对外投资，持股：6.25%</w:t>
            </w:r>
          </w:p>
        </w:tc>
        <w:tc>
          <w:tcPr>
            <w:tcW w:w="377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企业股权被冻结</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r>
    </w:tbl>
    <w:p>
      <w:pPr>
        <w:numPr>
          <w:ilvl w:val="0"/>
          <w:numId w:val="2"/>
        </w:numPr>
        <w:spacing w:before="60" w:after="20"/>
        <w:ind w:left="0"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商业合作纠纷（被告）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2580"/>
        <w:gridCol w:w="2473"/>
        <w:gridCol w:w="3763"/>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585"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名称</w:t>
            </w:r>
          </w:p>
        </w:tc>
        <w:tc>
          <w:tcPr>
            <w:tcW w:w="2478"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关系</w:t>
            </w:r>
          </w:p>
        </w:tc>
        <w:tc>
          <w:tcPr>
            <w:tcW w:w="3770"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内容</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数量</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c>
          <w:tcPr>
            <w:tcW w:w="2585"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江苏鑫智股权投资管理有限公司</w:t>
            </w:r>
          </w:p>
        </w:tc>
        <w:tc>
          <w:tcPr>
            <w:tcW w:w="2478"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对外投资，持股：100%</w:t>
            </w:r>
          </w:p>
        </w:tc>
        <w:tc>
          <w:tcPr>
            <w:tcW w:w="3770"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noWrap/>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Style w:val="DefaultParagraphFont"/>
                <w:rFonts w:ascii="微软雅黑" w:eastAsia="微软雅黑" w:hAnsi="微软雅黑" w:cs="微软雅黑"/>
                <w:b w:val="0"/>
                <w:color w:val="000000"/>
                <w:sz w:val="20"/>
                <w:u w:val="none"/>
              </w:rPr>
              <w:t>1</w:t>
            </w:r>
          </w:p>
        </w:tc>
      </w:tr>
    </w:tbl>
    <w:p>
      <w:pPr>
        <w:pStyle w:val="Heading1"/>
        <w:numPr>
          <w:ilvl w:val="0"/>
          <w:numId w:val="0"/>
        </w:numPr>
        <w:spacing w:before="600" w:after="150"/>
        <w:ind w:left="0" w:firstLine="0"/>
        <w:jc w:val="left"/>
        <w:rPr>
          <w:rFonts w:ascii="微软雅黑" w:eastAsia="微软雅黑" w:hAnsi="微软雅黑" w:cs="微软雅黑"/>
          <w:b/>
          <w:color w:val="000000"/>
          <w:sz w:val="30"/>
          <w:u w:val="none"/>
        </w:rPr>
      </w:pPr>
      <w:bookmarkStart w:id="49" w:name="_Toc256000045"/>
      <w:r>
        <w:rPr>
          <w:rFonts w:ascii="微软雅黑" w:eastAsia="微软雅黑" w:hAnsi="微软雅黑" w:cs="微软雅黑"/>
          <w:b/>
          <w:color w:val="000000"/>
          <w:sz w:val="30"/>
          <w:u w:val="none"/>
        </w:rPr>
        <w:t>9 历史信息</w:t>
      </w:r>
      <w:bookmarkEnd w:id="49"/>
    </w:p>
    <w:p>
      <w:pPr>
        <w:pStyle w:val="Heading2"/>
        <w:numPr>
          <w:ilvl w:val="0"/>
          <w:numId w:val="0"/>
        </w:numPr>
        <w:spacing w:before="72" w:after="24"/>
        <w:ind w:left="0" w:firstLine="0"/>
        <w:jc w:val="left"/>
        <w:rPr>
          <w:rFonts w:ascii="微软雅黑" w:eastAsia="微软雅黑" w:hAnsi="微软雅黑" w:cs="微软雅黑"/>
          <w:b/>
          <w:color w:val="000000"/>
          <w:sz w:val="24"/>
          <w:u w:val="none"/>
        </w:rPr>
      </w:pPr>
      <w:bookmarkStart w:id="50" w:name="_Toc256000046"/>
      <w:r>
        <w:rPr>
          <w:rFonts w:ascii="微软雅黑" w:eastAsia="微软雅黑" w:hAnsi="微软雅黑" w:cs="微软雅黑"/>
          <w:b/>
          <w:color w:val="000000"/>
          <w:sz w:val="24"/>
          <w:u w:val="none"/>
        </w:rPr>
        <w:t>9.1 历史工商信息</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6451"/>
        <w:gridCol w:w="344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6463"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历史注册资本</w:t>
            </w:r>
          </w:p>
        </w:tc>
        <w:tc>
          <w:tcPr>
            <w:tcW w:w="3447"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时间</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5000万元</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2017-08-09至2021-10-20</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3000万元</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-至2017-08-09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6463"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历史经营范围</w:t>
            </w:r>
          </w:p>
        </w:tc>
        <w:tc>
          <w:tcPr>
            <w:tcW w:w="3447"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时间</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6463"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信息技术、网络技术研发、技术咨询、技术服务、技术转让;计算机软硬件研发、销售;信息系统集成;企业管理咨询;教育咨询服务(依法须经批准的项目,经相关部门批准后方可开展经营活动)</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-至2021-07-12</w:t>
            </w:r>
          </w:p>
        </w:tc>
      </w:tr>
    </w:tbl>
    <w:p>
      <w:pPr>
        <w:pStyle w:val="Heading2"/>
        <w:numPr>
          <w:ilvl w:val="0"/>
          <w:numId w:val="0"/>
        </w:numPr>
        <w:spacing w:before="480" w:after="120"/>
        <w:ind w:left="0" w:firstLine="0"/>
        <w:jc w:val="left"/>
        <w:rPr>
          <w:rFonts w:ascii="微软雅黑" w:eastAsia="微软雅黑" w:hAnsi="微软雅黑" w:cs="微软雅黑"/>
          <w:b/>
          <w:color w:val="000000"/>
          <w:sz w:val="24"/>
          <w:u w:val="none"/>
        </w:rPr>
      </w:pPr>
      <w:bookmarkStart w:id="51" w:name="_Toc256000047"/>
      <w:r>
        <w:rPr>
          <w:rFonts w:ascii="微软雅黑" w:eastAsia="微软雅黑" w:hAnsi="微软雅黑" w:cs="微软雅黑"/>
          <w:b/>
          <w:color w:val="000000"/>
          <w:sz w:val="24"/>
          <w:u w:val="none"/>
        </w:rPr>
        <w:t>9.2 历史法定代表人 (1)</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4515"/>
        <w:gridCol w:w="2688"/>
        <w:gridCol w:w="268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4524"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名称</w:t>
            </w:r>
          </w:p>
        </w:tc>
        <w:tc>
          <w:tcPr>
            <w:tcW w:w="26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任职日期</w:t>
            </w:r>
          </w:p>
        </w:tc>
        <w:tc>
          <w:tcPr>
            <w:tcW w:w="2693"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卸任日期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4524"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余宣杰</w:t>
            </w:r>
          </w:p>
        </w:tc>
        <w:tc>
          <w:tcPr>
            <w:tcW w:w="2693"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2693"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2021-07-12</w:t>
            </w:r>
          </w:p>
        </w:tc>
      </w:tr>
    </w:tbl>
    <w:p>
      <w:pPr>
        <w:pStyle w:val="Heading2"/>
        <w:numPr>
          <w:ilvl w:val="0"/>
          <w:numId w:val="0"/>
        </w:numPr>
        <w:spacing w:before="480" w:after="120"/>
        <w:ind w:left="0" w:firstLine="0"/>
        <w:jc w:val="left"/>
        <w:rPr>
          <w:rFonts w:ascii="微软雅黑" w:eastAsia="微软雅黑" w:hAnsi="微软雅黑" w:cs="微软雅黑"/>
          <w:b/>
          <w:color w:val="000000"/>
          <w:sz w:val="24"/>
          <w:u w:val="none"/>
        </w:rPr>
      </w:pPr>
      <w:bookmarkStart w:id="52" w:name="_Toc256000048"/>
      <w:r>
        <w:rPr>
          <w:rFonts w:ascii="微软雅黑" w:eastAsia="微软雅黑" w:hAnsi="微软雅黑" w:cs="微软雅黑"/>
          <w:b/>
          <w:color w:val="000000"/>
          <w:sz w:val="24"/>
          <w:u w:val="none"/>
        </w:rPr>
        <w:t>9.3 历史主要人员 (7)</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1"/>
        <w:gridCol w:w="3440"/>
        <w:gridCol w:w="3225"/>
        <w:gridCol w:w="1613"/>
        <w:gridCol w:w="161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3447"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姓名</w:t>
            </w:r>
          </w:p>
        </w:tc>
        <w:tc>
          <w:tcPr>
            <w:tcW w:w="3232"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职务</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任职日期</w:t>
            </w:r>
          </w:p>
        </w:tc>
        <w:tc>
          <w:tcPr>
            <w:tcW w:w="1616"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卸任日期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王世欣</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董事</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2021-03-29</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2021-07-12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刘延新</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董事</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2020-09-16</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2021-07-12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3</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唐今阳</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董事</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2019-03-15</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2021-07-12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4</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余宣杰</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董事长</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2021-07-12</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5</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龙艺</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副董事长</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2021-03-29</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6</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胡传高</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董事</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2019-03-15</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2020-09-16</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7</w:t>
            </w:r>
          </w:p>
        </w:tc>
        <w:tc>
          <w:tcPr>
            <w:tcW w:w="344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陶承庆</w:t>
            </w:r>
          </w:p>
        </w:tc>
        <w:tc>
          <w:tcPr>
            <w:tcW w:w="323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监事</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616"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2019-03-15</w:t>
            </w:r>
          </w:p>
        </w:tc>
      </w:tr>
    </w:tbl>
    <w:p>
      <w:pPr>
        <w:pStyle w:val="Heading2"/>
        <w:numPr>
          <w:ilvl w:val="0"/>
          <w:numId w:val="0"/>
        </w:numPr>
        <w:spacing w:before="480" w:after="120"/>
        <w:ind w:left="0" w:firstLine="0"/>
        <w:jc w:val="left"/>
        <w:rPr>
          <w:rFonts w:ascii="微软雅黑" w:eastAsia="微软雅黑" w:hAnsi="微软雅黑" w:cs="微软雅黑"/>
          <w:b/>
          <w:color w:val="000000"/>
          <w:sz w:val="24"/>
          <w:u w:val="none"/>
        </w:rPr>
      </w:pPr>
      <w:bookmarkStart w:id="53" w:name="_Toc256000049"/>
      <w:r>
        <w:rPr>
          <w:rFonts w:ascii="微软雅黑" w:eastAsia="微软雅黑" w:hAnsi="微软雅黑" w:cs="微软雅黑"/>
          <w:b/>
          <w:color w:val="000000"/>
          <w:sz w:val="24"/>
          <w:u w:val="none"/>
        </w:rPr>
        <w:t>9.4 历史股东信息 (2)</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60"/>
        <w:gridCol w:w="2473"/>
        <w:gridCol w:w="1398"/>
        <w:gridCol w:w="1398"/>
        <w:gridCol w:w="1075"/>
        <w:gridCol w:w="1398"/>
        <w:gridCol w:w="1075"/>
        <w:gridCol w:w="107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center"/>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序号</w:t>
            </w:r>
          </w:p>
        </w:tc>
        <w:tc>
          <w:tcPr>
            <w:tcW w:w="2478"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股东名称</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股东类型</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退出时持股比例</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退出日期</w:t>
            </w:r>
          </w:p>
        </w:tc>
        <w:tc>
          <w:tcPr>
            <w:tcW w:w="1400"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认缴出资额</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认缴出资日期</w:t>
            </w:r>
          </w:p>
        </w:tc>
        <w:tc>
          <w:tcPr>
            <w:tcW w:w="1077" w:type="dxa"/>
            <w:tcBorders>
              <w:top w:val="single" w:sz="8" w:space="0" w:color="D8D8D8"/>
              <w:left w:val="single" w:sz="8" w:space="0" w:color="D8D8D8"/>
              <w:bottom w:val="single" w:sz="8" w:space="0" w:color="D8D8D8"/>
              <w:right w:val="single" w:sz="8" w:space="0" w:color="D8D8D8"/>
            </w:tcBorders>
            <w:shd w:val="clear" w:color="auto" w:fill="F2F2F2"/>
            <w:vAlign w:val="center"/>
          </w:tcPr>
          <w:p>
            <w:pPr>
              <w:numPr>
                <w:ilvl w:val="0"/>
                <w:numId w:val="0"/>
              </w:numPr>
              <w:spacing w:before="80" w:after="80"/>
              <w:ind w:left="12" w:right="12"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首次持股日期</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1</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北京科蓝软件系统股份有限公司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企业法人</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2021-07-12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r>
        <w:tblPrEx>
          <w:tblW w:w="5000" w:type="pct"/>
          <w:tblLayout w:type="fixed"/>
          <w:tblCellMar>
            <w:left w:w="108" w:type="dxa"/>
            <w:right w:w="108" w:type="dxa"/>
          </w:tblCellMar>
        </w:tblPrEx>
        <w:tc>
          <w:tcPr>
            <w:tcW w:w="862"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center"/>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w:t>
            </w:r>
          </w:p>
        </w:tc>
        <w:tc>
          <w:tcPr>
            <w:tcW w:w="2478"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江苏润和软件股份有限公司</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企业法人</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2021-07-12</w:t>
            </w:r>
          </w:p>
        </w:tc>
        <w:tc>
          <w:tcPr>
            <w:tcW w:w="1400"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c>
          <w:tcPr>
            <w:tcW w:w="1077" w:type="dxa"/>
            <w:tcBorders>
              <w:top w:val="single" w:sz="8" w:space="0" w:color="D8D8D8"/>
              <w:left w:val="single" w:sz="8" w:space="0" w:color="D8D8D8"/>
              <w:bottom w:val="single" w:sz="8" w:space="0" w:color="D8D8D8"/>
              <w:right w:val="single" w:sz="8" w:space="0" w:color="D8D8D8"/>
            </w:tcBorders>
            <w:shd w:val="clear" w:color="auto" w:fill="auto"/>
            <w:vAlign w:val="center"/>
          </w:tcPr>
          <w:p>
            <w:pPr>
              <w:numPr>
                <w:ilvl w:val="0"/>
                <w:numId w:val="0"/>
              </w:numPr>
              <w:spacing w:before="80" w:after="80"/>
              <w:ind w:left="12" w:right="12"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w:t>
            </w:r>
          </w:p>
        </w:tc>
      </w:tr>
    </w:tbl>
    <w:p>
      <w:pPr>
        <w:numPr>
          <w:ilvl w:val="0"/>
          <w:numId w:val="0"/>
        </w:numPr>
        <w:spacing w:before="54" w:after="18"/>
        <w:ind w:left="0" w:firstLine="0"/>
        <w:jc w:val="left"/>
        <w:rPr>
          <w:rFonts w:ascii="微软雅黑" w:eastAsia="微软雅黑" w:hAnsi="微软雅黑" w:cs="微软雅黑"/>
          <w:b w:val="0"/>
          <w:color w:val="808080"/>
          <w:sz w:val="18"/>
          <w:u w:val="none"/>
        </w:rPr>
      </w:pPr>
      <w:r>
        <w:rPr>
          <w:rFonts w:ascii="微软雅黑" w:eastAsia="微软雅黑" w:hAnsi="微软雅黑" w:cs="微软雅黑"/>
          <w:b/>
          <w:color w:val="000000"/>
          <w:sz w:val="24"/>
          <w:u w:val="none"/>
        </w:rPr>
        <w:br/>
      </w:r>
      <w:r>
        <w:rPr>
          <w:rFonts w:ascii="微软雅黑" w:eastAsia="微软雅黑" w:hAnsi="微软雅黑" w:cs="微软雅黑"/>
          <w:b w:val="0"/>
          <w:color w:val="808080"/>
          <w:sz w:val="18"/>
          <w:u w:val="none"/>
        </w:rPr>
        <w:t>历史环保处罚、历史终本案件、历史诉前调解、历史立案信息、历史法院公告、历史送达公告、历史裁判文书、历史动产抵押、历史开庭公告、历史股权出质、历史行政许可、历史股权冻结、历史知产出质、历史土地抵押，请登录官方网站进行查询。</w:t>
      </w:r>
    </w:p>
    <w:p>
      <w:pPr>
        <w:pStyle w:val="Heading1"/>
        <w:numPr>
          <w:ilvl w:val="0"/>
          <w:numId w:val="0"/>
        </w:numPr>
        <w:spacing w:before="600" w:after="150"/>
        <w:ind w:left="0" w:firstLine="0"/>
        <w:jc w:val="left"/>
        <w:rPr>
          <w:rFonts w:ascii="微软雅黑" w:eastAsia="微软雅黑" w:hAnsi="微软雅黑" w:cs="微软雅黑"/>
          <w:b/>
          <w:color w:val="000000"/>
          <w:sz w:val="30"/>
          <w:u w:val="none"/>
        </w:rPr>
      </w:pPr>
      <w:bookmarkStart w:id="54" w:name="_Toc256000050"/>
      <w:r>
        <w:rPr>
          <w:rFonts w:ascii="微软雅黑" w:eastAsia="微软雅黑" w:hAnsi="微软雅黑" w:cs="微软雅黑"/>
          <w:b/>
          <w:color w:val="000000"/>
          <w:sz w:val="30"/>
          <w:u w:val="none"/>
        </w:rPr>
        <w:t>10 维度说明</w:t>
      </w:r>
      <w:bookmarkEnd w:id="54"/>
    </w:p>
    <w:p>
      <w:pPr>
        <w:numPr>
          <w:ilvl w:val="0"/>
          <w:numId w:val="0"/>
        </w:numPr>
        <w:spacing w:before="60" w:after="20"/>
        <w:ind w:left="0" w:firstLine="0"/>
        <w:jc w:val="left"/>
        <w:rPr>
          <w:rFonts w:ascii="微软雅黑" w:eastAsia="微软雅黑" w:hAnsi="微软雅黑" w:cs="微软雅黑"/>
          <w:b w:val="0"/>
          <w:color w:val="000000"/>
          <w:sz w:val="20"/>
          <w:u w:val="none"/>
        </w:rPr>
      </w:pPr>
      <w:r>
        <w:rPr>
          <w:rFonts w:ascii="微软雅黑" w:eastAsia="微软雅黑" w:hAnsi="微软雅黑" w:cs="微软雅黑"/>
          <w:b w:val="0"/>
          <w:color w:val="000000"/>
          <w:sz w:val="20"/>
          <w:u w:val="none"/>
        </w:rPr>
        <w:t>截止至2026年06月03日，根据相关网站检索及企查查大数据分析以下已选报告维度暂未查询到相关信息，不排除因信息公开来源尚未公开、公开形式存在差异、检索时间存在滞后等情况导致的信息与客观事实不完全一致的情形，仅供客户参考。</w:t>
      </w:r>
    </w:p>
    <w:p>
      <w:pPr>
        <w:numPr>
          <w:ilvl w:val="0"/>
          <w:numId w:val="0"/>
        </w:numPr>
        <w:spacing w:before="60" w:after="20"/>
        <w:ind w:left="0" w:firstLine="0"/>
        <w:jc w:val="left"/>
        <w:rPr>
          <w:rFonts w:ascii="微软雅黑" w:eastAsia="微软雅黑" w:hAnsi="微软雅黑" w:cs="微软雅黑"/>
          <w:b/>
          <w:color w:val="000000"/>
          <w:sz w:val="20"/>
          <w:u w:val="none"/>
        </w:rPr>
      </w:pPr>
      <w:r>
        <w:rPr>
          <w:rFonts w:ascii="微软雅黑" w:eastAsia="微软雅黑" w:hAnsi="微软雅黑" w:cs="微软雅黑"/>
          <w:b/>
          <w:color w:val="000000"/>
          <w:sz w:val="20"/>
          <w:u w:val="none"/>
        </w:rPr>
        <w:t>暂未查询到相关信息的维度如下：</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400"/>
        <w:gridCol w:w="9372"/>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400" w:type="dxa"/>
            <w:tcBorders>
              <w:top w:val="nil"/>
              <w:left w:val="nil"/>
              <w:bottom w:val="nil"/>
              <w:right w:val="nil"/>
            </w:tcBorders>
            <w:shd w:val="clear" w:color="auto" w:fill="FFFFFF"/>
          </w:tcPr>
          <w:p>
            <w:pPr>
              <w:numPr>
                <w:ilvl w:val="0"/>
                <w:numId w:val="0"/>
              </w:numPr>
              <w:spacing w:before="63" w:after="21"/>
              <w:ind w:left="0"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基本信息： </w:t>
            </w:r>
          </w:p>
        </w:tc>
        <w:tc>
          <w:tcPr>
            <w:tcW w:w="9372" w:type="dxa"/>
            <w:tcBorders>
              <w:top w:val="nil"/>
              <w:left w:val="nil"/>
              <w:bottom w:val="nil"/>
              <w:right w:val="nil"/>
            </w:tcBorders>
            <w:shd w:val="clear" w:color="auto" w:fill="auto"/>
          </w:tcPr>
          <w:p>
            <w:pPr>
              <w:numPr>
                <w:ilvl w:val="0"/>
                <w:numId w:val="0"/>
              </w:numPr>
              <w:spacing w:before="63" w:after="21"/>
              <w:ind w:left="0"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分支机构、疑似关系、参控股企业</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numPr>
                <w:ilvl w:val="0"/>
                <w:numId w:val="0"/>
              </w:numPr>
              <w:spacing w:before="63" w:after="21"/>
              <w:ind w:left="0"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法定代表人相关信息： </w:t>
            </w:r>
          </w:p>
        </w:tc>
        <w:tc>
          <w:tcPr>
            <w:tcW w:w="9372" w:type="dxa"/>
            <w:tcBorders>
              <w:top w:val="nil"/>
              <w:left w:val="nil"/>
              <w:bottom w:val="nil"/>
              <w:right w:val="nil"/>
            </w:tcBorders>
            <w:shd w:val="clear" w:color="auto" w:fill="auto"/>
          </w:tcPr>
          <w:p>
            <w:pPr>
              <w:numPr>
                <w:ilvl w:val="0"/>
                <w:numId w:val="0"/>
              </w:numPr>
              <w:spacing w:before="63" w:after="21"/>
              <w:ind w:left="0"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法定代表人对外投资信息</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numPr>
                <w:ilvl w:val="0"/>
                <w:numId w:val="0"/>
              </w:numPr>
              <w:spacing w:before="63" w:after="21"/>
              <w:ind w:left="0"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法律风险： </w:t>
            </w:r>
          </w:p>
        </w:tc>
        <w:tc>
          <w:tcPr>
            <w:tcW w:w="9372" w:type="dxa"/>
            <w:tcBorders>
              <w:top w:val="nil"/>
              <w:left w:val="nil"/>
              <w:bottom w:val="nil"/>
              <w:right w:val="nil"/>
            </w:tcBorders>
            <w:shd w:val="clear" w:color="auto" w:fill="auto"/>
          </w:tcPr>
          <w:p>
            <w:pPr>
              <w:numPr>
                <w:ilvl w:val="0"/>
                <w:numId w:val="0"/>
              </w:numPr>
              <w:spacing w:before="63" w:after="21"/>
              <w:ind w:left="0"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司法案件、失信被执行人、被执行人、限制高消费、终本案件、裁判文书、立案信息、开庭公告、法院公告、送达公告、破产重整、股权冻结、司法拍卖、公安通告、询价评估、诉前调解、限制出境</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numPr>
                <w:ilvl w:val="0"/>
                <w:numId w:val="0"/>
              </w:numPr>
              <w:spacing w:before="63" w:after="21"/>
              <w:ind w:left="0"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经营风险： </w:t>
            </w:r>
          </w:p>
        </w:tc>
        <w:tc>
          <w:tcPr>
            <w:tcW w:w="9372" w:type="dxa"/>
            <w:tcBorders>
              <w:top w:val="nil"/>
              <w:left w:val="nil"/>
              <w:bottom w:val="nil"/>
              <w:right w:val="nil"/>
            </w:tcBorders>
            <w:shd w:val="clear" w:color="auto" w:fill="auto"/>
          </w:tcPr>
          <w:p>
            <w:pPr>
              <w:numPr>
                <w:ilvl w:val="0"/>
                <w:numId w:val="0"/>
              </w:numPr>
              <w:spacing w:before="63" w:after="21"/>
              <w:ind w:left="0"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行政处罚、经营异常、严重违法、环保处罚、欠税公告、税收违法、惩戒名单、担保信息、股权出质、动产抵押、土地抵押、简易注销、注销备案、清算信息、票据违约、产品召回、公示催告</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numPr>
                <w:ilvl w:val="0"/>
                <w:numId w:val="0"/>
              </w:numPr>
              <w:spacing w:before="63" w:after="21"/>
              <w:ind w:left="0"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经营信息： </w:t>
            </w:r>
          </w:p>
        </w:tc>
        <w:tc>
          <w:tcPr>
            <w:tcW w:w="9372" w:type="dxa"/>
            <w:tcBorders>
              <w:top w:val="nil"/>
              <w:left w:val="nil"/>
              <w:bottom w:val="nil"/>
              <w:right w:val="nil"/>
            </w:tcBorders>
            <w:shd w:val="clear" w:color="auto" w:fill="auto"/>
          </w:tcPr>
          <w:p>
            <w:pPr>
              <w:numPr>
                <w:ilvl w:val="0"/>
                <w:numId w:val="0"/>
              </w:numPr>
              <w:spacing w:before="63" w:after="21"/>
              <w:ind w:left="0"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进出口信用、国有土地受让、土地转让、债券信息、抽查检查、电信许可、供应商、双随机抽查、产权交易、资产拍卖、食品安全</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numPr>
                <w:ilvl w:val="0"/>
                <w:numId w:val="0"/>
              </w:numPr>
              <w:spacing w:before="63" w:after="21"/>
              <w:ind w:left="0"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企业发展： </w:t>
            </w:r>
          </w:p>
        </w:tc>
        <w:tc>
          <w:tcPr>
            <w:tcW w:w="9372" w:type="dxa"/>
            <w:tcBorders>
              <w:top w:val="nil"/>
              <w:left w:val="nil"/>
              <w:bottom w:val="nil"/>
              <w:right w:val="nil"/>
            </w:tcBorders>
            <w:shd w:val="clear" w:color="auto" w:fill="auto"/>
          </w:tcPr>
          <w:p>
            <w:pPr>
              <w:numPr>
                <w:ilvl w:val="0"/>
                <w:numId w:val="0"/>
              </w:numPr>
              <w:spacing w:before="63" w:after="21"/>
              <w:ind w:left="0"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创投融资、投资机构、私募基金管理人、上榜榜单</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numPr>
                <w:ilvl w:val="0"/>
                <w:numId w:val="0"/>
              </w:numPr>
              <w:spacing w:before="63" w:after="21"/>
              <w:ind w:left="0"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知识产权： </w:t>
            </w:r>
          </w:p>
        </w:tc>
        <w:tc>
          <w:tcPr>
            <w:tcW w:w="9372" w:type="dxa"/>
            <w:tcBorders>
              <w:top w:val="nil"/>
              <w:left w:val="nil"/>
              <w:bottom w:val="nil"/>
              <w:right w:val="nil"/>
            </w:tcBorders>
            <w:shd w:val="clear" w:color="auto" w:fill="auto"/>
          </w:tcPr>
          <w:p>
            <w:pPr>
              <w:numPr>
                <w:ilvl w:val="0"/>
                <w:numId w:val="0"/>
              </w:numPr>
              <w:spacing w:before="63" w:after="21"/>
              <w:ind w:left="0"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作品著作权、微信公众号、知产出质</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numPr>
                <w:ilvl w:val="0"/>
                <w:numId w:val="0"/>
              </w:numPr>
              <w:spacing w:before="63" w:after="21"/>
              <w:ind w:left="0"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新闻公告： </w:t>
            </w:r>
          </w:p>
        </w:tc>
        <w:tc>
          <w:tcPr>
            <w:tcW w:w="9372" w:type="dxa"/>
            <w:tcBorders>
              <w:top w:val="nil"/>
              <w:left w:val="nil"/>
              <w:bottom w:val="nil"/>
              <w:right w:val="nil"/>
            </w:tcBorders>
            <w:shd w:val="clear" w:color="auto" w:fill="auto"/>
          </w:tcPr>
          <w:p>
            <w:pPr>
              <w:numPr>
                <w:ilvl w:val="0"/>
                <w:numId w:val="0"/>
              </w:numPr>
              <w:spacing w:before="63" w:after="21"/>
              <w:ind w:left="0"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企业公告、政府公告</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numPr>
                <w:ilvl w:val="0"/>
                <w:numId w:val="0"/>
              </w:numPr>
              <w:spacing w:before="63" w:after="21"/>
              <w:ind w:left="0"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关联风险： </w:t>
            </w:r>
          </w:p>
        </w:tc>
        <w:tc>
          <w:tcPr>
            <w:tcW w:w="9372" w:type="dxa"/>
            <w:tcBorders>
              <w:top w:val="nil"/>
              <w:left w:val="nil"/>
              <w:bottom w:val="nil"/>
              <w:right w:val="nil"/>
            </w:tcBorders>
            <w:shd w:val="clear" w:color="auto" w:fill="auto"/>
          </w:tcPr>
          <w:p>
            <w:pPr>
              <w:numPr>
                <w:ilvl w:val="0"/>
                <w:numId w:val="0"/>
              </w:numPr>
              <w:spacing w:before="63" w:after="21"/>
              <w:ind w:left="0" w:firstLine="0"/>
              <w:jc w:val="left"/>
              <w:rPr>
                <w:rFonts w:ascii="微软雅黑" w:eastAsia="微软雅黑" w:hAnsi="微软雅黑" w:cs="微软雅黑"/>
                <w:b/>
                <w:color w:val="000000"/>
                <w:sz w:val="21"/>
                <w:u w:val="none"/>
              </w:rPr>
            </w:pPr>
            <w:r>
              <w:rPr>
                <w:rFonts w:ascii="微软雅黑" w:eastAsia="微软雅黑" w:hAnsi="微软雅黑" w:cs="微软雅黑"/>
                <w:b w:val="0"/>
                <w:color w:val="000000"/>
                <w:sz w:val="21"/>
                <w:u w:val="none"/>
              </w:rPr>
              <w:t>关联人风险</w:t>
            </w:r>
          </w:p>
        </w:tc>
      </w:tr>
      <w:tr>
        <w:tblPrEx>
          <w:tblLayout w:type="fixed"/>
          <w:tblCellMar>
            <w:left w:w="108" w:type="dxa"/>
            <w:right w:w="108" w:type="dxa"/>
          </w:tblCellMar>
        </w:tblPrEx>
        <w:tc>
          <w:tcPr>
            <w:tcW w:w="1400" w:type="dxa"/>
            <w:tcBorders>
              <w:top w:val="nil"/>
              <w:left w:val="nil"/>
              <w:bottom w:val="nil"/>
              <w:right w:val="nil"/>
            </w:tcBorders>
            <w:shd w:val="clear" w:color="auto" w:fill="FFFFFF"/>
          </w:tcPr>
          <w:p>
            <w:pPr>
              <w:numPr>
                <w:ilvl w:val="0"/>
                <w:numId w:val="0"/>
              </w:numPr>
              <w:spacing w:before="63" w:after="21"/>
              <w:ind w:left="0" w:firstLine="0"/>
              <w:jc w:val="left"/>
              <w:rPr>
                <w:rFonts w:ascii="微软雅黑" w:eastAsia="微软雅黑" w:hAnsi="微软雅黑" w:cs="微软雅黑"/>
                <w:b w:val="0"/>
                <w:color w:val="000000"/>
                <w:sz w:val="21"/>
                <w:u w:val="none"/>
              </w:rPr>
            </w:pPr>
            <w:r>
              <w:rPr>
                <w:rFonts w:ascii="微软雅黑" w:eastAsia="微软雅黑" w:hAnsi="微软雅黑" w:cs="微软雅黑"/>
                <w:b/>
                <w:color w:val="000000"/>
                <w:sz w:val="21"/>
                <w:u w:val="none"/>
              </w:rPr>
              <w:t xml:space="preserve">历史信息： </w:t>
            </w:r>
          </w:p>
        </w:tc>
        <w:tc>
          <w:tcPr>
            <w:tcW w:w="9372" w:type="dxa"/>
            <w:tcBorders>
              <w:top w:val="nil"/>
              <w:left w:val="nil"/>
              <w:bottom w:val="nil"/>
              <w:right w:val="nil"/>
            </w:tcBorders>
            <w:shd w:val="clear" w:color="auto" w:fill="auto"/>
          </w:tcPr>
          <w:p>
            <w:pPr>
              <w:numPr>
                <w:ilvl w:val="0"/>
                <w:numId w:val="0"/>
              </w:numPr>
              <w:spacing w:before="63" w:after="21"/>
              <w:ind w:left="0" w:firstLine="0"/>
              <w:jc w:val="left"/>
              <w:rPr>
                <w:rFonts w:ascii="微软雅黑" w:eastAsia="微软雅黑" w:hAnsi="微软雅黑" w:cs="微软雅黑"/>
                <w:b w:val="0"/>
                <w:color w:val="000000"/>
                <w:sz w:val="21"/>
                <w:u w:val="none"/>
              </w:rPr>
            </w:pPr>
            <w:r>
              <w:rPr>
                <w:rFonts w:ascii="微软雅黑" w:eastAsia="微软雅黑" w:hAnsi="微软雅黑" w:cs="微软雅黑"/>
                <w:b w:val="0"/>
                <w:color w:val="000000"/>
                <w:sz w:val="21"/>
                <w:u w:val="none"/>
              </w:rPr>
              <w:t>历史对外投资、历史严重违法、历史失信被执行人、历史限制高消费、历史被执行人、历史行政处罚、历史破产重整、历史经营异常</w:t>
            </w:r>
          </w:p>
        </w:tc>
      </w:tr>
    </w:tbl>
    <w:p>
      <w:r>
        <w:br w:type="page"/>
      </w:r>
      <w:r>
        <w:drawing>
          <wp:anchor simplePos="0" relativeHeight="251663360" behindDoc="1" locked="0" layoutInCell="1" allowOverlap="1">
            <wp:simplePos x="0" y="0"/>
            <wp:positionH relativeFrom="page">
              <wp:posOffset>0</wp:posOffset>
            </wp:positionH>
            <wp:positionV relativeFrom="page">
              <wp:posOffset>0</wp:posOffset>
            </wp:positionV>
            <wp:extent cx="7560310" cy="10692130"/>
            <wp:wrapNone/>
            <wp:docPr id="100047" name=""/>
            <wp:cNvGraphicFramePr/>
            <a:graphic xmlns:a="http://schemas.openxmlformats.org/drawingml/2006/main">
              <a:graphicData uri="http://schemas.openxmlformats.org/drawingml/2006/picture">
                <pic:pic xmlns:pic="http://schemas.openxmlformats.org/drawingml/2006/picture">
                  <pic:nvPicPr>
                    <pic:cNvPr id="100047" name=""/>
                    <pic:cNvPicPr/>
                  </pic:nvPicPr>
                  <pic:blipFill>
                    <a:blip xmlns:r="http://schemas.openxmlformats.org/officeDocument/2006/relationships" r:embed="rId43"/>
                    <a:stretch>
                      <a:fillRect/>
                    </a:stretch>
                  </pic:blipFill>
                  <pic:spPr>
                    <a:xfrm>
                      <a:off x="0" y="0"/>
                      <a:ext cx="7560310" cy="10692130"/>
                    </a:xfrm>
                    <a:prstGeom prst="rect">
                      <a:avLst/>
                    </a:prstGeom>
                  </pic:spPr>
                </pic:pic>
              </a:graphicData>
            </a:graphic>
          </wp:anchor>
        </w:drawing>
      </w:r>
    </w:p>
    <w:sectPr w:rsidSect="0016644D">
      <w:type w:val="nextPage"/>
      <w:pgSz w:w="11906" w:h="16838"/>
      <w:pgMar w:top="1134" w:right="567" w:bottom="1134" w:left="567" w:header="397" w:footer="340"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03DB">
    <w:pPr>
      <w:pStyle w:val="Footer"/>
      <w:spacing w:before="24" w:after="2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03DB">
    <w:pPr>
      <w:pStyle w:val="Footer"/>
      <w:spacing w:before="24" w:after="24"/>
      <w:jc w:val="right"/>
      <w:rPr>
        <w:rFonts w:ascii="微软雅黑" w:hAnsi="微软雅黑" w:hint="eastAsia"/>
      </w:rPr>
    </w:pPr>
    <w:bookmarkStart w:id="4" w:name="页脚_左"/>
    <w:r>
      <w:rPr>
        <w:rFonts w:ascii="微软雅黑" w:hAnsi="微软雅黑"/>
      </w:rPr>
      <w:t>企查查科技股份有限公司</w:t>
    </w:r>
    <w:bookmarkEnd w:id="4"/>
    <w:r>
      <w:rPr>
        <w:noProof/>
      </w:rPr>
      <mc:AlternateContent>
        <mc:Choice Requires="wps">
          <w:drawing>
            <wp:anchor distT="45720" distB="45720" distL="114300" distR="114300" simplePos="0" relativeHeight="251663360" behindDoc="1" locked="0" layoutInCell="1" allowOverlap="1">
              <wp:simplePos x="0" y="0"/>
              <wp:positionH relativeFrom="column">
                <wp:posOffset>4410075</wp:posOffset>
              </wp:positionH>
              <wp:positionV relativeFrom="paragraph">
                <wp:posOffset>-2540</wp:posOffset>
              </wp:positionV>
              <wp:extent cx="2727198" cy="257175"/>
              <wp:effectExtent l="0" t="0" r="8890" b="8890"/>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27198" cy="257175"/>
                      </a:xfrm>
                      <a:prstGeom prst="rect">
                        <a:avLst/>
                      </a:prstGeom>
                      <a:noFill/>
                      <a:ln w="9525">
                        <a:noFill/>
                        <a:miter lim="800000"/>
                      </a:ln>
                    </wps:spPr>
                    <wps:txbx>
                      <w:txbxContent>
                        <w:p w:rsidR="00AC03DB">
                          <w:pPr>
                            <w:spacing w:before="24" w:after="24"/>
                            <w:jc w:val="right"/>
                            <w:rPr>
                              <w:rFonts w:hint="eastAsia"/>
                              <w:color w:val="FEFEFE"/>
                            </w:rPr>
                          </w:pPr>
                          <w:bookmarkStart w:id="5" w:name="Finger4"/>
                          <w:bookmarkEnd w:id="5"/>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2051" type="#_x0000_t202" style="height:20.25pt;margin-left:347.25pt;margin-top:-0.2pt;mso-height-percent:0;mso-height-relative:page;mso-width-percent:400;mso-width-relative:margin;mso-wrap-distance-bottom:3.6pt;mso-wrap-distance-left:9pt;mso-wrap-distance-right:9pt;mso-wrap-distance-top:3.6pt;mso-wrap-style:square;position:absolute;v-text-anchor:top;visibility:visible;width:185.9pt;z-index:-251652096" filled="f" stroked="f">
              <v:textbox style="mso-fit-shape-to-text:t" inset="0,0,0,0">
                <w:txbxContent>
                  <w:p w:rsidR="00AC03DB">
                    <w:pPr>
                      <w:spacing w:before="24" w:after="24"/>
                      <w:jc w:val="right"/>
                      <w:rPr>
                        <w:rFonts w:hint="eastAsia"/>
                        <w:color w:val="FEFEFE"/>
                      </w:rPr>
                    </w:pPr>
                    <w:bookmarkStart w:id="5" w:name="Finger4"/>
                    <w:bookmarkEnd w:id="5"/>
                  </w:p>
                </w:txbxContent>
              </v:textbox>
            </v:shape>
          </w:pict>
        </mc:Fallback>
      </mc:AlternateContent>
    </w:r>
    <w:r>
      <w:rPr>
        <w:noProof/>
      </w:rPr>
      <mc:AlternateContent>
        <mc:Choice Requires="wps">
          <w:drawing>
            <wp:anchor distT="45720" distB="45720" distL="114300" distR="114300" simplePos="0" relativeHeight="251665408" behindDoc="1" locked="0" layoutInCell="1" allowOverlap="1">
              <wp:simplePos x="0" y="0"/>
              <wp:positionH relativeFrom="column">
                <wp:posOffset>4410075</wp:posOffset>
              </wp:positionH>
              <wp:positionV relativeFrom="paragraph">
                <wp:posOffset>-2564765</wp:posOffset>
              </wp:positionV>
              <wp:extent cx="2727198" cy="257175"/>
              <wp:effectExtent l="0" t="0" r="8890" b="0"/>
              <wp:wrapNone/>
              <wp:docPr id="3"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27198" cy="257175"/>
                      </a:xfrm>
                      <a:prstGeom prst="rect">
                        <a:avLst/>
                      </a:prstGeom>
                      <a:noFill/>
                      <a:ln w="9525">
                        <a:noFill/>
                        <a:miter lim="800000"/>
                      </a:ln>
                    </wps:spPr>
                    <wps:txbx>
                      <w:txbxContent>
                        <w:p w:rsidR="00AC03DB">
                          <w:pPr>
                            <w:spacing w:before="24" w:after="24"/>
                            <w:jc w:val="right"/>
                            <w:rPr>
                              <w:rFonts w:hint="eastAsia"/>
                              <w:color w:val="FEFEFE"/>
                            </w:rPr>
                          </w:pPr>
                          <w:bookmarkStart w:id="6" w:name="Finger3"/>
                          <w:bookmarkEnd w:id="6"/>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 id="_x0000_s2052" type="#_x0000_t202" style="height:20.25pt;margin-left:347.25pt;margin-top:-201.95pt;mso-height-percent:0;mso-height-relative:page;mso-width-percent:400;mso-width-relative:margin;mso-wrap-distance-bottom:3.6pt;mso-wrap-distance-left:9pt;mso-wrap-distance-right:9pt;mso-wrap-distance-top:3.6pt;mso-wrap-style:square;position:absolute;v-text-anchor:top;visibility:visible;width:185.9pt;z-index:-251650048" filled="f" stroked="f">
              <v:textbox style="mso-fit-shape-to-text:t" inset="0,0,0,0">
                <w:txbxContent>
                  <w:p w:rsidR="00AC03DB">
                    <w:pPr>
                      <w:spacing w:before="24" w:after="24"/>
                      <w:jc w:val="right"/>
                      <w:rPr>
                        <w:rFonts w:hint="eastAsia"/>
                        <w:color w:val="FEFEFE"/>
                      </w:rPr>
                    </w:pPr>
                    <w:bookmarkStart w:id="6" w:name="Finger3"/>
                    <w:bookmarkEnd w:id="6"/>
                  </w:p>
                </w:txbxContent>
              </v:textbox>
            </v:shape>
          </w:pict>
        </mc:Fallback>
      </mc:AlternateContent>
    </w:r>
    <w:r>
      <w:ptab w:relativeTo="margin" w:alignment="center" w:leader="none"/>
    </w:r>
    <w:r>
      <w:ptab w:relativeTo="margin" w:alignment="right" w:leader="none"/>
    </w:r>
    <w:r>
      <w:rPr>
        <w:rFonts w:ascii="微软雅黑" w:hAnsi="微软雅黑"/>
        <w:lang w:val="zh-CN"/>
      </w:rPr>
      <w:t xml:space="preserve"> </w:t>
    </w:r>
    <w:r>
      <w:rPr>
        <w:rFonts w:ascii="微软雅黑" w:hAnsi="微软雅黑"/>
        <w:lang w:val="zh-CN"/>
      </w:rPr>
      <w:fldChar w:fldCharType="begin"/>
    </w:r>
    <w:r>
      <w:rPr>
        <w:rFonts w:ascii="微软雅黑" w:hAnsi="微软雅黑"/>
        <w:lang w:val="zh-CN"/>
      </w:rPr>
      <w:instrText>PAGE   \* MERGEFORMAT</w:instrText>
    </w:r>
    <w:r>
      <w:rPr>
        <w:rFonts w:ascii="微软雅黑" w:hAnsi="微软雅黑"/>
        <w:lang w:val="zh-CN"/>
      </w:rPr>
      <w:fldChar w:fldCharType="separate"/>
    </w:r>
    <w:r>
      <w:rPr>
        <w:rFonts w:ascii="微软雅黑" w:hAnsi="微软雅黑"/>
        <w:lang w:val="zh-CN"/>
      </w:rPr>
      <w:t>52</w:t>
    </w:r>
    <w:r>
      <w:rPr>
        <w:rFonts w:ascii="微软雅黑" w:hAnsi="微软雅黑"/>
        <w:lang w:val="zh-CN"/>
      </w:rPr>
      <w:fldChar w:fldCharType="end"/>
    </w:r>
    <w:r>
      <w:rPr>
        <w:rFonts w:ascii="微软雅黑" w:hAnsi="微软雅黑"/>
        <w:color w:val="7F7F7F" w:themeColor="text1" w:themeTint="80"/>
        <w:sz w:val="20"/>
      </w:rPr>
      <w:t xml:space="preserve"> </w:t>
    </w:r>
    <w:r>
      <w:rPr>
        <w:rFonts w:ascii="微软雅黑" w:hAnsi="微软雅黑"/>
        <w:color w:val="7F7F7F" w:themeColor="text1" w:themeTint="8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03DB">
    <w:pPr>
      <w:pStyle w:val="Footer"/>
      <w:spacing w:before="24" w:after="24"/>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03DB">
    <w:pPr>
      <w:pStyle w:val="Header"/>
      <w:spacing w:before="24" w:after="24"/>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26BB" w:rsidRPr="00BD6826" w:rsidP="00A44491">
    <w:pPr>
      <w:pStyle w:val="Header"/>
      <w:pBdr>
        <w:bottom w:val="single" w:sz="4" w:space="1" w:color="CCCCCC"/>
      </w:pBdr>
      <w:spacing w:before="24" w:after="24"/>
      <w:jc w:val="left"/>
      <w:rPr>
        <w:rFonts w:ascii="微软雅黑" w:hAnsi="微软雅黑" w:hint="eastAsia"/>
        <w:color w:val="666666"/>
      </w:rPr>
    </w:pPr>
    <w:bookmarkStart w:id="0" w:name="页眉_左"/>
    <w:r>
      <w:rPr>
        <w:noProof/>
      </w:rPr>
      <w:drawing>
        <wp:anchor simplePos="0" relativeHeight="251658240" behindDoc="1" locked="0" layoutInCell="1" allowOverlap="1">
          <wp:simplePos x="0" y="0"/>
          <wp:positionH relativeFrom="column">
            <wp:posOffset>0</wp:posOffset>
          </wp:positionH>
          <wp:positionV relativeFrom="paragraph">
            <wp:posOffset>-63500</wp:posOffset>
          </wp:positionV>
          <wp:extent cx="2247900" cy="279400"/>
          <wp:wrapNone/>
          <wp:docPr id="100015" name=""/>
          <wp:cNvGraphicFramePr/>
          <a:graphic xmlns:a="http://schemas.openxmlformats.org/drawingml/2006/main">
            <a:graphicData uri="http://schemas.openxmlformats.org/drawingml/2006/picture">
              <pic:pic xmlns:pic="http://schemas.openxmlformats.org/drawingml/2006/picture">
                <pic:nvPicPr>
                  <pic:cNvPr id="100015" name=""/>
                  <pic:cNvPicPr/>
                </pic:nvPicPr>
                <pic:blipFill>
                  <a:blip xmlns:r="http://schemas.openxmlformats.org/officeDocument/2006/relationships" r:embed="rId1"/>
                  <a:stretch>
                    <a:fillRect/>
                  </a:stretch>
                </pic:blipFill>
                <pic:spPr>
                  <a:xfrm>
                    <a:off x="0" y="0"/>
                    <a:ext cx="2247900" cy="279400"/>
                  </a:xfrm>
                  <a:prstGeom prst="rect">
                    <a:avLst/>
                  </a:prstGeom>
                </pic:spPr>
              </pic:pic>
            </a:graphicData>
          </a:graphic>
        </wp:anchor>
      </w:drawing>
    </w:r>
    <w:bookmarkEnd w:id="0"/>
    <w:r>
      <w:rPr>
        <w:noProof/>
      </w:rPr>
      <mc:AlternateContent>
        <mc:Choice Requires="wps">
          <w:drawing>
            <wp:anchor distT="45720" distB="45720" distL="114300" distR="114300" simplePos="0" relativeHeight="251659264" behindDoc="1" locked="0" layoutInCell="1" allowOverlap="1">
              <wp:simplePos x="0" y="0"/>
              <wp:positionH relativeFrom="column">
                <wp:posOffset>4410075</wp:posOffset>
              </wp:positionH>
              <wp:positionV relativeFrom="paragraph">
                <wp:posOffset>35560</wp:posOffset>
              </wp:positionV>
              <wp:extent cx="2727198" cy="257175"/>
              <wp:effectExtent l="0" t="0" r="8890" b="8890"/>
              <wp:wrapNone/>
              <wp:docPr id="21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27198" cy="257175"/>
                      </a:xfrm>
                      <a:prstGeom prst="rect">
                        <a:avLst/>
                      </a:prstGeom>
                      <a:noFill/>
                      <a:ln w="9525">
                        <a:noFill/>
                        <a:miter lim="800000"/>
                      </a:ln>
                    </wps:spPr>
                    <wps:txbx>
                      <w:txbxContent>
                        <w:p w:rsidR="00AC03DB">
                          <w:pPr>
                            <w:spacing w:before="24" w:after="24"/>
                            <w:jc w:val="right"/>
                            <w:rPr>
                              <w:rFonts w:hint="eastAsia"/>
                              <w:color w:val="FEFEFE"/>
                            </w:rPr>
                          </w:pPr>
                          <w:bookmarkStart w:id="1" w:name="Finger1"/>
                          <w:bookmarkEnd w:id="1"/>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 o:spid="_x0000_s2049" type="#_x0000_t202" style="height:20.25pt;margin-left:347.25pt;margin-top:2.8pt;mso-height-percent:0;mso-height-relative:page;mso-width-percent:400;mso-width-relative:margin;mso-wrap-distance-bottom:3.6pt;mso-wrap-distance-left:9pt;mso-wrap-distance-right:9pt;mso-wrap-distance-top:3.6pt;mso-wrap-style:square;position:absolute;v-text-anchor:top;visibility:visible;width:185.9pt;z-index:-251656192" filled="f" stroked="f">
              <v:textbox style="mso-fit-shape-to-text:t" inset="0,0,0,0">
                <w:txbxContent>
                  <w:p w:rsidR="00AC03DB">
                    <w:pPr>
                      <w:spacing w:before="24" w:after="24"/>
                      <w:jc w:val="right"/>
                      <w:rPr>
                        <w:rFonts w:hint="eastAsia"/>
                        <w:color w:val="FEFEFE"/>
                      </w:rPr>
                    </w:pPr>
                    <w:bookmarkStart w:id="1" w:name="Finger1"/>
                    <w:bookmarkEnd w:id="1"/>
                  </w:p>
                </w:txbxContent>
              </v:textbox>
            </v:shape>
          </w:pict>
        </mc:Fallback>
      </mc:AlternateContent>
    </w:r>
    <w:r>
      <w:rPr>
        <w:noProof/>
      </w:rPr>
      <mc:AlternateContent>
        <mc:Choice Requires="wps">
          <w:drawing>
            <wp:anchor distT="45720" distB="45720" distL="114300" distR="114300" simplePos="0" relativeHeight="251661312" behindDoc="1" locked="0" layoutInCell="1" allowOverlap="1">
              <wp:simplePos x="0" y="0"/>
              <wp:positionH relativeFrom="column">
                <wp:posOffset>4410075</wp:posOffset>
              </wp:positionH>
              <wp:positionV relativeFrom="paragraph">
                <wp:posOffset>4573905</wp:posOffset>
              </wp:positionV>
              <wp:extent cx="2727198" cy="257175"/>
              <wp:effectExtent l="0" t="0" r="8890" b="8890"/>
              <wp:wrapNone/>
              <wp:docPr id="1"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27198" cy="257175"/>
                      </a:xfrm>
                      <a:prstGeom prst="rect">
                        <a:avLst/>
                      </a:prstGeom>
                      <a:noFill/>
                      <a:ln w="9525">
                        <a:noFill/>
                        <a:miter lim="800000"/>
                      </a:ln>
                    </wps:spPr>
                    <wps:txbx>
                      <w:txbxContent>
                        <w:p w:rsidR="00AC03DB">
                          <w:pPr>
                            <w:spacing w:before="24" w:after="24"/>
                            <w:jc w:val="right"/>
                            <w:rPr>
                              <w:rFonts w:hint="eastAsia"/>
                              <w:color w:val="FEFEFE"/>
                            </w:rPr>
                          </w:pPr>
                          <w:bookmarkStart w:id="2" w:name="Finger2"/>
                          <w:bookmarkEnd w:id="2"/>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 id="_x0000_s2050" type="#_x0000_t202" style="height:20.25pt;margin-left:347.25pt;margin-top:360.15pt;mso-height-percent:0;mso-height-relative:page;mso-width-percent:400;mso-width-relative:margin;mso-wrap-distance-bottom:3.6pt;mso-wrap-distance-left:9pt;mso-wrap-distance-right:9pt;mso-wrap-distance-top:3.6pt;mso-wrap-style:square;position:absolute;v-text-anchor:top;visibility:visible;width:185.9pt;z-index:-251654144" filled="f" stroked="f">
              <v:textbox style="mso-fit-shape-to-text:t" inset="0,0,0,0">
                <w:txbxContent>
                  <w:p w:rsidR="00AC03DB">
                    <w:pPr>
                      <w:spacing w:before="24" w:after="24"/>
                      <w:jc w:val="right"/>
                      <w:rPr>
                        <w:rFonts w:hint="eastAsia"/>
                        <w:color w:val="FEFEFE"/>
                      </w:rPr>
                    </w:pPr>
                    <w:bookmarkStart w:id="2" w:name="Finger2"/>
                    <w:bookmarkEnd w:id="2"/>
                  </w:p>
                </w:txbxContent>
              </v:textbox>
            </v:shape>
          </w:pict>
        </mc:Fallback>
      </mc:AlternateContent>
    </w:r>
    <w:r>
      <w:ptab w:relativeTo="margin" w:alignment="center" w:leader="none"/>
    </w:r>
    <w:r>
      <w:ptab w:relativeTo="margin" w:alignment="right" w:leader="none"/>
    </w:r>
    <w:r>
      <w:t xml:space="preserve"> </w:t>
    </w:r>
    <w:bookmarkStart w:id="3" w:name="页眉_右"/>
    <w:r w:rsidRPr="00BD6826" w:rsidR="00A326BB">
      <w:rPr>
        <w:rFonts w:ascii="微软雅黑" w:hAnsi="微软雅黑" w:hint="eastAsia"/>
        <w:color w:val="666666"/>
      </w:rPr>
      <w:t>联系电话：400-088-8275</w:t>
    </w:r>
    <w:bookmarkEnd w:id="3"/>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03DB">
    <w:pPr>
      <w:pStyle w:val="Header"/>
      <w:pBdr>
        <w:bottom w:val="none" w:sz="0" w:space="0" w:color="auto"/>
      </w:pBdr>
      <w:spacing w:before="24" w:after="24"/>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none"/>
      <w:lvlText w:val=""/>
      <w:lvlJc w:val="left"/>
      <w:pPr>
        <w:tabs>
          <w:tab w:val="num" w:pos="300"/>
        </w:tabs>
        <w:ind w:left="300" w:firstLine="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none"/>
      <w:lvlText w:val=""/>
      <w:lvlJc w:val="left"/>
      <w:pPr>
        <w:tabs>
          <w:tab w:val="num" w:pos="300"/>
        </w:tabs>
        <w:ind w:left="300" w:firstLine="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AxYzY4ODM3OWU2OWIwNTU4MDE1ZGNkNDczY2I4MG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snapToGrid w:val="0"/>
      <w:spacing w:before="10" w:beforeLines="10" w:after="10" w:afterLines="10"/>
      <w:jc w:val="both"/>
    </w:pPr>
    <w:rPr>
      <w:rFonts w:eastAsia="微软雅黑"/>
      <w:kern w:val="2"/>
      <w:sz w:val="21"/>
      <w:szCs w:val="22"/>
    </w:rPr>
  </w:style>
  <w:style w:type="paragraph" w:styleId="Heading1">
    <w:name w:val="heading 1"/>
    <w:basedOn w:val="Normal"/>
    <w:next w:val="Normal"/>
    <w:link w:val="10"/>
    <w:uiPriority w:val="9"/>
    <w:qFormat/>
    <w:pPr>
      <w:keepNext/>
      <w:keepLines/>
      <w:spacing w:before="30" w:beforeLines="30" w:after="30" w:afterLines="30"/>
      <w:outlineLvl w:val="0"/>
    </w:pPr>
    <w:rPr>
      <w:b/>
      <w:bCs/>
      <w:kern w:val="44"/>
      <w:sz w:val="36"/>
      <w:szCs w:val="44"/>
    </w:rPr>
  </w:style>
  <w:style w:type="paragraph" w:styleId="Heading2">
    <w:name w:val="heading 2"/>
    <w:basedOn w:val="Normal"/>
    <w:next w:val="Normal"/>
    <w:link w:val="2"/>
    <w:uiPriority w:val="9"/>
    <w:unhideWhenUsed/>
    <w:qFormat/>
    <w:pPr>
      <w:spacing w:before="30" w:beforeLines="30" w:after="30" w:afterLines="30"/>
      <w:jc w:val="left"/>
      <w:outlineLvl w:val="1"/>
    </w:pPr>
    <w:rPr>
      <w:rFonts w:ascii="微软雅黑" w:hAnsi="微软雅黑"/>
      <w:b/>
      <w:sz w:val="32"/>
      <w:szCs w:val="24"/>
    </w:rPr>
  </w:style>
  <w:style w:type="paragraph" w:styleId="Heading3">
    <w:name w:val="heading 3"/>
    <w:basedOn w:val="Normal"/>
    <w:next w:val="Normal"/>
    <w:link w:val="3"/>
    <w:uiPriority w:val="9"/>
    <w:unhideWhenUsed/>
    <w:qFormat/>
    <w:pPr>
      <w:keepNext/>
      <w:keepLines/>
      <w:spacing w:before="30" w:beforeLines="30" w:after="30" w:afterLines="30"/>
      <w:outlineLvl w:val="2"/>
    </w:pPr>
    <w:rPr>
      <w:rFonts w:ascii="微软雅黑" w:hAnsi="微软雅黑"/>
      <w:b/>
      <w:sz w:val="3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1"/>
    <w:uiPriority w:val="99"/>
    <w:semiHidden/>
    <w:unhideWhenUsed/>
    <w:pPr>
      <w:jc w:val="left"/>
    </w:pPr>
  </w:style>
  <w:style w:type="paragraph" w:styleId="BalloonText">
    <w:name w:val="Balloon Text"/>
    <w:basedOn w:val="Normal"/>
    <w:link w:val="a3"/>
    <w:uiPriority w:val="99"/>
    <w:semiHidden/>
    <w:unhideWhenUsed/>
    <w:rPr>
      <w:sz w:val="18"/>
      <w:szCs w:val="18"/>
    </w:rPr>
  </w:style>
  <w:style w:type="paragraph" w:styleId="Footer">
    <w:name w:val="footer"/>
    <w:basedOn w:val="Normal"/>
    <w:link w:val="a0"/>
    <w:uiPriority w:val="99"/>
    <w:unhideWhenUsed/>
    <w:pPr>
      <w:tabs>
        <w:tab w:val="center" w:pos="4153"/>
        <w:tab w:val="right" w:pos="8306"/>
      </w:tabs>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jc w:val="center"/>
    </w:pPr>
    <w:rPr>
      <w:sz w:val="18"/>
      <w:szCs w:val="18"/>
    </w:rPr>
  </w:style>
  <w:style w:type="paragraph" w:styleId="Subtitle">
    <w:name w:val="Subtitle"/>
    <w:basedOn w:val="Normal"/>
    <w:next w:val="Normal"/>
    <w:link w:val="a5"/>
    <w:uiPriority w:val="11"/>
    <w:qFormat/>
    <w:pPr>
      <w:spacing w:before="240" w:after="60" w:line="312" w:lineRule="auto"/>
      <w:jc w:val="center"/>
      <w:outlineLvl w:val="1"/>
    </w:pPr>
    <w:rPr>
      <w:b/>
      <w:bCs/>
      <w:kern w:val="28"/>
      <w:sz w:val="32"/>
      <w:szCs w:val="32"/>
    </w:rPr>
  </w:style>
  <w:style w:type="paragraph" w:styleId="CommentSubject">
    <w:name w:val="annotation subject"/>
    <w:basedOn w:val="CommentText"/>
    <w:next w:val="CommentText"/>
    <w:link w:val="a2"/>
    <w:uiPriority w:val="99"/>
    <w:semiHidden/>
    <w:unhideWhenUsed/>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rPr>
      <w:sz w:val="21"/>
      <w:szCs w:val="21"/>
    </w:rPr>
  </w:style>
  <w:style w:type="paragraph" w:styleId="ListParagraph">
    <w:name w:val="List Paragraph"/>
    <w:basedOn w:val="Normal"/>
    <w:uiPriority w:val="34"/>
    <w:qFormat/>
    <w:pPr>
      <w:ind w:firstLine="420" w:firstLineChars="200"/>
    </w:pPr>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rPr>
      <w:sz w:val="18"/>
      <w:szCs w:val="18"/>
    </w:rPr>
  </w:style>
  <w:style w:type="character" w:customStyle="1" w:styleId="a1">
    <w:name w:val="批注文字 字符"/>
    <w:basedOn w:val="DefaultParagraphFont"/>
    <w:link w:val="CommentText"/>
    <w:uiPriority w:val="99"/>
    <w:semiHidden/>
  </w:style>
  <w:style w:type="character" w:customStyle="1" w:styleId="a2">
    <w:name w:val="批注主题 字符"/>
    <w:basedOn w:val="a1"/>
    <w:link w:val="CommentSubject"/>
    <w:uiPriority w:val="99"/>
    <w:semiHidden/>
    <w:rPr>
      <w:b/>
      <w:bCs/>
    </w:rPr>
  </w:style>
  <w:style w:type="character" w:customStyle="1" w:styleId="a3">
    <w:name w:val="批注框文本 字符"/>
    <w:basedOn w:val="DefaultParagraphFont"/>
    <w:link w:val="BalloonText"/>
    <w:uiPriority w:val="99"/>
    <w:semiHidden/>
    <w:qFormat/>
    <w:rPr>
      <w:sz w:val="18"/>
      <w:szCs w:val="18"/>
    </w:rPr>
  </w:style>
  <w:style w:type="character" w:customStyle="1" w:styleId="1">
    <w:name w:val="@他1"/>
    <w:basedOn w:val="DefaultParagraphFont"/>
    <w:uiPriority w:val="99"/>
    <w:semiHidden/>
    <w:unhideWhenUsed/>
    <w:rPr>
      <w:color w:val="2B579A"/>
      <w:shd w:val="clear" w:color="auto" w:fill="E6E6E6"/>
    </w:rPr>
  </w:style>
  <w:style w:type="paragraph" w:styleId="NoSpacing">
    <w:name w:val="No Spacing"/>
    <w:link w:val="a4"/>
    <w:uiPriority w:val="1"/>
    <w:qFormat/>
    <w:rPr>
      <w:sz w:val="22"/>
      <w:szCs w:val="22"/>
    </w:rPr>
  </w:style>
  <w:style w:type="character" w:customStyle="1" w:styleId="a4">
    <w:name w:val="无间隔 字符"/>
    <w:basedOn w:val="DefaultParagraphFont"/>
    <w:link w:val="NoSpacing"/>
    <w:uiPriority w:val="1"/>
    <w:rPr>
      <w:kern w:val="0"/>
      <w:sz w:val="22"/>
    </w:rPr>
  </w:style>
  <w:style w:type="character" w:customStyle="1" w:styleId="10">
    <w:name w:val="标题 1 字符"/>
    <w:basedOn w:val="DefaultParagraphFont"/>
    <w:link w:val="Heading1"/>
    <w:uiPriority w:val="9"/>
    <w:rPr>
      <w:rFonts w:eastAsia="微软雅黑"/>
      <w:b/>
      <w:bCs/>
      <w:kern w:val="44"/>
      <w:sz w:val="36"/>
      <w:szCs w:val="44"/>
    </w:rPr>
  </w:style>
  <w:style w:type="character" w:customStyle="1" w:styleId="a5">
    <w:name w:val="副标题 字符"/>
    <w:basedOn w:val="DefaultParagraphFont"/>
    <w:link w:val="Subtitle"/>
    <w:uiPriority w:val="11"/>
    <w:rPr>
      <w:b/>
      <w:bCs/>
      <w:kern w:val="28"/>
      <w:sz w:val="32"/>
      <w:szCs w:val="32"/>
    </w:rPr>
  </w:style>
  <w:style w:type="character" w:customStyle="1" w:styleId="2">
    <w:name w:val="标题 2 字符"/>
    <w:basedOn w:val="DefaultParagraphFont"/>
    <w:link w:val="Heading2"/>
    <w:uiPriority w:val="9"/>
    <w:rPr>
      <w:rFonts w:ascii="微软雅黑" w:eastAsia="微软雅黑" w:hAnsi="微软雅黑"/>
      <w:b/>
      <w:sz w:val="32"/>
      <w:szCs w:val="24"/>
    </w:rPr>
  </w:style>
  <w:style w:type="character" w:customStyle="1" w:styleId="3">
    <w:name w:val="标题 3 字符"/>
    <w:basedOn w:val="DefaultParagraphFont"/>
    <w:link w:val="Heading3"/>
    <w:uiPriority w:val="9"/>
    <w:semiHidden/>
    <w:rPr>
      <w:rFonts w:ascii="微软雅黑" w:eastAsia="微软雅黑" w:hAnsi="微软雅黑"/>
      <w:b/>
      <w:sz w:val="30"/>
      <w:szCs w:val="32"/>
    </w:rPr>
  </w:style>
  <w:style w:type="paragraph" w:styleId="TOC1">
    <w:name w:val="toc 1"/>
    <w:basedOn w:val="Normal"/>
    <w:next w:val="Normal"/>
    <w:autoRedefine/>
    <w:rsid w:val="00805BCE"/>
    <w:rPr>
      <w:b/>
      <w:sz w:val="28"/>
    </w:rPr>
  </w:style>
  <w:style w:type="paragraph" w:styleId="TOC2">
    <w:name w:val="toc 2"/>
    <w:basedOn w:val="Normal"/>
    <w:next w:val="Normal"/>
    <w:autoRedefine/>
    <w:rsid w:val="00805BCE"/>
    <w:pPr>
      <w:ind w:left="240"/>
    </w:pPr>
    <w:rPr>
      <w:sz w:val="24"/>
    </w:rPr>
  </w:style>
  <w:style w:type="paragraph" w:styleId="TOC3">
    <w:name w:val="toc 3"/>
    <w:basedOn w:val="Normal"/>
    <w:next w:val="Normal"/>
    <w:autoRedefine/>
    <w:rsid w:val="00805BCE"/>
    <w:pPr>
      <w:ind w:left="480"/>
    </w:pPr>
    <w:rPr>
      <w:sz w:val="22"/>
    </w:rPr>
  </w:style>
  <w:style w:type="paragraph" w:styleId="TOC4">
    <w:name w:val="toc 4"/>
    <w:basedOn w:val="Normal"/>
    <w:next w:val="Normal"/>
    <w:autoRedefine/>
    <w:rsid w:val="00805BCE"/>
    <w:pPr>
      <w:ind w:left="72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image" Target="media/image3.png" /><Relationship Id="rId14" Type="http://schemas.openxmlformats.org/officeDocument/2006/relationships/chart" Target="charts/chart1.xml" /><Relationship Id="rId15" Type="http://schemas.openxmlformats.org/officeDocument/2006/relationships/chart" Target="charts/chart2.xml" /><Relationship Id="rId16" Type="http://schemas.openxmlformats.org/officeDocument/2006/relationships/chart" Target="charts/chart3.xml" /><Relationship Id="rId17" Type="http://schemas.openxmlformats.org/officeDocument/2006/relationships/chart" Target="charts/chart4.xml" /><Relationship Id="rId18" Type="http://schemas.openxmlformats.org/officeDocument/2006/relationships/image" Target="media/image4.jpeg" /><Relationship Id="rId19" Type="http://schemas.openxmlformats.org/officeDocument/2006/relationships/image" Target="media/image5.jpeg" /><Relationship Id="rId2" Type="http://schemas.openxmlformats.org/officeDocument/2006/relationships/webSettings" Target="webSettings.xml" /><Relationship Id="rId20" Type="http://schemas.openxmlformats.org/officeDocument/2006/relationships/image" Target="media/image6.jpeg" /><Relationship Id="rId21" Type="http://schemas.openxmlformats.org/officeDocument/2006/relationships/image" Target="media/image7.jpeg" /><Relationship Id="rId22" Type="http://schemas.openxmlformats.org/officeDocument/2006/relationships/image" Target="media/image8.jpeg" /><Relationship Id="rId23" Type="http://schemas.openxmlformats.org/officeDocument/2006/relationships/image" Target="media/image9.jpeg" /><Relationship Id="rId24" Type="http://schemas.openxmlformats.org/officeDocument/2006/relationships/image" Target="media/image10.jpeg" /><Relationship Id="rId25" Type="http://schemas.openxmlformats.org/officeDocument/2006/relationships/image" Target="media/image11.jpeg" /><Relationship Id="rId26" Type="http://schemas.openxmlformats.org/officeDocument/2006/relationships/image" Target="media/image12.jpeg" /><Relationship Id="rId27" Type="http://schemas.openxmlformats.org/officeDocument/2006/relationships/image" Target="media/image13.jpeg" /><Relationship Id="rId28" Type="http://schemas.openxmlformats.org/officeDocument/2006/relationships/image" Target="media/image14.jpeg" /><Relationship Id="rId29" Type="http://schemas.openxmlformats.org/officeDocument/2006/relationships/image" Target="media/image15.jpeg" /><Relationship Id="rId3" Type="http://schemas.openxmlformats.org/officeDocument/2006/relationships/fontTable" Target="fontTable.xml" /><Relationship Id="rId30" Type="http://schemas.openxmlformats.org/officeDocument/2006/relationships/image" Target="media/image16.jpeg" /><Relationship Id="rId31" Type="http://schemas.openxmlformats.org/officeDocument/2006/relationships/image" Target="media/image17.jpeg" /><Relationship Id="rId32" Type="http://schemas.openxmlformats.org/officeDocument/2006/relationships/chart" Target="charts/chart5.xml" /><Relationship Id="rId33" Type="http://schemas.openxmlformats.org/officeDocument/2006/relationships/chart" Target="charts/chart6.xml" /><Relationship Id="rId34" Type="http://schemas.openxmlformats.org/officeDocument/2006/relationships/chart" Target="charts/chart7.xml" /><Relationship Id="rId35" Type="http://schemas.openxmlformats.org/officeDocument/2006/relationships/image" Target="media/image18.jpeg" /><Relationship Id="rId36" Type="http://schemas.openxmlformats.org/officeDocument/2006/relationships/image" Target="media/image19.jpeg" /><Relationship Id="rId37" Type="http://schemas.openxmlformats.org/officeDocument/2006/relationships/image" Target="media/image20.jpeg" /><Relationship Id="rId38" Type="http://schemas.openxmlformats.org/officeDocument/2006/relationships/image" Target="media/image21.jpeg" /><Relationship Id="rId39" Type="http://schemas.openxmlformats.org/officeDocument/2006/relationships/image" Target="media/image22.jpeg" /><Relationship Id="rId4" Type="http://schemas.openxmlformats.org/officeDocument/2006/relationships/customXml" Target="../customXml/item1.xml" /><Relationship Id="rId40" Type="http://schemas.openxmlformats.org/officeDocument/2006/relationships/chart" Target="charts/chart8.xml" /><Relationship Id="rId41" Type="http://schemas.openxmlformats.org/officeDocument/2006/relationships/chart" Target="charts/chart9.xml" /><Relationship Id="rId42" Type="http://schemas.openxmlformats.org/officeDocument/2006/relationships/chart" Target="charts/chart10.xml" /><Relationship Id="rId43" Type="http://schemas.openxmlformats.org/officeDocument/2006/relationships/image" Target="media/image23.png" /><Relationship Id="rId44" Type="http://schemas.openxmlformats.org/officeDocument/2006/relationships/theme" Target="theme/theme1.xml" /><Relationship Id="rId45" Type="http://schemas.openxmlformats.org/officeDocument/2006/relationships/numbering" Target="numbering.xml" /><Relationship Id="rId46" Type="http://schemas.openxmlformats.org/officeDocument/2006/relationships/styles" Target="styles.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_rels/header2.xml.rels>&#65279;<?xml version="1.0" encoding="utf-8" standalone="yes"?><Relationships xmlns="http://schemas.openxmlformats.org/package/2006/relationships"><Relationship Id="rId1" Type="http://schemas.openxmlformats.org/officeDocument/2006/relationships/image" Target="media/image2.png" /></Relationships>
</file>

<file path=word/charts/chart1.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autoTitleDeleted val="1"/>
    <c:plotArea>
      <c:barChart>
        <c:barDir val="bar"/>
        <c:grouping val="clustered"/>
        <c:varyColors val="0"/>
        <c:ser>
          <c:idx val="0"/>
          <c:order val="0"/>
          <c:tx>
            <c:v>TOP10 股东出资比例（%）</c:v>
          </c:tx>
          <c:dLbls>
            <c:dLbl>
              <c:idx val="0"/>
              <c:showLegendKey val="0"/>
              <c:showVal val="1"/>
              <c:showCatName val="0"/>
              <c:showSerName val="0"/>
              <c:showPercent val="0"/>
              <c:showLeaderLines val="0"/>
            </c:dLbl>
          </c:dLbls>
          <c:cat>
            <c:strLit>
              <c:ptCount val="1"/>
              <c:pt idx="0">
                <c:v>南京银资物业经营管理有限责任公司</c:v>
              </c:pt>
            </c:strLit>
          </c:cat>
          <c:val>
            <c:numLit>
              <c:ptCount val="1"/>
              <c:pt idx="0" formatCode="General">
                <c:v>100</c:v>
              </c:pt>
            </c:numLit>
          </c:val>
        </c:ser>
        <c:dLbls>
          <c:showLegendKey val="0"/>
          <c:showVal val="0"/>
          <c:showCatName val="0"/>
          <c:showSerName val="0"/>
          <c:showPercent val="0"/>
          <c:showBubbleSize val="0"/>
        </c:dLbls>
        <c:gapWidth val="182"/>
        <c:axId val="305304064"/>
        <c:axId val="305306024"/>
      </c:barChart>
      <c:catAx>
        <c:axId val="305304064"/>
        <c:scaling>
          <c:orientation val="minMax"/>
        </c:scaling>
        <c:axPos val="l"/>
        <c:numFmt formatCode="General" sourceLinked="1"/>
        <c:majorTickMark val="none"/>
        <c:minorTickMark val="none"/>
        <c:tickLblPos val="nextTo"/>
        <c:spPr>
          <a:noFill/>
          <a:ln w="9525">
            <a:solidFill>
              <a:schemeClr val="tx1">
                <a:lumMod val="15000"/>
                <a:lumOff val="85000"/>
              </a:schemeClr>
            </a:solidFill>
            <a:round/>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06024"/>
        <c:crosses val="autoZero"/>
        <c:auto val="1"/>
        <c:lblAlgn val="ctr"/>
        <c:lblOffset val="100"/>
      </c:catAx>
      <c:valAx>
        <c:axId val="305306024"/>
        <c:scaling>
          <c:orientation val="minMax"/>
        </c:scaling>
        <c:axPos val="b"/>
        <c:majorGridlines>
          <c:spPr>
            <a:ln w="9525">
              <a:solidFill>
                <a:schemeClr val="tx1">
                  <a:lumMod val="15000"/>
                  <a:lumOff val="85000"/>
                </a:schemeClr>
              </a:solidFill>
              <a:round/>
            </a:ln>
          </c:spPr>
        </c:majorGridlines>
        <c:numFmt formatCode="General" sourceLinked="1"/>
        <c:majorTickMark val="none"/>
        <c:minorTickMark val="none"/>
        <c:tickLblPos val="nextTo"/>
        <c:spPr>
          <a:noFill/>
          <a:ln w="6350">
            <a:noFill/>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04064"/>
        <c:crosses val="autoZero"/>
        <c:crossBetween val="between"/>
      </c:valAx>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净利润(-51.12万 ~ -51.12万)</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barChart>
        <c:barDir val="col"/>
        <c:grouping val="clustered"/>
        <c:varyColors val="0"/>
        <c:ser>
          <c:idx val="0"/>
          <c:order val="0"/>
          <c:tx>
            <c:v>净利润(万)</c:v>
          </c:tx>
          <c:dLbls>
            <c:dLbl>
              <c:idx val="0"/>
              <c:showLegendKey val="0"/>
              <c:showVal val="0"/>
              <c:showCatName val="0"/>
              <c:showSerName val="0"/>
              <c:showPercent val="0"/>
              <c:showLeaderLines val="0"/>
            </c:dLbl>
          </c:dLbls>
          <c:cat>
            <c:strLit>
              <c:ptCount val="1"/>
              <c:pt idx="0">
                <c:v>2016</c:v>
              </c:pt>
            </c:strLit>
          </c:cat>
          <c:val>
            <c:numLit>
              <c:ptCount val="1"/>
              <c:pt idx="0" formatCode="General">
                <c:v>-51.12</c:v>
              </c:pt>
            </c:numLit>
          </c:val>
        </c:ser>
        <c:dLbls>
          <c:showLegendKey val="0"/>
          <c:showVal val="0"/>
          <c:showCatName val="0"/>
          <c:showSerName val="0"/>
          <c:showPercent val="0"/>
          <c:showBubbleSize val="0"/>
        </c:dLbls>
        <c:gapWidth val="219"/>
        <c:overlap val="-27"/>
        <c:axId val="305324448"/>
        <c:axId val="305318568"/>
      </c:barChart>
      <c:catAx>
        <c:axId val="305324448"/>
        <c:scaling>
          <c:orientation val="minMax"/>
        </c:scaling>
        <c:axPos val="b"/>
        <c:numFmt formatCode="General" sourceLinked="1"/>
        <c:majorTickMark val="none"/>
        <c:minorTickMark val="none"/>
        <c:tickLblPos val="nextTo"/>
        <c:spPr>
          <a:noFill/>
          <a:ln w="9525">
            <a:solidFill>
              <a:schemeClr val="tx1">
                <a:lumMod val="15000"/>
                <a:lumOff val="85000"/>
              </a:schemeClr>
            </a:solidFill>
            <a:round/>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18568"/>
        <c:crosses val="autoZero"/>
        <c:auto val="1"/>
        <c:lblAlgn val="ctr"/>
        <c:lblOffset val="100"/>
      </c:catAx>
      <c:valAx>
        <c:axId val="305318568"/>
        <c:scaling>
          <c:orientation val="minMax"/>
        </c:scaling>
        <c:axPos val="l"/>
        <c:majorGridlines>
          <c:spPr>
            <a:ln w="9525">
              <a:solidFill>
                <a:schemeClr val="tx1">
                  <a:lumMod val="15000"/>
                  <a:lumOff val="85000"/>
                </a:schemeClr>
              </a:solidFill>
              <a:round/>
            </a:ln>
          </c:spPr>
        </c:majorGridlines>
        <c:numFmt formatCode="General" sourceLinked="1"/>
        <c:majorTickMark val="none"/>
        <c:minorTickMark val="none"/>
        <c:tickLblPos val="nextTo"/>
        <c:spPr>
          <a:noFill/>
          <a:ln w="6350">
            <a:noFill/>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24448"/>
        <c:crosses val="autoZero"/>
        <c:crossBetween val="between"/>
      </c:valAx>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3.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总资产(1,383.26万 ~ 1,383.26万)</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barChart>
        <c:barDir val="col"/>
        <c:grouping val="clustered"/>
        <c:varyColors val="0"/>
        <c:ser>
          <c:idx val="0"/>
          <c:order val="0"/>
          <c:tx>
            <c:v>总资产(万)</c:v>
          </c:tx>
          <c:dLbls>
            <c:dLbl>
              <c:idx val="0"/>
              <c:showLegendKey val="0"/>
              <c:showVal val="0"/>
              <c:showCatName val="0"/>
              <c:showSerName val="0"/>
              <c:showPercent val="0"/>
              <c:showLeaderLines val="0"/>
            </c:dLbl>
          </c:dLbls>
          <c:cat>
            <c:strLit>
              <c:ptCount val="1"/>
              <c:pt idx="0">
                <c:v>2016</c:v>
              </c:pt>
            </c:strLit>
          </c:cat>
          <c:val>
            <c:numLit>
              <c:ptCount val="1"/>
              <c:pt idx="0" formatCode="General">
                <c:v>1383.26</c:v>
              </c:pt>
            </c:numLit>
          </c:val>
        </c:ser>
        <c:dLbls>
          <c:showLegendKey val="0"/>
          <c:showVal val="0"/>
          <c:showCatName val="0"/>
          <c:showSerName val="0"/>
          <c:showPercent val="0"/>
          <c:showBubbleSize val="0"/>
        </c:dLbls>
        <c:gapWidth val="219"/>
        <c:overlap val="-27"/>
        <c:axId val="305324448"/>
        <c:axId val="305318568"/>
      </c:barChart>
      <c:catAx>
        <c:axId val="305324448"/>
        <c:scaling>
          <c:orientation val="minMax"/>
        </c:scaling>
        <c:axPos val="b"/>
        <c:numFmt formatCode="General" sourceLinked="1"/>
        <c:majorTickMark val="none"/>
        <c:minorTickMark val="none"/>
        <c:tickLblPos val="nextTo"/>
        <c:spPr>
          <a:noFill/>
          <a:ln w="9525">
            <a:solidFill>
              <a:schemeClr val="tx1">
                <a:lumMod val="15000"/>
                <a:lumOff val="85000"/>
              </a:schemeClr>
            </a:solidFill>
            <a:round/>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18568"/>
        <c:crosses val="autoZero"/>
        <c:auto val="1"/>
        <c:lblAlgn val="ctr"/>
        <c:lblOffset val="100"/>
      </c:catAx>
      <c:valAx>
        <c:axId val="305318568"/>
        <c:scaling>
          <c:orientation val="minMax"/>
        </c:scaling>
        <c:axPos val="l"/>
        <c:majorGridlines>
          <c:spPr>
            <a:ln w="9525">
              <a:solidFill>
                <a:schemeClr val="tx1">
                  <a:lumMod val="15000"/>
                  <a:lumOff val="85000"/>
                </a:schemeClr>
              </a:solidFill>
              <a:round/>
            </a:ln>
          </c:spPr>
        </c:majorGridlines>
        <c:numFmt formatCode="General" sourceLinked="1"/>
        <c:majorTickMark val="none"/>
        <c:minorTickMark val="none"/>
        <c:tickLblPos val="nextTo"/>
        <c:spPr>
          <a:noFill/>
          <a:ln w="6350">
            <a:noFill/>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24448"/>
        <c:crosses val="autoZero"/>
        <c:crossBetween val="between"/>
      </c:valAx>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4.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净资产(1,376.88万 ~ 1,376.88万)</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barChart>
        <c:barDir val="col"/>
        <c:grouping val="clustered"/>
        <c:varyColors val="0"/>
        <c:ser>
          <c:idx val="0"/>
          <c:order val="0"/>
          <c:tx>
            <c:v>净资产(万)</c:v>
          </c:tx>
          <c:dLbls>
            <c:dLbl>
              <c:idx val="0"/>
              <c:showLegendKey val="0"/>
              <c:showVal val="0"/>
              <c:showCatName val="0"/>
              <c:showSerName val="0"/>
              <c:showPercent val="0"/>
              <c:showLeaderLines val="0"/>
            </c:dLbl>
          </c:dLbls>
          <c:cat>
            <c:strLit>
              <c:ptCount val="1"/>
              <c:pt idx="0">
                <c:v>2016</c:v>
              </c:pt>
            </c:strLit>
          </c:cat>
          <c:val>
            <c:numLit>
              <c:ptCount val="1"/>
              <c:pt idx="0" formatCode="General">
                <c:v>1376.88</c:v>
              </c:pt>
            </c:numLit>
          </c:val>
        </c:ser>
        <c:dLbls>
          <c:showLegendKey val="0"/>
          <c:showVal val="0"/>
          <c:showCatName val="0"/>
          <c:showSerName val="0"/>
          <c:showPercent val="0"/>
          <c:showBubbleSize val="0"/>
        </c:dLbls>
        <c:gapWidth val="219"/>
        <c:overlap val="-27"/>
        <c:axId val="305324448"/>
        <c:axId val="305318568"/>
      </c:barChart>
      <c:catAx>
        <c:axId val="305324448"/>
        <c:scaling>
          <c:orientation val="minMax"/>
        </c:scaling>
        <c:axPos val="b"/>
        <c:numFmt formatCode="General" sourceLinked="1"/>
        <c:majorTickMark val="none"/>
        <c:minorTickMark val="none"/>
        <c:tickLblPos val="nextTo"/>
        <c:spPr>
          <a:noFill/>
          <a:ln w="9525">
            <a:solidFill>
              <a:schemeClr val="tx1">
                <a:lumMod val="15000"/>
                <a:lumOff val="85000"/>
              </a:schemeClr>
            </a:solidFill>
            <a:round/>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18568"/>
        <c:crosses val="autoZero"/>
        <c:auto val="1"/>
        <c:lblAlgn val="ctr"/>
        <c:lblOffset val="100"/>
      </c:catAx>
      <c:valAx>
        <c:axId val="305318568"/>
        <c:scaling>
          <c:orientation val="minMax"/>
        </c:scaling>
        <c:axPos val="l"/>
        <c:majorGridlines>
          <c:spPr>
            <a:ln w="9525">
              <a:solidFill>
                <a:schemeClr val="tx1">
                  <a:lumMod val="15000"/>
                  <a:lumOff val="85000"/>
                </a:schemeClr>
              </a:solidFill>
              <a:round/>
            </a:ln>
          </c:spPr>
        </c:majorGridlines>
        <c:numFmt formatCode="General" sourceLinked="1"/>
        <c:majorTickMark val="none"/>
        <c:minorTickMark val="none"/>
        <c:tickLblPos val="nextTo"/>
        <c:spPr>
          <a:noFill/>
          <a:ln w="6350">
            <a:noFill/>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24448"/>
        <c:crosses val="autoZero"/>
        <c:crossBetween val="between"/>
      </c:valAx>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5.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商标申请年份趋势图</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lineChart>
        <c:grouping val="standard"/>
        <c:varyColors val="0"/>
        <c:ser>
          <c:idx val="0"/>
          <c:order val="0"/>
          <c:tx>
            <c:v>商标申请年份趋势</c:v>
          </c:tx>
          <c:marker>
            <c:symbol val="circle"/>
          </c:marker>
          <c:dLbls>
            <c:dLbl>
              <c:idx val="0"/>
              <c:showLegendKey val="0"/>
              <c:showVal val="1"/>
              <c:showCatName val="0"/>
              <c:showSerName val="0"/>
              <c:showPercent val="0"/>
              <c:showLeaderLines val="0"/>
            </c:dLbl>
            <c:dLbl>
              <c:idx val="1"/>
              <c:showLegendKey val="0"/>
              <c:showVal val="1"/>
              <c:showCatName val="0"/>
              <c:showSerName val="0"/>
              <c:showPercent val="0"/>
              <c:showLeaderLines val="0"/>
            </c:dLbl>
            <c:dLbl>
              <c:idx val="2"/>
              <c:showLegendKey val="0"/>
              <c:showVal val="1"/>
              <c:showCatName val="0"/>
              <c:showSerName val="0"/>
              <c:showPercent val="0"/>
              <c:showLeaderLines val="0"/>
            </c:dLbl>
          </c:dLbls>
          <c:cat>
            <c:strLit>
              <c:ptCount val="3"/>
              <c:pt idx="0">
                <c:v>2016</c:v>
              </c:pt>
              <c:pt idx="1">
                <c:v>2019</c:v>
              </c:pt>
              <c:pt idx="2">
                <c:v>2020</c:v>
              </c:pt>
            </c:strLit>
          </c:cat>
          <c:val>
            <c:numLit>
              <c:ptCount val="3"/>
              <c:pt idx="0" formatCode="General">
                <c:v>2</c:v>
              </c:pt>
              <c:pt idx="1" formatCode="General">
                <c:v>3</c:v>
              </c:pt>
              <c:pt idx="2" formatCode="General">
                <c:v>1</c:v>
              </c:pt>
            </c:numLit>
          </c:val>
        </c:ser>
        <c:dLbls>
          <c:showLegendKey val="0"/>
          <c:showVal val="0"/>
          <c:showCatName val="0"/>
          <c:showSerName val="0"/>
          <c:showPercent val="0"/>
          <c:showBubbleSize val="0"/>
        </c:dLbls>
        <c:smooth val="0"/>
        <c:axId val="305326408"/>
        <c:axId val="305317392"/>
      </c:lineChart>
      <c:catAx>
        <c:axId val="305326408"/>
        <c:scaling>
          <c:orientation val="minMax"/>
        </c:scaling>
        <c:axPos val="b"/>
        <c:numFmt formatCode="General" sourceLinked="1"/>
        <c:majorTickMark val="none"/>
        <c:minorTickMark val="none"/>
        <c:tickLblPos val="nextTo"/>
        <c:spPr>
          <a:noFill/>
          <a:ln w="9525">
            <a:solidFill>
              <a:schemeClr val="tx1">
                <a:lumMod val="15000"/>
                <a:lumOff val="85000"/>
              </a:schemeClr>
            </a:solidFill>
            <a:round/>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17392"/>
        <c:crosses val="autoZero"/>
        <c:auto val="1"/>
        <c:lblAlgn val="ctr"/>
        <c:lblOffset val="100"/>
      </c:catAx>
      <c:valAx>
        <c:axId val="305317392"/>
        <c:scaling>
          <c:orientation val="minMax"/>
        </c:scaling>
        <c:axPos val="l"/>
        <c:majorGridlines>
          <c:spPr>
            <a:ln w="9525">
              <a:solidFill>
                <a:schemeClr val="tx1">
                  <a:lumMod val="15000"/>
                  <a:lumOff val="85000"/>
                </a:schemeClr>
              </a:solidFill>
              <a:round/>
            </a:ln>
          </c:spPr>
        </c:majorGridlines>
        <c:numFmt formatCode="General" sourceLinked="1"/>
        <c:majorTickMark val="none"/>
        <c:minorTickMark val="none"/>
        <c:tickLblPos val="nextTo"/>
        <c:spPr>
          <a:noFill/>
          <a:ln w="6350">
            <a:noFill/>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26408"/>
        <c:crosses val="autoZero"/>
        <c:crossBetween val="between"/>
      </c:valAx>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6.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商标国际分类分布图</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barChart>
        <c:barDir val="bar"/>
        <c:grouping val="clustered"/>
        <c:varyColors val="0"/>
        <c:ser>
          <c:idx val="0"/>
          <c:order val="0"/>
          <c:tx>
            <c:v>商标国际分类分布</c:v>
          </c:tx>
          <c:dLbls>
            <c:dLbl>
              <c:idx val="0"/>
              <c:showLegendKey val="0"/>
              <c:showVal val="1"/>
              <c:showCatName val="1"/>
              <c:showSerName val="0"/>
              <c:showPercent val="0"/>
              <c:showLeaderLines val="1"/>
            </c:dLbl>
            <c:dLbl>
              <c:idx val="1"/>
              <c:showLegendKey val="0"/>
              <c:showVal val="1"/>
              <c:showCatName val="1"/>
              <c:showSerName val="0"/>
              <c:showPercent val="0"/>
              <c:showLeaderLines val="1"/>
            </c:dLbl>
            <c:dLbl>
              <c:idx val="2"/>
              <c:showLegendKey val="0"/>
              <c:showVal val="1"/>
              <c:showCatName val="1"/>
              <c:showSerName val="0"/>
              <c:showPercent val="0"/>
              <c:showLeaderLines val="1"/>
            </c:dLbl>
          </c:dLbls>
          <c:cat>
            <c:strLit>
              <c:ptCount val="3"/>
              <c:pt idx="0">
                <c:v>36类 金融物管</c:v>
              </c:pt>
              <c:pt idx="1">
                <c:v>41类 教育娱乐</c:v>
              </c:pt>
              <c:pt idx="2">
                <c:v>42类 设计研究</c:v>
              </c:pt>
            </c:strLit>
          </c:cat>
          <c:val>
            <c:numLit>
              <c:ptCount val="3"/>
              <c:pt idx="0" formatCode="General">
                <c:v>2</c:v>
              </c:pt>
              <c:pt idx="1" formatCode="General">
                <c:v>2</c:v>
              </c:pt>
              <c:pt idx="2" formatCode="General">
                <c:v>2</c:v>
              </c:pt>
            </c:numLit>
          </c:val>
        </c:ser>
        <c:dLbls>
          <c:showLegendKey val="0"/>
          <c:showVal val="0"/>
          <c:showCatName val="0"/>
          <c:showSerName val="0"/>
          <c:showPercent val="0"/>
          <c:showBubbleSize val="0"/>
        </c:dLbls>
        <c:gapWidth val="182"/>
        <c:axId val="305304064"/>
        <c:axId val="305306024"/>
      </c:barChart>
      <c:catAx>
        <c:axId val="305304064"/>
        <c:scaling>
          <c:orientation val="minMax"/>
        </c:scaling>
        <c:axPos val="l"/>
        <c:numFmt formatCode="General" sourceLinked="1"/>
        <c:majorTickMark val="none"/>
        <c:minorTickMark val="none"/>
        <c:tickLblPos val="nextTo"/>
        <c:spPr>
          <a:noFill/>
          <a:ln w="9525">
            <a:solidFill>
              <a:schemeClr val="tx1">
                <a:lumMod val="15000"/>
                <a:lumOff val="85000"/>
              </a:schemeClr>
            </a:solidFill>
            <a:round/>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06024"/>
        <c:crosses val="autoZero"/>
        <c:auto val="1"/>
        <c:lblAlgn val="ctr"/>
        <c:lblOffset val="100"/>
      </c:catAx>
      <c:valAx>
        <c:axId val="305306024"/>
        <c:scaling>
          <c:orientation val="minMax"/>
        </c:scaling>
        <c:axPos val="b"/>
        <c:majorGridlines>
          <c:spPr>
            <a:ln w="9525">
              <a:solidFill>
                <a:schemeClr val="tx1">
                  <a:lumMod val="15000"/>
                  <a:lumOff val="85000"/>
                </a:schemeClr>
              </a:solidFill>
              <a:round/>
            </a:ln>
          </c:spPr>
        </c:majorGridlines>
        <c:numFmt formatCode="General" sourceLinked="1"/>
        <c:majorTickMark val="none"/>
        <c:minorTickMark val="none"/>
        <c:tickLblPos val="nextTo"/>
        <c:spPr>
          <a:noFill/>
          <a:ln w="6350">
            <a:noFill/>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04064"/>
        <c:crosses val="autoZero"/>
        <c:crossBetween val="between"/>
      </c:valAx>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7.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商标法律状态分布图</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pieChart>
        <c:varyColors val="1"/>
        <c:ser>
          <c:idx val="0"/>
          <c:order val="0"/>
          <c:tx>
            <c:v>商标法律状态分布</c:v>
          </c:tx>
          <c:spPr>
            <a:ln w="19050">
              <a:solidFill>
                <a:schemeClr val="lt1"/>
              </a:solidFill>
            </a:ln>
          </c:spPr>
          <c:dLbls>
            <c:dLbl>
              <c:idx val="0"/>
              <c:showLegendKey val="0"/>
              <c:showVal val="1"/>
              <c:showCatName val="1"/>
              <c:showSerName val="0"/>
              <c:showPercent val="0"/>
              <c:showLeaderLines val="1"/>
            </c:dLbl>
            <c:dLbl>
              <c:idx val="1"/>
              <c:showLegendKey val="0"/>
              <c:showVal val="1"/>
              <c:showCatName val="1"/>
              <c:showSerName val="0"/>
              <c:showPercent val="0"/>
              <c:showLeaderLines val="1"/>
            </c:dLbl>
          </c:dLbls>
          <c:cat>
            <c:strLit>
              <c:ptCount val="2"/>
              <c:pt idx="0">
                <c:v>已注册</c:v>
              </c:pt>
              <c:pt idx="1">
                <c:v>商标无效</c:v>
              </c:pt>
            </c:strLit>
          </c:cat>
          <c:val>
            <c:numLit>
              <c:ptCount val="2"/>
              <c:pt idx="0" formatCode="General">
                <c:v>3</c:v>
              </c:pt>
              <c:pt idx="1" formatCode="General">
                <c:v>3</c:v>
              </c:pt>
            </c:numLit>
          </c:val>
        </c:ser>
        <c:dLbls>
          <c:showLegendKey val="0"/>
          <c:showVal val="0"/>
          <c:showCatName val="0"/>
          <c:showSerName val="0"/>
          <c:showPercent val="0"/>
          <c:showBubbleSize val="0"/>
          <c:showLeaderLines val="1"/>
        </c:dLbls>
        <c:firstSliceAng val="0"/>
      </c:pieChart>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8.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专利申请年份趋势图</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lineChart>
        <c:grouping val="standard"/>
        <c:varyColors val="0"/>
        <c:ser>
          <c:idx val="0"/>
          <c:order val="0"/>
          <c:tx>
            <c:v>专利申请年份趋势</c:v>
          </c:tx>
          <c:marker>
            <c:symbol val="circle"/>
          </c:marker>
          <c:dLbls>
            <c:dLbl>
              <c:idx val="0"/>
              <c:showLegendKey val="0"/>
              <c:showVal val="1"/>
              <c:showCatName val="0"/>
              <c:showSerName val="0"/>
              <c:showPercent val="0"/>
              <c:showLeaderLines val="0"/>
            </c:dLbl>
            <c:dLbl>
              <c:idx val="1"/>
              <c:showLegendKey val="0"/>
              <c:showVal val="1"/>
              <c:showCatName val="0"/>
              <c:showSerName val="0"/>
              <c:showPercent val="0"/>
              <c:showLeaderLines val="0"/>
            </c:dLbl>
            <c:dLbl>
              <c:idx val="2"/>
              <c:showLegendKey val="0"/>
              <c:showVal val="1"/>
              <c:showCatName val="0"/>
              <c:showSerName val="0"/>
              <c:showPercent val="0"/>
              <c:showLeaderLines val="0"/>
            </c:dLbl>
            <c:dLbl>
              <c:idx val="3"/>
              <c:showLegendKey val="0"/>
              <c:showVal val="1"/>
              <c:showCatName val="0"/>
              <c:showSerName val="0"/>
              <c:showPercent val="0"/>
              <c:showLeaderLines val="0"/>
            </c:dLbl>
            <c:dLbl>
              <c:idx val="4"/>
              <c:showLegendKey val="0"/>
              <c:showVal val="1"/>
              <c:showCatName val="0"/>
              <c:showSerName val="0"/>
              <c:showPercent val="0"/>
              <c:showLeaderLines val="0"/>
            </c:dLbl>
            <c:dLbl>
              <c:idx val="5"/>
              <c:showLegendKey val="0"/>
              <c:showVal val="1"/>
              <c:showCatName val="0"/>
              <c:showSerName val="0"/>
              <c:showPercent val="0"/>
              <c:showLeaderLines val="0"/>
            </c:dLbl>
            <c:dLbl>
              <c:idx val="6"/>
              <c:showLegendKey val="0"/>
              <c:showVal val="1"/>
              <c:showCatName val="0"/>
              <c:showSerName val="0"/>
              <c:showPercent val="0"/>
              <c:showLeaderLines val="0"/>
            </c:dLbl>
          </c:dLbls>
          <c:cat>
            <c:strLit>
              <c:ptCount val="7"/>
              <c:pt idx="0">
                <c:v>2019</c:v>
              </c:pt>
              <c:pt idx="1">
                <c:v>2020</c:v>
              </c:pt>
              <c:pt idx="2">
                <c:v>2021</c:v>
              </c:pt>
              <c:pt idx="3">
                <c:v>2022</c:v>
              </c:pt>
              <c:pt idx="4">
                <c:v>2023</c:v>
              </c:pt>
              <c:pt idx="5">
                <c:v>2024</c:v>
              </c:pt>
              <c:pt idx="6">
                <c:v>2025</c:v>
              </c:pt>
            </c:strLit>
          </c:cat>
          <c:val>
            <c:numLit>
              <c:ptCount val="7"/>
              <c:pt idx="0" formatCode="General">
                <c:v>1</c:v>
              </c:pt>
              <c:pt idx="1" formatCode="General">
                <c:v>3</c:v>
              </c:pt>
              <c:pt idx="2" formatCode="General">
                <c:v>7</c:v>
              </c:pt>
              <c:pt idx="3" formatCode="General">
                <c:v>3</c:v>
              </c:pt>
              <c:pt idx="4" formatCode="General">
                <c:v>5</c:v>
              </c:pt>
              <c:pt idx="5" formatCode="General">
                <c:v>18</c:v>
              </c:pt>
              <c:pt idx="6" formatCode="General">
                <c:v>3</c:v>
              </c:pt>
            </c:numLit>
          </c:val>
        </c:ser>
        <c:dLbls>
          <c:showLegendKey val="0"/>
          <c:showVal val="0"/>
          <c:showCatName val="0"/>
          <c:showSerName val="0"/>
          <c:showPercent val="0"/>
          <c:showBubbleSize val="0"/>
        </c:dLbls>
        <c:smooth val="0"/>
        <c:axId val="305326408"/>
        <c:axId val="305317392"/>
      </c:lineChart>
      <c:catAx>
        <c:axId val="305326408"/>
        <c:scaling>
          <c:orientation val="minMax"/>
        </c:scaling>
        <c:axPos val="b"/>
        <c:numFmt formatCode="General" sourceLinked="1"/>
        <c:majorTickMark val="none"/>
        <c:minorTickMark val="none"/>
        <c:tickLblPos val="nextTo"/>
        <c:spPr>
          <a:noFill/>
          <a:ln w="9525">
            <a:solidFill>
              <a:schemeClr val="tx1">
                <a:lumMod val="15000"/>
                <a:lumOff val="85000"/>
              </a:schemeClr>
            </a:solidFill>
            <a:round/>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17392"/>
        <c:crosses val="autoZero"/>
        <c:auto val="1"/>
        <c:lblAlgn val="ctr"/>
        <c:lblOffset val="100"/>
      </c:catAx>
      <c:valAx>
        <c:axId val="305317392"/>
        <c:scaling>
          <c:orientation val="minMax"/>
        </c:scaling>
        <c:axPos val="l"/>
        <c:majorGridlines>
          <c:spPr>
            <a:ln w="9525">
              <a:solidFill>
                <a:schemeClr val="tx1">
                  <a:lumMod val="15000"/>
                  <a:lumOff val="85000"/>
                </a:schemeClr>
              </a:solidFill>
              <a:round/>
            </a:ln>
          </c:spPr>
        </c:majorGridlines>
        <c:numFmt formatCode="General" sourceLinked="1"/>
        <c:majorTickMark val="none"/>
        <c:minorTickMark val="none"/>
        <c:tickLblPos val="nextTo"/>
        <c:spPr>
          <a:noFill/>
          <a:ln w="6350">
            <a:noFill/>
          </a:ln>
        </c:spPr>
        <c:txPr>
          <a:bodyPr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26408"/>
        <c:crosses val="autoZero"/>
        <c:crossBetween val="between"/>
      </c:valAx>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9.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专利类型分布图</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pieChart>
        <c:varyColors val="1"/>
        <c:ser>
          <c:idx val="0"/>
          <c:order val="0"/>
          <c:tx>
            <c:v>专利类型分布</c:v>
          </c:tx>
          <c:spPr>
            <a:ln w="19050">
              <a:solidFill>
                <a:schemeClr val="lt1"/>
              </a:solidFill>
            </a:ln>
          </c:spPr>
          <c:dLbls>
            <c:dLbl>
              <c:idx val="0"/>
              <c:showLegendKey val="0"/>
              <c:showVal val="1"/>
              <c:showCatName val="1"/>
              <c:showSerName val="0"/>
              <c:showPercent val="0"/>
              <c:showLeaderLines val="1"/>
            </c:dLbl>
            <c:dLbl>
              <c:idx val="1"/>
              <c:showLegendKey val="0"/>
              <c:showVal val="1"/>
              <c:showCatName val="1"/>
              <c:showSerName val="0"/>
              <c:showPercent val="0"/>
              <c:showLeaderLines val="1"/>
            </c:dLbl>
            <c:dLbl>
              <c:idx val="2"/>
              <c:showLegendKey val="0"/>
              <c:showVal val="1"/>
              <c:showCatName val="1"/>
              <c:showSerName val="0"/>
              <c:showPercent val="0"/>
              <c:showLeaderLines val="1"/>
            </c:dLbl>
          </c:dLbls>
          <c:cat>
            <c:strLit>
              <c:ptCount val="3"/>
              <c:pt idx="0">
                <c:v>外观设计</c:v>
              </c:pt>
              <c:pt idx="1">
                <c:v>发明公布</c:v>
              </c:pt>
              <c:pt idx="2">
                <c:v>发明授权</c:v>
              </c:pt>
            </c:strLit>
          </c:cat>
          <c:val>
            <c:numLit>
              <c:ptCount val="3"/>
              <c:pt idx="0" formatCode="General">
                <c:v>20</c:v>
              </c:pt>
              <c:pt idx="1" formatCode="General">
                <c:v>13</c:v>
              </c:pt>
              <c:pt idx="2" formatCode="General">
                <c:v>7</c:v>
              </c:pt>
            </c:numLit>
          </c:val>
        </c:ser>
        <c:dLbls>
          <c:showLegendKey val="0"/>
          <c:showVal val="0"/>
          <c:showCatName val="0"/>
          <c:showSerName val="0"/>
          <c:showPercent val="0"/>
          <c:showBubbleSize val="0"/>
          <c:showLeaderLines val="1"/>
        </c:dLbls>
        <c:firstSliceAng val="0"/>
      </c:pieChart>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charts/chart10.xml><?xml version="1.0" encoding="utf-8"?>
<c:chartSpace xmlns:c="http://schemas.openxmlformats.org/drawingml/2006/chart" xmlns:a="http://schemas.openxmlformats.org/drawingml/2006/main" xmlns:r="http://schemas.openxmlformats.org/officeDocument/2006/relationships">
  <c:lang val="en-US"/>
  <mc:AlternateContent xmlns:mc="http://schemas.openxmlformats.org/markup-compatibility/2006">
    <mc:Choice xmlns:c14="http://schemas.microsoft.com/office/drawing/2007/8/2/chart" Requires="c14">
      <c14:style val="102"/>
    </mc:Choice>
    <mc:Fallback>
      <c:style val="2"/>
    </mc:Fallback>
  </mc:AlternateContent>
  <c:chart>
    <c:title>
      <c:tx>
        <c:rich>
          <a:bodyPr vertOverflow="clip"/>
          <a:lstStyle/>
          <a:p>
            <a:pPr>
              <a:defRPr sz="1400" b="0" i="0" u="none" strike="noStrike" kern="1200" spc="0" baseline="0">
                <a:solidFill>
                  <a:schemeClr val="tx1">
                    <a:lumMod val="65000"/>
                    <a:lumOff val="35000"/>
                  </a:schemeClr>
                </a:solidFill>
              </a:defRPr>
            </a:pPr>
            <a:r>
              <a:rPr/>
              <a:t>专利法律状态分布图</a:t>
            </a:r>
          </a:p>
        </c:rich>
      </c:tx>
      <c:spPr>
        <a:noFill/>
        <a:ln>
          <a:noFill/>
        </a:ln>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plotArea>
      <c:pieChart>
        <c:varyColors val="1"/>
        <c:ser>
          <c:idx val="0"/>
          <c:order val="0"/>
          <c:tx>
            <c:v>专利法律状态分布</c:v>
          </c:tx>
          <c:spPr>
            <a:ln w="19050">
              <a:solidFill>
                <a:schemeClr val="lt1"/>
              </a:solidFill>
            </a:ln>
          </c:spPr>
          <c:dLbls>
            <c:dLbl>
              <c:idx val="0"/>
              <c:showLegendKey val="0"/>
              <c:showVal val="1"/>
              <c:showCatName val="1"/>
              <c:showSerName val="0"/>
              <c:showPercent val="0"/>
              <c:showLeaderLines val="1"/>
            </c:dLbl>
            <c:dLbl>
              <c:idx val="1"/>
              <c:showLegendKey val="0"/>
              <c:showVal val="1"/>
              <c:showCatName val="1"/>
              <c:showSerName val="0"/>
              <c:showPercent val="0"/>
              <c:showLeaderLines val="1"/>
            </c:dLbl>
            <c:dLbl>
              <c:idx val="2"/>
              <c:showLegendKey val="0"/>
              <c:showVal val="1"/>
              <c:showCatName val="1"/>
              <c:showSerName val="0"/>
              <c:showPercent val="0"/>
              <c:showLeaderLines val="1"/>
            </c:dLbl>
          </c:dLbls>
          <c:cat>
            <c:strLit>
              <c:ptCount val="3"/>
              <c:pt idx="0">
                <c:v>有效</c:v>
              </c:pt>
              <c:pt idx="1">
                <c:v>无效</c:v>
              </c:pt>
              <c:pt idx="2">
                <c:v>审中</c:v>
              </c:pt>
            </c:strLit>
          </c:cat>
          <c:val>
            <c:numLit>
              <c:ptCount val="3"/>
              <c:pt idx="0" formatCode="General">
                <c:v>27</c:v>
              </c:pt>
              <c:pt idx="1" formatCode="General">
                <c:v>7</c:v>
              </c:pt>
              <c:pt idx="2" formatCode="General">
                <c:v>6</c:v>
              </c:pt>
            </c:numLit>
          </c:val>
        </c:ser>
        <c:dLbls>
          <c:showLegendKey val="0"/>
          <c:showVal val="0"/>
          <c:showCatName val="0"/>
          <c:showSerName val="0"/>
          <c:showPercent val="0"/>
          <c:showBubbleSize val="0"/>
          <c:showLeaderLines val="1"/>
        </c:dLbls>
        <c:firstSliceAng val="0"/>
      </c:pieChart>
      <c:spPr>
        <a:noFill/>
        <a:ln>
          <a:noFill/>
        </a:ln>
      </c:spPr>
    </c:plotArea>
    <c:legend>
      <c:legendPos val="b"/>
      <c:spPr>
        <a:noFill/>
        <a:ln>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alpha val="0"/>
      </a:schemeClr>
    </a:solidFill>
    <a:ln w="9525">
      <a:solidFill>
        <a:schemeClr val="tx1">
          <a:lumMod val="15000"/>
          <a:lumOff val="85000"/>
        </a:schemeClr>
      </a:solidFill>
      <a:round/>
    </a:ln>
  </c:spPr>
  <c:txPr>
    <a:bodyPr/>
    <a:lstStyle/>
    <a:p>
      <a:pPr>
        <a:defRPr/>
      </a:pPr>
      <a:endParaRPr lang="en-US"/>
    </a:p>
  </c:txPr>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EC4F20-47D1-4CA9-A43B-06BC8334C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53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hades</dc:creator>
  <cp:lastModifiedBy>冬冬 刘</cp:lastModifiedBy>
  <cp:revision>1492</cp:revision>
  <dcterms:created xsi:type="dcterms:W3CDTF">2017-03-31T07:20:00Z</dcterms:created>
  <dcterms:modified xsi:type="dcterms:W3CDTF">2024-10-16T10:01:00Z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00711D13DEF743659F59546284263C33_12</vt:lpwstr>
  </property>
  <property fmtid="{D5CDD505-2E9C-101B-9397-08002B2CF9AE}" pid="3" name="KSOProductBuildVer">
    <vt:lpwstr>2052-12.1.0.15990</vt:lpwstr>
  </property>
</Properties>
</file>