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游戏手柄左摇杆监控流程详解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Android 游戏手柄左摇杆（X:0.00,Y:0.00）监控流程详解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整体数据流架构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游戏手柄 → Android系统 → dispatchGenericMotionEvent() → updateJoystickDisplay() → TextView UI显示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一、XML 布局声明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文件：activity_main.xml#L23-24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&lt;TextView</w:t>
              <w:br/>
              <w:t xml:space="preserve">    android:id="@+id/tvJoystickData"</w:t>
              <w:br/>
              <w:t xml:space="preserve">    android:text="左摇杆 X: 0.00, Y: 0.00"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... /&gt;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作用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android:id="@+id/tvJoystickData"</w:t>
      </w:r>
      <w:r>
        <w:rPr>
          <w:rFonts w:eastAsia="等线" w:ascii="Arial" w:cs="Arial" w:hAnsi="Arial"/>
          <w:sz w:val="22"/>
        </w:rPr>
        <w:t xml:space="preserve">：为 TextView 创建唯一标识符，在 Java 代码中通过 </w:t>
      </w:r>
      <w:r>
        <w:rPr>
          <w:rFonts w:eastAsia="Consolas" w:ascii="Consolas" w:cs="Consolas" w:hAnsi="Consolas"/>
          <w:sz w:val="22"/>
          <w:shd w:fill="EFF0F1"/>
        </w:rPr>
        <w:t>R.id.tvJoystickData</w:t>
      </w:r>
      <w:r>
        <w:rPr>
          <w:rFonts w:eastAsia="等线" w:ascii="Arial" w:cs="Arial" w:hAnsi="Arial"/>
          <w:sz w:val="22"/>
        </w:rPr>
        <w:t xml:space="preserve"> 引用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android:text="左摇杆 X: 0.00, Y: 0.00"</w:t>
      </w:r>
      <w:r>
        <w:rPr>
          <w:rFonts w:eastAsia="等线" w:ascii="Arial" w:cs="Arial" w:hAnsi="Arial"/>
          <w:sz w:val="22"/>
        </w:rPr>
        <w:t>：设置初始显示文本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二、Activity 初始化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文件：MainActivity.java#L200-216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initViews() {</w:t>
              <w:br/>
              <w:t xml:space="preserve">    tvJoystickData = findViewById(R.id.tvJoystickData);</w:t>
              <w:br/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知识点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findViewById()</w:t>
      </w:r>
      <w:r>
        <w:rPr>
          <w:rFonts w:eastAsia="等线" w:ascii="Arial" w:cs="Arial" w:hAnsi="Arial"/>
          <w:sz w:val="22"/>
        </w:rPr>
        <w:t xml:space="preserve"> 是 Android 中通过资源 ID 查找 View 的核心方法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R.id.tvJoystickData</w:t>
      </w:r>
      <w:r>
        <w:rPr>
          <w:rFonts w:eastAsia="等线" w:ascii="Arial" w:cs="Arial" w:hAnsi="Arial"/>
          <w:sz w:val="22"/>
        </w:rPr>
        <w:t xml:space="preserve"> 是 XML 中声明的 ID 对应的整型常量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返回类型是 TextView，可以直接赋值给成员变量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三、手柄事件捕获（核心）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文件：MainActivity.java#L338-443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boolean dispatchGenericMotionEvent(MotionEvent event) {</w:t>
              <w:br/>
              <w:t xml:space="preserve">    // 1. 检查事件来源是否为游戏手柄</w:t>
              <w:br/>
              <w:t xml:space="preserve">    int source = event.getSource();</w:t>
              <w:br/>
              <w:t xml:space="preserve">    if ((source &amp; InputDevice.SOURCE_CLASS_JOYSTICK) != 0) {</w:t>
              <w:br/>
              <w:t xml:space="preserve">        </w:t>
              <w:br/>
              <w:t xml:space="preserve">        // 2. 获取左摇杆数据（AXIS_X 和 AXIS_Y）</w:t>
              <w:br/>
              <w:t xml:space="preserve">        float leftX = event.getAxisValue(MotionEvent.AXIS_X);</w:t>
              <w:br/>
              <w:t xml:space="preserve">        float leftY = event.getAxisValue(MotionEvent.AXIS_Y);</w:t>
              <w:br/>
              <w:t xml:space="preserve">        </w:t>
              <w:br/>
              <w:t xml:space="preserve">        // 3. 获取右摇杆数据</w:t>
              <w:br/>
              <w:t xml:space="preserve">        float rightX = event.getAxisValue(MotionEvent.AXIS_Z);</w:t>
              <w:br/>
              <w:t xml:space="preserve">        float rightY = event.getAxisValue(MotionEvent.AXIS_RZ);</w:t>
              <w:br/>
              <w:t xml:space="preserve">        </w:t>
              <w:br/>
              <w:t xml:space="preserve">        // 4. 应用死区过滤（防止摇杆漂移）</w:t>
              <w:br/>
              <w:t xml:space="preserve">        leftX = applyDeadZone(leftX, Config.JOYSTICK_DEAD_ZONE);</w:t>
              <w:br/>
              <w:t xml:space="preserve">        leftY = applyDeadZone(leftY, Config.JOYSTICK_DEAD_ZONE);</w:t>
              <w:br/>
              <w:t xml:space="preserve">        </w:t>
              <w:br/>
              <w:t xml:space="preserve">        // 5. 更新 UI 显示</w:t>
              <w:br/>
              <w:t xml:space="preserve">        updateJoystickDisplay(leftX, leftY);</w:t>
              <w:br/>
              <w:t xml:space="preserve">        </w:t>
              <w:br/>
              <w:t xml:space="preserve">        // 6. 发送控制指令</w:t>
              <w:br/>
              <w:t xml:space="preserve">        if (leftX != 0 || leftY != 0) {</w:t>
              <w:br/>
              <w:t xml:space="preserve">            byte[] command = ProtocolUtils.packMoveCommand(leftX, leftY);</w:t>
              <w:br/>
              <w:t xml:space="preserve">            udpClient.send(command);</w:t>
              <w:br/>
              <w:t xml:space="preserve">        }</w:t>
              <w:br/>
              <w:t xml:space="preserve">        </w:t>
              <w:br/>
              <w:t xml:space="preserve">        return true;</w:t>
              <w:br/>
              <w:t xml:space="preserve">    }</w:t>
              <w:br/>
              <w:t xml:space="preserve">    return super.dispatchGenericMotionEvent(event);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关键知识点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dispatchGenericMotionEvent()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处理摇杆 / 按键等通用运动事件的回调方法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InputDevice.SOURCE_CLASS_JOYSTICK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输入源类型标志，表示来自游戏摇杆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MotionEvent.AXIS_X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左摇杆 X 轴（左右）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MotionEvent.AXIS_Y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左摇杆 Y 轴（上下）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MotionEvent.AXIS_Z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右摇杆 X 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MotionEvent.AXIS_RZ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右摇杆 Y 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四、死区过滤机制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文件：MainActivity.java#L540-550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float applyDeadZone(float value, float deadZone) {</w:t>
              <w:br/>
              <w:t xml:space="preserve">    if (Math.abs(value) &lt; deadZone) {</w:t>
              <w:br/>
              <w:t xml:space="preserve">        return 0;</w:t>
              <w:br/>
              <w:t xml:space="preserve">    }</w:t>
              <w:br/>
              <w:t xml:space="preserve">    return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作用</w:t>
      </w:r>
      <w:bookmarkEnd w:id="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物理摇杆在静止时可能有微小的漂移值（非真正 0）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设置一个阈值（如 0.1），小于这个值的一律视为 0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防止摇杆静止时机器人仍然轻微移动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五、UI 更新方法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文件：MainActivity.java#L570-582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updateJoystickDisplay(final float x, final float y) {</w:t>
              <w:br/>
              <w:t xml:space="preserve">    runOnUiThread(new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String newText = String.format("左摇杆 X: %.2f, Y: %.2f", x, y);</w:t>
              <w:br/>
              <w:t xml:space="preserve">            tvJoystickData.setText(newText);</w:t>
              <w:br/>
              <w:t xml:space="preserve">            highlightTextView(tvJoystickData);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关键知识点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runOnUiThread()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确保在主线程（UI 线程）更新 UI，因为手柄回调可能在子线程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String.format("%.2f", 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格式化浮点数，保留 2 位小数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tvJoystickData.setText()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TextView 的核心方法，用于设置显示文本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六、完整流程时序图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┌─────────────┐    摇杆移动     ┌──────────────────┐</w:t>
              <w:br/>
              <w:t>│  游戏手柄    │ ───────────→  │ Android InputDevice │</w:t>
              <w:br/>
              <w:t>└─────────────┘                └────────┬─────────┘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 xml:space="preserve">                    ┌───────────────────────┐</w:t>
              <w:br/>
              <w:t xml:space="preserve">                    │ dispatchGenericMotion │</w:t>
              <w:br/>
              <w:t xml:space="preserve">                    │        Event()        │</w:t>
              <w:br/>
              <w:t xml:space="preserve">                    └───────────┬───────────┘</w:t>
              <w:br/>
              <w:t xml:space="preserve">                                        │</w:t>
              <w:br/>
              <w:t>┌─────────────────────────┼───────────────────────────────────┐</w:t>
              <w:br/>
              <w:t>│                         │                                   │</w:t>
              <w:br/>
              <w:t>▼                         ▼                                   ▼</w:t>
              <w:br/>
              <w:t>┌─────────────────┐      ┌──────────────────┐      ┌──────────────────┐</w:t>
              <w:br/>
              <w:t>│ 读取 AXIS_X/Y   │      │ applyDeadZone()  │      │ updateJoystickDisplay() │</w:t>
              <w:br/>
              <w:t>│  获取摇杆值     │ ───→ │   死区过滤       │ ───→ │  更新UI          │</w:t>
              <w:br/>
              <w:t>└─────────────────┘      └──────────────────┘      └──────────────────┘</w:t>
              <w:br/>
              <w:t xml:space="preserve">                                                         │</w:t>
              <w:br/>
              <w:t xml:space="preserve">                                                         ▼</w:t>
              <w:br/>
              <w:t xml:space="preserve">                                        ┌─────────────────────────────┐</w:t>
              <w:br/>
              <w:t xml:space="preserve">                                        │ tvJoystickData.setText(...) │</w:t>
              <w:br/>
              <w:t xml:space="preserve">                                        │  显示: "左摇杆 X: 0.50      │</w:t>
              <w:br/>
              <w:t xml:space="preserve">                                        │       Y: -0.30"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└─────────────────────────────┘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七、关键 Android 知识点总结</w:t>
      </w:r>
      <w:bookmarkEnd w:id="1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输入设备识别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InputDevice.SOURCE_CLASS_JOYSTICK：摇杆类设备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InputDevice.SOURCE_GAMEPAD：游戏手柄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MotionEvent 轴值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AXIS_X、AXIS_Y：左摇杆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AXIS_Z、AXIS_RZ：右摇杆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AXIS_HAT_X、AXIS_HAT_Y：十字键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线程安全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手柄回调在子线程执行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必须使用 runOnUiThread () 或 Handler 更新 UI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TextView 更新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setText ()：设置文本内容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String.format ()：格式化数字显示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这就是 </w:t>
      </w:r>
      <w:r>
        <w:rPr>
          <w:rFonts w:eastAsia="等线" w:ascii="Arial" w:cs="Arial" w:hAnsi="Arial"/>
          <w:b w:val="true"/>
          <w:sz w:val="22"/>
        </w:rPr>
        <w:t>“左摇杆 X: 0.00, Y: 0.00”</w:t>
      </w:r>
      <w:r>
        <w:rPr>
          <w:rFonts w:eastAsia="等线" w:ascii="Arial" w:cs="Arial" w:hAnsi="Arial"/>
          <w:sz w:val="22"/>
        </w:rPr>
        <w:t xml:space="preserve"> 从手柄物理移动 → 系统捕获 → 数据处理 → 屏幕显示的完整数据监控流程。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19582">
    <w:lvl>
      <w:numFmt w:val="bullet"/>
      <w:suff w:val="tab"/>
      <w:lvlText w:val="•"/>
      <w:rPr>
        <w:color w:val="3370ff"/>
      </w:rPr>
    </w:lvl>
  </w:abstractNum>
  <w:abstractNum w:abstractNumId="5019583">
    <w:lvl>
      <w:numFmt w:val="bullet"/>
      <w:suff w:val="tab"/>
      <w:lvlText w:val="•"/>
      <w:rPr>
        <w:color w:val="3370ff"/>
      </w:rPr>
    </w:lvl>
  </w:abstractNum>
  <w:abstractNum w:abstractNumId="5019584">
    <w:lvl>
      <w:numFmt w:val="bullet"/>
      <w:suff w:val="tab"/>
      <w:lvlText w:val="•"/>
      <w:rPr>
        <w:color w:val="3370ff"/>
      </w:rPr>
    </w:lvl>
  </w:abstractNum>
  <w:abstractNum w:abstractNumId="5019585">
    <w:lvl>
      <w:numFmt w:val="bullet"/>
      <w:suff w:val="tab"/>
      <w:lvlText w:val="•"/>
      <w:rPr>
        <w:color w:val="3370ff"/>
      </w:rPr>
    </w:lvl>
  </w:abstractNum>
  <w:abstractNum w:abstractNumId="5019586">
    <w:lvl>
      <w:numFmt w:val="bullet"/>
      <w:suff w:val="tab"/>
      <w:lvlText w:val="•"/>
      <w:rPr>
        <w:color w:val="3370ff"/>
      </w:rPr>
    </w:lvl>
  </w:abstractNum>
  <w:abstractNum w:abstractNumId="5019587">
    <w:lvl>
      <w:numFmt w:val="bullet"/>
      <w:suff w:val="tab"/>
      <w:lvlText w:val="•"/>
      <w:rPr>
        <w:color w:val="3370ff"/>
      </w:rPr>
    </w:lvl>
  </w:abstractNum>
  <w:abstractNum w:abstractNumId="5019588">
    <w:lvl>
      <w:numFmt w:val="bullet"/>
      <w:suff w:val="tab"/>
      <w:lvlText w:val="•"/>
      <w:rPr>
        <w:color w:val="3370ff"/>
      </w:rPr>
    </w:lvl>
  </w:abstractNum>
  <w:abstractNum w:abstractNumId="5019589">
    <w:lvl>
      <w:numFmt w:val="bullet"/>
      <w:suff w:val="tab"/>
      <w:lvlText w:val="•"/>
      <w:rPr>
        <w:color w:val="3370ff"/>
      </w:rPr>
    </w:lvl>
  </w:abstractNum>
  <w:abstractNum w:abstractNumId="5019590">
    <w:lvl>
      <w:start w:val="1"/>
      <w:numFmt w:val="decimal"/>
      <w:suff w:val="tab"/>
      <w:lvlText w:val="%1."/>
      <w:rPr>
        <w:color w:val="3370ff"/>
      </w:rPr>
    </w:lvl>
  </w:abstractNum>
  <w:abstractNum w:abstractNumId="5019591">
    <w:lvl>
      <w:numFmt w:val="bullet"/>
      <w:suff w:val="tab"/>
      <w:lvlText w:val="￮"/>
      <w:rPr>
        <w:color w:val="3370ff"/>
      </w:rPr>
    </w:lvl>
  </w:abstractNum>
  <w:abstractNum w:abstractNumId="5019592">
    <w:lvl>
      <w:numFmt w:val="bullet"/>
      <w:suff w:val="tab"/>
      <w:lvlText w:val="￮"/>
      <w:rPr>
        <w:color w:val="3370ff"/>
      </w:rPr>
    </w:lvl>
  </w:abstractNum>
  <w:abstractNum w:abstractNumId="5019593">
    <w:lvl>
      <w:start w:val="2"/>
      <w:numFmt w:val="decimal"/>
      <w:suff w:val="tab"/>
      <w:lvlText w:val="%1."/>
      <w:rPr>
        <w:color w:val="3370ff"/>
      </w:rPr>
    </w:lvl>
  </w:abstractNum>
  <w:abstractNum w:abstractNumId="5019594">
    <w:lvl>
      <w:numFmt w:val="bullet"/>
      <w:suff w:val="tab"/>
      <w:lvlText w:val="￮"/>
      <w:rPr>
        <w:color w:val="3370ff"/>
      </w:rPr>
    </w:lvl>
  </w:abstractNum>
  <w:abstractNum w:abstractNumId="5019595">
    <w:lvl>
      <w:numFmt w:val="bullet"/>
      <w:suff w:val="tab"/>
      <w:lvlText w:val="￮"/>
      <w:rPr>
        <w:color w:val="3370ff"/>
      </w:rPr>
    </w:lvl>
  </w:abstractNum>
  <w:abstractNum w:abstractNumId="5019596">
    <w:lvl>
      <w:numFmt w:val="bullet"/>
      <w:suff w:val="tab"/>
      <w:lvlText w:val="￮"/>
      <w:rPr>
        <w:color w:val="3370ff"/>
      </w:rPr>
    </w:lvl>
  </w:abstractNum>
  <w:abstractNum w:abstractNumId="5019597">
    <w:lvl>
      <w:start w:val="3"/>
      <w:numFmt w:val="decimal"/>
      <w:suff w:val="tab"/>
      <w:lvlText w:val="%1."/>
      <w:rPr>
        <w:color w:val="3370ff"/>
      </w:rPr>
    </w:lvl>
  </w:abstractNum>
  <w:abstractNum w:abstractNumId="5019598">
    <w:lvl>
      <w:numFmt w:val="bullet"/>
      <w:suff w:val="tab"/>
      <w:lvlText w:val="￮"/>
      <w:rPr>
        <w:color w:val="3370ff"/>
      </w:rPr>
    </w:lvl>
  </w:abstractNum>
  <w:abstractNum w:abstractNumId="5019599">
    <w:lvl>
      <w:numFmt w:val="bullet"/>
      <w:suff w:val="tab"/>
      <w:lvlText w:val="￮"/>
      <w:rPr>
        <w:color w:val="3370ff"/>
      </w:rPr>
    </w:lvl>
  </w:abstractNum>
  <w:abstractNum w:abstractNumId="5019600">
    <w:lvl>
      <w:start w:val="4"/>
      <w:numFmt w:val="decimal"/>
      <w:suff w:val="tab"/>
      <w:lvlText w:val="%1."/>
      <w:rPr>
        <w:color w:val="3370ff"/>
      </w:rPr>
    </w:lvl>
  </w:abstractNum>
  <w:abstractNum w:abstractNumId="5019601">
    <w:lvl>
      <w:numFmt w:val="bullet"/>
      <w:suff w:val="tab"/>
      <w:lvlText w:val="￮"/>
      <w:rPr>
        <w:color w:val="3370ff"/>
      </w:rPr>
    </w:lvl>
  </w:abstractNum>
  <w:abstractNum w:abstractNumId="5019602">
    <w:lvl>
      <w:numFmt w:val="bullet"/>
      <w:suff w:val="tab"/>
      <w:lvlText w:val="￮"/>
      <w:rPr>
        <w:color w:val="3370ff"/>
      </w:rPr>
    </w:lvl>
  </w:abstractNum>
  <w:num w:numId="1">
    <w:abstractNumId w:val="5019582"/>
  </w:num>
  <w:num w:numId="2">
    <w:abstractNumId w:val="5019583"/>
  </w:num>
  <w:num w:numId="3">
    <w:abstractNumId w:val="5019584"/>
  </w:num>
  <w:num w:numId="4">
    <w:abstractNumId w:val="5019585"/>
  </w:num>
  <w:num w:numId="5">
    <w:abstractNumId w:val="5019586"/>
  </w:num>
  <w:num w:numId="6">
    <w:abstractNumId w:val="5019587"/>
  </w:num>
  <w:num w:numId="7">
    <w:abstractNumId w:val="5019588"/>
  </w:num>
  <w:num w:numId="8">
    <w:abstractNumId w:val="5019589"/>
  </w:num>
  <w:num w:numId="9">
    <w:abstractNumId w:val="5019590"/>
  </w:num>
  <w:num w:numId="10">
    <w:abstractNumId w:val="5019591"/>
  </w:num>
  <w:num w:numId="11">
    <w:abstractNumId w:val="5019592"/>
  </w:num>
  <w:num w:numId="12">
    <w:abstractNumId w:val="5019593"/>
  </w:num>
  <w:num w:numId="13">
    <w:abstractNumId w:val="5019594"/>
  </w:num>
  <w:num w:numId="14">
    <w:abstractNumId w:val="5019595"/>
  </w:num>
  <w:num w:numId="15">
    <w:abstractNumId w:val="5019596"/>
  </w:num>
  <w:num w:numId="16">
    <w:abstractNumId w:val="5019597"/>
  </w:num>
  <w:num w:numId="17">
    <w:abstractNumId w:val="5019598"/>
  </w:num>
  <w:num w:numId="18">
    <w:abstractNumId w:val="5019599"/>
  </w:num>
  <w:num w:numId="19">
    <w:abstractNumId w:val="5019600"/>
  </w:num>
  <w:num w:numId="20">
    <w:abstractNumId w:val="5019601"/>
  </w:num>
  <w:num w:numId="21">
    <w:abstractNumId w:val="50196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2026-05-13T01:06:56Z</dcterms:created>
  <dc:creator>Apache POI</dc:creator>
</cp:coreProperties>
</file>