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9FA" w:rsidRDefault="005E79FA" w:rsidP="00652690">
      <w:pPr>
        <w:pStyle w:val="NoSpacing"/>
        <w:jc w:val="right"/>
        <w:rPr>
          <w:rFonts w:ascii="Verdana" w:hAnsi="Verdana"/>
          <w:sz w:val="20"/>
          <w:szCs w:val="20"/>
        </w:rPr>
      </w:pPr>
    </w:p>
    <w:p w:rsidR="005E79FA" w:rsidRDefault="005E79FA" w:rsidP="00652690">
      <w:pPr>
        <w:pStyle w:val="NoSpacing"/>
        <w:jc w:val="right"/>
        <w:rPr>
          <w:rFonts w:ascii="Verdana" w:hAnsi="Verdana"/>
          <w:sz w:val="20"/>
          <w:szCs w:val="20"/>
        </w:rPr>
      </w:pPr>
    </w:p>
    <w:p w:rsidR="005E79FA" w:rsidRDefault="005E79FA" w:rsidP="00652690">
      <w:pPr>
        <w:pStyle w:val="NoSpacing"/>
        <w:jc w:val="right"/>
        <w:rPr>
          <w:rFonts w:ascii="Verdana" w:hAnsi="Verdana"/>
          <w:sz w:val="20"/>
          <w:szCs w:val="20"/>
        </w:rPr>
      </w:pPr>
    </w:p>
    <w:p w:rsidR="007E0A54" w:rsidRPr="00652690" w:rsidRDefault="007E0A54" w:rsidP="00652690">
      <w:pPr>
        <w:pStyle w:val="NoSpacing"/>
        <w:jc w:val="right"/>
        <w:rPr>
          <w:rFonts w:ascii="Verdana" w:hAnsi="Verdana"/>
          <w:sz w:val="20"/>
          <w:szCs w:val="20"/>
        </w:rPr>
      </w:pPr>
      <w:r w:rsidRPr="00652690">
        <w:rPr>
          <w:rFonts w:ascii="Verdana" w:hAnsi="Verdana"/>
          <w:sz w:val="20"/>
          <w:szCs w:val="20"/>
        </w:rPr>
        <w:t>Annexure-I</w:t>
      </w:r>
    </w:p>
    <w:p w:rsidR="007E0A54" w:rsidRPr="00652690" w:rsidRDefault="007E0A54" w:rsidP="00652690">
      <w:pPr>
        <w:pStyle w:val="NoSpacing"/>
        <w:rPr>
          <w:rFonts w:ascii="Verdana" w:hAnsi="Verdana"/>
          <w:sz w:val="20"/>
          <w:szCs w:val="20"/>
        </w:rPr>
      </w:pPr>
      <w:r w:rsidRPr="00652690">
        <w:rPr>
          <w:rFonts w:ascii="Verdana" w:hAnsi="Verdana"/>
          <w:sz w:val="20"/>
          <w:szCs w:val="20"/>
        </w:rPr>
        <w:t>Ref: N-III/MECH-CPP/</w:t>
      </w:r>
      <w:r w:rsidR="005E79FA">
        <w:rPr>
          <w:rFonts w:ascii="Verdana" w:hAnsi="Verdana"/>
          <w:sz w:val="20"/>
          <w:szCs w:val="20"/>
        </w:rPr>
        <w:t>20/</w:t>
      </w:r>
      <w:r w:rsidRPr="00652690">
        <w:rPr>
          <w:rFonts w:ascii="Verdana" w:hAnsi="Verdana"/>
          <w:sz w:val="20"/>
          <w:szCs w:val="20"/>
        </w:rPr>
        <w:t xml:space="preserve"> Cont-</w:t>
      </w:r>
      <w:r w:rsidR="005E79FA">
        <w:rPr>
          <w:rFonts w:ascii="Verdana" w:hAnsi="Verdana"/>
          <w:sz w:val="20"/>
          <w:szCs w:val="20"/>
        </w:rPr>
        <w:t>708</w:t>
      </w:r>
      <w:r w:rsidRPr="00652690">
        <w:rPr>
          <w:rFonts w:ascii="Verdana" w:hAnsi="Verdana"/>
          <w:sz w:val="20"/>
          <w:szCs w:val="20"/>
        </w:rPr>
        <w:t xml:space="preserve">/                        </w:t>
      </w:r>
    </w:p>
    <w:p w:rsidR="007E0A54" w:rsidRPr="00652690" w:rsidRDefault="007E0A54" w:rsidP="00652690">
      <w:pPr>
        <w:pStyle w:val="NoSpacing"/>
        <w:jc w:val="center"/>
        <w:rPr>
          <w:rFonts w:ascii="Verdana" w:hAnsi="Verdana"/>
          <w:sz w:val="20"/>
          <w:szCs w:val="20"/>
          <w:u w:val="single"/>
        </w:rPr>
      </w:pPr>
      <w:r w:rsidRPr="00652690">
        <w:rPr>
          <w:rFonts w:ascii="Verdana" w:hAnsi="Verdana"/>
          <w:sz w:val="20"/>
          <w:szCs w:val="20"/>
          <w:u w:val="single"/>
        </w:rPr>
        <w:t>TENDER DOCUMENT</w:t>
      </w:r>
    </w:p>
    <w:p w:rsidR="007E0A54" w:rsidRPr="007849BC" w:rsidRDefault="007E0A54" w:rsidP="007E0A54">
      <w:pPr>
        <w:pStyle w:val="H-1"/>
        <w:numPr>
          <w:ilvl w:val="0"/>
          <w:numId w:val="0"/>
        </w:numPr>
        <w:ind w:left="432" w:hanging="432"/>
      </w:pPr>
      <w:r w:rsidRPr="007849BC">
        <w:t>1.00 INVITATION OF TENDER:</w:t>
      </w:r>
    </w:p>
    <w:p w:rsidR="007E0A54" w:rsidRDefault="007E0A54" w:rsidP="007E0A54">
      <w:pPr>
        <w:pStyle w:val="H-2"/>
        <w:numPr>
          <w:ilvl w:val="1"/>
          <w:numId w:val="0"/>
        </w:numPr>
        <w:ind w:left="576" w:hanging="576"/>
        <w:rPr>
          <w:sz w:val="19"/>
          <w:szCs w:val="19"/>
        </w:rPr>
      </w:pPr>
      <w:r w:rsidRPr="0082653E">
        <w:rPr>
          <w:sz w:val="19"/>
          <w:szCs w:val="19"/>
        </w:rPr>
        <w:t>1.0</w:t>
      </w:r>
      <w:r>
        <w:rPr>
          <w:sz w:val="19"/>
          <w:szCs w:val="19"/>
        </w:rPr>
        <w:t>1</w:t>
      </w:r>
      <w:r w:rsidRPr="0082653E">
        <w:rPr>
          <w:sz w:val="19"/>
          <w:szCs w:val="19"/>
        </w:rPr>
        <w:t xml:space="preserve"> The tender must remain valid for a minimum period of 180 days from the date of opening of the tender.</w:t>
      </w:r>
    </w:p>
    <w:p w:rsidR="005E79FA" w:rsidRPr="0082653E" w:rsidRDefault="005E79FA" w:rsidP="007E0A54">
      <w:pPr>
        <w:pStyle w:val="H-2"/>
        <w:numPr>
          <w:ilvl w:val="1"/>
          <w:numId w:val="0"/>
        </w:numPr>
        <w:ind w:left="576" w:hanging="576"/>
        <w:rPr>
          <w:sz w:val="19"/>
          <w:szCs w:val="19"/>
        </w:rPr>
      </w:pPr>
      <w:r>
        <w:rPr>
          <w:sz w:val="19"/>
          <w:szCs w:val="19"/>
        </w:rPr>
        <w:t xml:space="preserve">2.00 Scope of Work: </w:t>
      </w:r>
    </w:p>
    <w:p w:rsidR="005E79FA" w:rsidRPr="00A6016E" w:rsidRDefault="005E79FA" w:rsidP="005E79FA">
      <w:pPr>
        <w:spacing w:after="0" w:line="240" w:lineRule="auto"/>
        <w:jc w:val="both"/>
        <w:rPr>
          <w:rFonts w:ascii="Verdana" w:hAnsi="Verdana"/>
          <w:b/>
          <w:sz w:val="20"/>
        </w:rPr>
      </w:pPr>
      <w:proofErr w:type="gramStart"/>
      <w:r>
        <w:rPr>
          <w:rFonts w:ascii="Verdana" w:hAnsi="Verdana"/>
          <w:sz w:val="20"/>
        </w:rPr>
        <w:t xml:space="preserve">Engagement of </w:t>
      </w:r>
      <w:r w:rsidRPr="00A6016E">
        <w:rPr>
          <w:rFonts w:ascii="Verdana" w:hAnsi="Verdana"/>
          <w:sz w:val="20"/>
        </w:rPr>
        <w:t>additional manpower to assist departmental staff for</w:t>
      </w:r>
      <w:r>
        <w:rPr>
          <w:rFonts w:ascii="Verdana" w:hAnsi="Verdana"/>
          <w:bCs/>
          <w:sz w:val="20"/>
        </w:rPr>
        <w:t xml:space="preserve"> </w:t>
      </w:r>
      <w:r w:rsidRPr="00A6016E">
        <w:rPr>
          <w:rFonts w:ascii="Verdana" w:hAnsi="Verdana"/>
          <w:bCs/>
          <w:sz w:val="20"/>
        </w:rPr>
        <w:t xml:space="preserve">attending </w:t>
      </w:r>
      <w:r>
        <w:rPr>
          <w:rFonts w:ascii="Verdana" w:hAnsi="Verdana"/>
          <w:bCs/>
          <w:sz w:val="20"/>
        </w:rPr>
        <w:t xml:space="preserve">following </w:t>
      </w:r>
      <w:r w:rsidRPr="00A6016E">
        <w:rPr>
          <w:rFonts w:ascii="Verdana" w:hAnsi="Verdana"/>
          <w:bCs/>
          <w:sz w:val="20"/>
        </w:rPr>
        <w:t>shutdown jobs of Captive Power plant.</w:t>
      </w:r>
      <w:proofErr w:type="gramEnd"/>
    </w:p>
    <w:p w:rsidR="005E79FA" w:rsidRPr="00A459FC" w:rsidRDefault="005E79FA" w:rsidP="005E79FA">
      <w:pPr>
        <w:spacing w:after="0" w:line="240" w:lineRule="auto"/>
        <w:rPr>
          <w:rFonts w:ascii="Verdana" w:hAnsi="Verdana"/>
          <w:b/>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7088"/>
      </w:tblGrid>
      <w:tr w:rsidR="005E79FA" w:rsidRPr="007740D0" w:rsidTr="00722812">
        <w:trPr>
          <w:trHeight w:val="338"/>
        </w:trPr>
        <w:tc>
          <w:tcPr>
            <w:tcW w:w="709" w:type="dxa"/>
          </w:tcPr>
          <w:p w:rsidR="005E79FA" w:rsidRPr="007740D0" w:rsidRDefault="005E79FA" w:rsidP="00722812">
            <w:pPr>
              <w:spacing w:after="0" w:line="240" w:lineRule="auto"/>
              <w:rPr>
                <w:rFonts w:ascii="Verdana" w:hAnsi="Verdana" w:cs="Times New Roman"/>
                <w:sz w:val="16"/>
                <w:szCs w:val="16"/>
              </w:rPr>
            </w:pPr>
            <w:r w:rsidRPr="007740D0">
              <w:rPr>
                <w:rFonts w:ascii="Verdana" w:hAnsi="Verdana" w:cs="Times New Roman"/>
                <w:sz w:val="16"/>
                <w:szCs w:val="16"/>
              </w:rPr>
              <w:t>Sl</w:t>
            </w:r>
          </w:p>
        </w:tc>
        <w:tc>
          <w:tcPr>
            <w:tcW w:w="7088" w:type="dxa"/>
          </w:tcPr>
          <w:p w:rsidR="005E79FA" w:rsidRPr="007740D0" w:rsidRDefault="005E79FA" w:rsidP="00722812">
            <w:pPr>
              <w:spacing w:line="240" w:lineRule="auto"/>
              <w:jc w:val="center"/>
              <w:rPr>
                <w:rFonts w:ascii="Verdana" w:hAnsi="Verdana" w:cs="Times New Roman"/>
                <w:sz w:val="16"/>
                <w:szCs w:val="16"/>
              </w:rPr>
            </w:pPr>
            <w:r w:rsidRPr="007740D0">
              <w:rPr>
                <w:rFonts w:ascii="Verdana" w:hAnsi="Verdana" w:cs="Times New Roman"/>
                <w:sz w:val="16"/>
                <w:szCs w:val="16"/>
              </w:rPr>
              <w:t>Job description</w:t>
            </w:r>
          </w:p>
        </w:tc>
      </w:tr>
      <w:tr w:rsidR="005E79FA" w:rsidRPr="007F028F" w:rsidTr="00722812">
        <w:trPr>
          <w:trHeight w:hRule="exact" w:val="340"/>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BFW  Pump Discharge</w:t>
            </w:r>
            <w:r w:rsidRPr="00A4083D">
              <w:rPr>
                <w:rFonts w:ascii="Verdana" w:hAnsi="Verdana" w:cs="Times New Roman"/>
                <w:sz w:val="18"/>
                <w:szCs w:val="18"/>
              </w:rPr>
              <w:t xml:space="preserve"> Valve Replacement (Gate Valve, 6”, #600)</w:t>
            </w:r>
          </w:p>
        </w:tc>
      </w:tr>
      <w:tr w:rsidR="005E79FA" w:rsidRPr="007F028F" w:rsidTr="00722812">
        <w:trPr>
          <w:trHeight w:hRule="exact" w:val="333"/>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 xml:space="preserve">ID Fan (T/D) </w:t>
            </w:r>
            <w:r w:rsidRPr="00A4083D">
              <w:rPr>
                <w:rFonts w:ascii="Verdana" w:hAnsi="Verdana" w:cs="Times New Roman"/>
                <w:sz w:val="18"/>
                <w:szCs w:val="18"/>
              </w:rPr>
              <w:t>steam inlet valve (Globe Valve,</w:t>
            </w:r>
            <w:r>
              <w:rPr>
                <w:rFonts w:ascii="Verdana" w:hAnsi="Verdana" w:cs="Times New Roman"/>
                <w:sz w:val="18"/>
                <w:szCs w:val="18"/>
              </w:rPr>
              <w:t>3</w:t>
            </w:r>
            <w:r w:rsidRPr="00A4083D">
              <w:rPr>
                <w:rFonts w:ascii="Verdana" w:hAnsi="Verdana" w:cs="Times New Roman"/>
                <w:sz w:val="18"/>
                <w:szCs w:val="18"/>
              </w:rPr>
              <w:t>”, #600) replacement</w:t>
            </w:r>
          </w:p>
        </w:tc>
      </w:tr>
      <w:tr w:rsidR="005E79FA" w:rsidRPr="007F028F" w:rsidTr="00722812">
        <w:trPr>
          <w:trHeight w:hRule="exact" w:val="660"/>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Default="005E79FA" w:rsidP="00722812">
            <w:pPr>
              <w:spacing w:after="0" w:line="240" w:lineRule="auto"/>
              <w:rPr>
                <w:rFonts w:ascii="Verdana" w:hAnsi="Verdana" w:cs="Times New Roman"/>
                <w:sz w:val="18"/>
                <w:szCs w:val="18"/>
              </w:rPr>
            </w:pPr>
            <w:r w:rsidRPr="00A4083D">
              <w:rPr>
                <w:rFonts w:ascii="Verdana" w:hAnsi="Verdana" w:cs="Times New Roman"/>
                <w:sz w:val="18"/>
                <w:szCs w:val="18"/>
              </w:rPr>
              <w:t>Opening and Box</w:t>
            </w:r>
            <w:r>
              <w:rPr>
                <w:rFonts w:ascii="Verdana" w:hAnsi="Verdana" w:cs="Times New Roman"/>
                <w:sz w:val="18"/>
                <w:szCs w:val="18"/>
              </w:rPr>
              <w:t>-</w:t>
            </w:r>
            <w:r w:rsidRPr="00A4083D">
              <w:rPr>
                <w:rFonts w:ascii="Verdana" w:hAnsi="Verdana" w:cs="Times New Roman"/>
                <w:sz w:val="18"/>
                <w:szCs w:val="18"/>
              </w:rPr>
              <w:t xml:space="preserve">up of </w:t>
            </w:r>
            <w:r>
              <w:rPr>
                <w:rFonts w:ascii="Verdana" w:hAnsi="Verdana" w:cs="Times New Roman"/>
                <w:sz w:val="18"/>
                <w:szCs w:val="18"/>
              </w:rPr>
              <w:t xml:space="preserve">End </w:t>
            </w:r>
            <w:r w:rsidRPr="00A4083D">
              <w:rPr>
                <w:rFonts w:ascii="Verdana" w:hAnsi="Verdana" w:cs="Times New Roman"/>
                <w:sz w:val="18"/>
                <w:szCs w:val="18"/>
              </w:rPr>
              <w:t xml:space="preserve">covers of </w:t>
            </w:r>
            <w:r>
              <w:rPr>
                <w:rFonts w:ascii="Verdana" w:hAnsi="Verdana" w:cs="Times New Roman"/>
                <w:sz w:val="18"/>
                <w:szCs w:val="18"/>
              </w:rPr>
              <w:t>inter cooler-2nos, Aftercooler-2 nos,</w:t>
            </w:r>
            <w:r w:rsidRPr="00A4083D">
              <w:rPr>
                <w:rFonts w:ascii="Verdana" w:hAnsi="Verdana" w:cs="Times New Roman"/>
                <w:sz w:val="18"/>
                <w:szCs w:val="18"/>
              </w:rPr>
              <w:t xml:space="preserve"> oil coolers (2 x 02 nos) of CENTAC air compressor for cleaning</w:t>
            </w:r>
          </w:p>
          <w:p w:rsidR="005E79FA" w:rsidRPr="00A4083D" w:rsidRDefault="005E79FA" w:rsidP="00722812">
            <w:pPr>
              <w:spacing w:after="0" w:line="240" w:lineRule="auto"/>
              <w:rPr>
                <w:rFonts w:ascii="Verdana" w:hAnsi="Verdana" w:cs="Times New Roman"/>
                <w:sz w:val="18"/>
                <w:szCs w:val="18"/>
              </w:rPr>
            </w:pPr>
          </w:p>
        </w:tc>
      </w:tr>
      <w:tr w:rsidR="005E79FA" w:rsidRPr="007F028F" w:rsidTr="00722812">
        <w:trPr>
          <w:trHeight w:hRule="exact" w:val="556"/>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sidRPr="00A4083D">
              <w:rPr>
                <w:rFonts w:ascii="Verdana" w:hAnsi="Verdana" w:cs="Times New Roman"/>
                <w:sz w:val="18"/>
                <w:szCs w:val="18"/>
              </w:rPr>
              <w:t>Replacement of Pre  Air filters of CENTAC air compressor</w:t>
            </w:r>
            <w:r>
              <w:rPr>
                <w:rFonts w:ascii="Verdana" w:hAnsi="Verdana" w:cs="Times New Roman"/>
                <w:sz w:val="18"/>
                <w:szCs w:val="18"/>
              </w:rPr>
              <w:t xml:space="preserve"> &amp; cleaning of existing pre filter for future use</w:t>
            </w:r>
          </w:p>
        </w:tc>
      </w:tr>
      <w:tr w:rsidR="005E79FA" w:rsidRPr="007F028F" w:rsidTr="00722812">
        <w:trPr>
          <w:trHeight w:hRule="exact" w:val="518"/>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Default="005E79FA" w:rsidP="00722812">
            <w:pPr>
              <w:spacing w:after="0" w:line="240" w:lineRule="auto"/>
              <w:rPr>
                <w:rFonts w:ascii="Verdana" w:hAnsi="Verdana" w:cs="Times New Roman"/>
                <w:sz w:val="18"/>
                <w:szCs w:val="18"/>
              </w:rPr>
            </w:pPr>
            <w:r>
              <w:rPr>
                <w:rFonts w:ascii="Verdana" w:hAnsi="Verdana" w:cs="Times New Roman"/>
                <w:sz w:val="18"/>
                <w:szCs w:val="18"/>
              </w:rPr>
              <w:t xml:space="preserve">Maintenance/Replacement of inlet/isolation diaphragm valve of PC-5 &amp; 6 </w:t>
            </w:r>
          </w:p>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(5 nos) of DM plant</w:t>
            </w:r>
          </w:p>
        </w:tc>
      </w:tr>
      <w:tr w:rsidR="005E79FA" w:rsidRPr="007F028F" w:rsidTr="00722812">
        <w:trPr>
          <w:trHeight w:hRule="exact" w:val="297"/>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Pr="00A4083D" w:rsidRDefault="005E79FA" w:rsidP="00722812">
            <w:pPr>
              <w:spacing w:after="0" w:line="240" w:lineRule="auto"/>
              <w:rPr>
                <w:rFonts w:ascii="Verdana" w:hAnsi="Verdana" w:cs="Times New Roman"/>
                <w:sz w:val="18"/>
                <w:szCs w:val="18"/>
              </w:rPr>
            </w:pPr>
            <w:r>
              <w:rPr>
                <w:rFonts w:ascii="Verdana" w:hAnsi="Verdana" w:cs="Times New Roman"/>
                <w:sz w:val="18"/>
                <w:szCs w:val="18"/>
              </w:rPr>
              <w:t>Replacement of dry air section post filter elements</w:t>
            </w:r>
          </w:p>
        </w:tc>
      </w:tr>
      <w:tr w:rsidR="005E79FA" w:rsidRPr="007F028F" w:rsidTr="00722812">
        <w:trPr>
          <w:trHeight w:hRule="exact" w:val="297"/>
        </w:trPr>
        <w:tc>
          <w:tcPr>
            <w:tcW w:w="709" w:type="dxa"/>
          </w:tcPr>
          <w:p w:rsidR="005E79FA" w:rsidRPr="00A4083D" w:rsidRDefault="005E79FA" w:rsidP="00722812">
            <w:pPr>
              <w:pStyle w:val="ListParagraph"/>
              <w:numPr>
                <w:ilvl w:val="0"/>
                <w:numId w:val="12"/>
              </w:numPr>
              <w:spacing w:after="0"/>
              <w:jc w:val="center"/>
              <w:rPr>
                <w:rFonts w:ascii="Verdana" w:hAnsi="Verdana" w:cs="Times New Roman"/>
                <w:sz w:val="16"/>
                <w:szCs w:val="16"/>
              </w:rPr>
            </w:pPr>
          </w:p>
        </w:tc>
        <w:tc>
          <w:tcPr>
            <w:tcW w:w="7088" w:type="dxa"/>
          </w:tcPr>
          <w:p w:rsidR="005E79FA" w:rsidRDefault="005E79FA" w:rsidP="00722812">
            <w:pPr>
              <w:spacing w:after="0" w:line="240" w:lineRule="auto"/>
              <w:rPr>
                <w:rFonts w:ascii="Verdana" w:hAnsi="Verdana" w:cs="Times New Roman"/>
                <w:sz w:val="18"/>
                <w:szCs w:val="18"/>
              </w:rPr>
            </w:pPr>
            <w:r>
              <w:rPr>
                <w:rFonts w:ascii="Verdana" w:hAnsi="Verdana" w:cs="Times New Roman"/>
                <w:sz w:val="18"/>
                <w:szCs w:val="18"/>
              </w:rPr>
              <w:t xml:space="preserve">Overhauling of </w:t>
            </w:r>
            <w:proofErr w:type="spellStart"/>
            <w:r>
              <w:rPr>
                <w:rFonts w:ascii="Verdana" w:hAnsi="Verdana" w:cs="Times New Roman"/>
                <w:sz w:val="18"/>
                <w:szCs w:val="18"/>
              </w:rPr>
              <w:t>Centac</w:t>
            </w:r>
            <w:proofErr w:type="spellEnd"/>
            <w:r>
              <w:rPr>
                <w:rFonts w:ascii="Verdana" w:hAnsi="Verdana" w:cs="Times New Roman"/>
                <w:sz w:val="18"/>
                <w:szCs w:val="18"/>
              </w:rPr>
              <w:t xml:space="preserve"> Air Compressor</w:t>
            </w:r>
          </w:p>
        </w:tc>
      </w:tr>
    </w:tbl>
    <w:p w:rsidR="005E79FA" w:rsidRDefault="005E79FA" w:rsidP="005E79FA">
      <w:pPr>
        <w:spacing w:after="0" w:line="240" w:lineRule="auto"/>
        <w:ind w:left="7200" w:firstLine="720"/>
        <w:rPr>
          <w:rFonts w:ascii="Verdana" w:hAnsi="Verdana"/>
          <w:sz w:val="18"/>
          <w:szCs w:val="18"/>
        </w:rPr>
      </w:pPr>
      <w:r w:rsidRPr="00BE2555">
        <w:rPr>
          <w:rFonts w:ascii="Verdana" w:hAnsi="Verdana" w:cs="Arial"/>
          <w:sz w:val="20"/>
        </w:rPr>
        <w:t xml:space="preserve">     </w:t>
      </w:r>
      <w:r w:rsidRPr="00BE2555">
        <w:rPr>
          <w:rFonts w:ascii="Verdana" w:hAnsi="Verdana"/>
          <w:b/>
          <w:bCs/>
          <w:sz w:val="20"/>
        </w:rPr>
        <w:t xml:space="preserve">     </w:t>
      </w:r>
      <w:r w:rsidRPr="00BE2555">
        <w:rPr>
          <w:rFonts w:ascii="Verdana" w:hAnsi="Verdana"/>
          <w:b/>
          <w:bCs/>
          <w:sz w:val="20"/>
        </w:rPr>
        <w:tab/>
      </w:r>
      <w:r>
        <w:rPr>
          <w:rFonts w:ascii="Verdana" w:hAnsi="Verdana"/>
          <w:sz w:val="18"/>
          <w:szCs w:val="18"/>
        </w:rPr>
        <w:tab/>
      </w:r>
    </w:p>
    <w:p w:rsidR="007E0A54" w:rsidRPr="007E0A54" w:rsidRDefault="007E0A54" w:rsidP="007E0A54">
      <w:pPr>
        <w:pStyle w:val="NoSpacing"/>
        <w:rPr>
          <w:rFonts w:ascii="Verdana" w:hAnsi="Verdana"/>
          <w:b/>
          <w:bCs/>
          <w:sz w:val="19"/>
          <w:szCs w:val="19"/>
        </w:rPr>
      </w:pPr>
      <w:r w:rsidRPr="007E0A54">
        <w:rPr>
          <w:rFonts w:ascii="Verdana" w:hAnsi="Verdana"/>
          <w:b/>
          <w:bCs/>
          <w:sz w:val="19"/>
          <w:szCs w:val="19"/>
        </w:rPr>
        <w:t>3.00</w:t>
      </w:r>
      <w:r w:rsidRPr="007E0A54">
        <w:rPr>
          <w:rFonts w:ascii="Verdana" w:hAnsi="Verdana"/>
          <w:b/>
          <w:bCs/>
          <w:sz w:val="19"/>
          <w:szCs w:val="19"/>
        </w:rPr>
        <w:tab/>
        <w:t>Terms &amp; conditions:-</w:t>
      </w:r>
    </w:p>
    <w:p w:rsidR="007E0A54" w:rsidRPr="007E0A54" w:rsidRDefault="007E0A54" w:rsidP="007E0A54">
      <w:pPr>
        <w:pStyle w:val="NoSpacing"/>
        <w:rPr>
          <w:rFonts w:ascii="Verdana" w:hAnsi="Verdana"/>
          <w:sz w:val="19"/>
          <w:szCs w:val="19"/>
        </w:rPr>
      </w:pPr>
      <w:r w:rsidRPr="007E0A54">
        <w:rPr>
          <w:rFonts w:ascii="Verdana" w:hAnsi="Verdana"/>
          <w:b/>
          <w:bCs/>
          <w:sz w:val="19"/>
          <w:szCs w:val="19"/>
        </w:rPr>
        <w:t>3.01</w:t>
      </w:r>
      <w:r w:rsidRPr="007E0A54">
        <w:rPr>
          <w:rFonts w:ascii="Verdana" w:hAnsi="Verdana"/>
          <w:b/>
          <w:bCs/>
          <w:sz w:val="19"/>
          <w:szCs w:val="19"/>
        </w:rPr>
        <w:tab/>
      </w:r>
      <w:r w:rsidRPr="007E0A54">
        <w:rPr>
          <w:rFonts w:ascii="Verdana" w:hAnsi="Verdana"/>
          <w:sz w:val="19"/>
          <w:szCs w:val="19"/>
        </w:rPr>
        <w:t>All necessary safety precautions are to be taken by the party.</w:t>
      </w:r>
    </w:p>
    <w:p w:rsidR="007E0A54" w:rsidRPr="007E0A54" w:rsidRDefault="007E0A54" w:rsidP="007E0A54">
      <w:pPr>
        <w:pStyle w:val="NoSpacing"/>
        <w:ind w:left="720" w:hanging="720"/>
        <w:rPr>
          <w:rFonts w:ascii="Verdana" w:hAnsi="Verdana" w:cs="Arial"/>
          <w:sz w:val="19"/>
          <w:szCs w:val="19"/>
        </w:rPr>
      </w:pPr>
      <w:r w:rsidRPr="007E0A54">
        <w:rPr>
          <w:rFonts w:ascii="Verdana" w:hAnsi="Verdana"/>
          <w:sz w:val="19"/>
          <w:szCs w:val="19"/>
        </w:rPr>
        <w:t>3.02</w:t>
      </w:r>
      <w:r w:rsidRPr="007E0A54">
        <w:rPr>
          <w:rFonts w:ascii="Verdana" w:hAnsi="Verdana"/>
          <w:sz w:val="19"/>
          <w:szCs w:val="19"/>
        </w:rPr>
        <w:tab/>
        <w:t xml:space="preserve"> 100 % payment shall be made after completion of job </w:t>
      </w:r>
      <w:r w:rsidRPr="007E0A54">
        <w:rPr>
          <w:rFonts w:ascii="Verdana" w:hAnsi="Verdana" w:cs="Arial"/>
          <w:sz w:val="19"/>
          <w:szCs w:val="19"/>
        </w:rPr>
        <w:t>within 30 days from submission of bill in triplicate and as certified by Engineer – in – Charge after deductions, if any.</w:t>
      </w:r>
    </w:p>
    <w:p w:rsidR="007E0A54" w:rsidRPr="007E0A54" w:rsidRDefault="007E0A54" w:rsidP="007E0A54">
      <w:pPr>
        <w:pStyle w:val="NoSpacing"/>
        <w:ind w:left="720" w:hanging="720"/>
        <w:rPr>
          <w:rFonts w:ascii="Verdana" w:hAnsi="Verdana"/>
          <w:sz w:val="19"/>
          <w:szCs w:val="19"/>
        </w:rPr>
      </w:pPr>
      <w:r w:rsidRPr="007E0A54">
        <w:rPr>
          <w:rFonts w:ascii="Verdana" w:hAnsi="Verdana" w:cs="Arial"/>
          <w:sz w:val="19"/>
          <w:szCs w:val="19"/>
        </w:rPr>
        <w:t>3.03</w:t>
      </w:r>
      <w:r w:rsidRPr="007E0A54">
        <w:rPr>
          <w:rFonts w:ascii="Verdana" w:hAnsi="Verdana"/>
          <w:b/>
          <w:bCs/>
          <w:sz w:val="19"/>
          <w:szCs w:val="19"/>
        </w:rPr>
        <w:tab/>
      </w:r>
      <w:r w:rsidRPr="007E0A54">
        <w:rPr>
          <w:rFonts w:ascii="Verdana" w:hAnsi="Verdana"/>
          <w:sz w:val="19"/>
          <w:szCs w:val="19"/>
        </w:rPr>
        <w:t xml:space="preserve">Payment of minimum wages to the various staffs, labours should be followed as per </w:t>
      </w:r>
      <w:r w:rsidRPr="007E0A54">
        <w:rPr>
          <w:rFonts w:ascii="Verdana" w:hAnsi="Verdana" w:cs="Lucida Sans Unicode"/>
          <w:sz w:val="19"/>
          <w:szCs w:val="19"/>
        </w:rPr>
        <w:t xml:space="preserve">Central </w:t>
      </w:r>
      <w:proofErr w:type="spellStart"/>
      <w:r w:rsidRPr="007E0A54">
        <w:rPr>
          <w:rFonts w:ascii="Verdana" w:hAnsi="Verdana" w:cs="Lucida Sans Unicode"/>
          <w:sz w:val="19"/>
          <w:szCs w:val="19"/>
        </w:rPr>
        <w:t>Govt’s</w:t>
      </w:r>
      <w:proofErr w:type="spellEnd"/>
      <w:r w:rsidRPr="007E0A54">
        <w:rPr>
          <w:rFonts w:ascii="Verdana" w:hAnsi="Verdana" w:cs="Lucida Sans Unicode"/>
          <w:sz w:val="19"/>
          <w:szCs w:val="19"/>
        </w:rPr>
        <w:t xml:space="preserve"> recent notification</w:t>
      </w:r>
      <w:r w:rsidRPr="007E0A54">
        <w:rPr>
          <w:rFonts w:ascii="Verdana" w:hAnsi="Verdana"/>
          <w:sz w:val="19"/>
          <w:szCs w:val="19"/>
        </w:rPr>
        <w:t xml:space="preserve">. </w:t>
      </w:r>
    </w:p>
    <w:p w:rsidR="007E0A54" w:rsidRPr="007E0A54" w:rsidRDefault="007E0A54" w:rsidP="007E0A54">
      <w:pPr>
        <w:pStyle w:val="NoSpacing"/>
        <w:ind w:left="720" w:hanging="720"/>
        <w:rPr>
          <w:rFonts w:ascii="Verdana" w:hAnsi="Verdana"/>
          <w:bCs/>
          <w:color w:val="000000"/>
          <w:sz w:val="19"/>
          <w:szCs w:val="19"/>
        </w:rPr>
      </w:pPr>
      <w:r w:rsidRPr="007E0A54">
        <w:rPr>
          <w:rFonts w:ascii="Verdana" w:hAnsi="Verdana"/>
          <w:sz w:val="19"/>
          <w:szCs w:val="19"/>
        </w:rPr>
        <w:t>3.04</w:t>
      </w:r>
      <w:r w:rsidRPr="007E0A54">
        <w:rPr>
          <w:rFonts w:ascii="Verdana" w:hAnsi="Verdana"/>
          <w:b/>
          <w:bCs/>
          <w:sz w:val="19"/>
          <w:szCs w:val="19"/>
        </w:rPr>
        <w:tab/>
      </w:r>
      <w:r w:rsidRPr="007E0A54">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7E0A54" w:rsidRPr="007E0A54" w:rsidRDefault="007E0A54" w:rsidP="007E0A54">
      <w:pPr>
        <w:pStyle w:val="NoSpacing"/>
        <w:ind w:left="720" w:hanging="720"/>
        <w:rPr>
          <w:rFonts w:ascii="Verdana" w:hAnsi="Verdana"/>
          <w:bCs/>
          <w:color w:val="000000"/>
          <w:sz w:val="19"/>
          <w:szCs w:val="19"/>
        </w:rPr>
      </w:pPr>
      <w:r w:rsidRPr="007E0A54">
        <w:rPr>
          <w:rFonts w:ascii="Verdana" w:hAnsi="Verdana"/>
          <w:b/>
          <w:bCs/>
          <w:sz w:val="19"/>
          <w:szCs w:val="19"/>
        </w:rPr>
        <w:t>3.05</w:t>
      </w:r>
      <w:r w:rsidRPr="007E0A54">
        <w:rPr>
          <w:rFonts w:ascii="Verdana" w:hAnsi="Verdana"/>
          <w:b/>
          <w:bCs/>
          <w:sz w:val="19"/>
          <w:szCs w:val="19"/>
        </w:rPr>
        <w:tab/>
      </w:r>
      <w:r w:rsidRPr="007E0A54">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7E0A54" w:rsidRPr="007E0A54" w:rsidRDefault="007E0A54" w:rsidP="007E0A54">
      <w:pPr>
        <w:pStyle w:val="NoSpacing"/>
        <w:ind w:left="720" w:hanging="720"/>
        <w:rPr>
          <w:rFonts w:ascii="Verdana" w:hAnsi="Verdana"/>
          <w:color w:val="000000"/>
          <w:sz w:val="19"/>
          <w:szCs w:val="19"/>
        </w:rPr>
      </w:pPr>
      <w:r w:rsidRPr="007E0A54">
        <w:rPr>
          <w:rFonts w:ascii="Verdana" w:hAnsi="Verdana"/>
          <w:bCs/>
          <w:color w:val="000000"/>
          <w:sz w:val="19"/>
          <w:szCs w:val="19"/>
        </w:rPr>
        <w:t>3.06</w:t>
      </w:r>
      <w:r w:rsidRPr="007E0A54">
        <w:rPr>
          <w:rFonts w:ascii="Verdana" w:hAnsi="Verdana"/>
          <w:b/>
          <w:bCs/>
          <w:sz w:val="19"/>
          <w:szCs w:val="19"/>
        </w:rPr>
        <w:tab/>
      </w:r>
      <w:r w:rsidRPr="007E0A54">
        <w:rPr>
          <w:rFonts w:ascii="Verdana" w:hAnsi="Verdana"/>
          <w:color w:val="000000"/>
          <w:sz w:val="19"/>
          <w:szCs w:val="19"/>
        </w:rPr>
        <w:t>All the statutory taxes and duties shall be applicable as per rule at usual and prevailing rates. Income Tax however shall be deducted from bills.</w:t>
      </w:r>
    </w:p>
    <w:p w:rsidR="007E0A54" w:rsidRPr="007E0A54" w:rsidRDefault="007E0A54" w:rsidP="007E0A54">
      <w:pPr>
        <w:pStyle w:val="NoSpacing"/>
        <w:ind w:left="720" w:hanging="720"/>
        <w:rPr>
          <w:rFonts w:ascii="Verdana" w:hAnsi="Verdana"/>
          <w:b/>
          <w:bCs/>
          <w:sz w:val="19"/>
          <w:szCs w:val="19"/>
        </w:rPr>
      </w:pPr>
      <w:r w:rsidRPr="007E0A54">
        <w:rPr>
          <w:rFonts w:ascii="Verdana" w:hAnsi="Verdana"/>
          <w:color w:val="000000"/>
          <w:sz w:val="19"/>
          <w:szCs w:val="19"/>
        </w:rPr>
        <w:t>3.07</w:t>
      </w:r>
      <w:r w:rsidRPr="007E0A54">
        <w:rPr>
          <w:rFonts w:ascii="Verdana" w:hAnsi="Verdana"/>
          <w:b/>
          <w:bCs/>
          <w:sz w:val="19"/>
          <w:szCs w:val="19"/>
        </w:rPr>
        <w:tab/>
      </w:r>
      <w:r w:rsidRPr="007E0A54">
        <w:rPr>
          <w:rFonts w:ascii="Verdana" w:hAnsi="Verdana" w:cs="Arial"/>
          <w:sz w:val="19"/>
          <w:szCs w:val="19"/>
        </w:rPr>
        <w:t>GST at the applicable rate shall be reimbursed / deducted on production of documentary evidence.</w:t>
      </w:r>
      <w:r w:rsidRPr="007E0A54">
        <w:rPr>
          <w:rFonts w:ascii="Verdana" w:hAnsi="Verdana"/>
          <w:sz w:val="19"/>
          <w:szCs w:val="19"/>
        </w:rPr>
        <w:t xml:space="preserve"> </w:t>
      </w:r>
    </w:p>
    <w:p w:rsidR="007E0A54" w:rsidRPr="007E0A54" w:rsidRDefault="007E0A54" w:rsidP="007E0A54">
      <w:pPr>
        <w:pStyle w:val="NoSpacing"/>
        <w:rPr>
          <w:rFonts w:ascii="Verdana" w:hAnsi="Verdana" w:cs="Arial"/>
          <w:sz w:val="19"/>
          <w:szCs w:val="19"/>
        </w:rPr>
      </w:pPr>
      <w:proofErr w:type="gramStart"/>
      <w:r w:rsidRPr="007E0A54">
        <w:rPr>
          <w:rFonts w:ascii="Verdana" w:hAnsi="Verdana" w:cs="Arial"/>
          <w:b/>
          <w:bCs/>
          <w:sz w:val="19"/>
          <w:szCs w:val="19"/>
        </w:rPr>
        <w:t>4.00  SPECIAL</w:t>
      </w:r>
      <w:proofErr w:type="gramEnd"/>
      <w:r w:rsidRPr="007E0A54">
        <w:rPr>
          <w:rFonts w:ascii="Verdana" w:hAnsi="Verdana" w:cs="Arial"/>
          <w:b/>
          <w:bCs/>
          <w:sz w:val="19"/>
          <w:szCs w:val="19"/>
        </w:rPr>
        <w:t xml:space="preserve"> TERMS &amp; CONDITIONS</w:t>
      </w:r>
    </w:p>
    <w:p w:rsidR="007E0A54" w:rsidRPr="007E0A54" w:rsidRDefault="007E0A54" w:rsidP="007E0A54">
      <w:pPr>
        <w:pStyle w:val="NoSpacing"/>
        <w:rPr>
          <w:rFonts w:ascii="Verdana" w:hAnsi="Verdana" w:cs="Arial"/>
          <w:sz w:val="19"/>
          <w:szCs w:val="19"/>
        </w:rPr>
      </w:pPr>
      <w:r w:rsidRPr="007E0A54">
        <w:rPr>
          <w:rFonts w:ascii="Verdana" w:hAnsi="Verdana" w:cs="Arial"/>
          <w:sz w:val="19"/>
          <w:szCs w:val="19"/>
        </w:rPr>
        <w:t xml:space="preserve">4.01   The contractors have to abide by the terms and conditions mentioned in G.D.C.C. in </w:t>
      </w:r>
    </w:p>
    <w:p w:rsidR="007E0A54" w:rsidRPr="007E0A54" w:rsidRDefault="007E0A54" w:rsidP="007E0A54">
      <w:pPr>
        <w:pStyle w:val="NoSpacing"/>
        <w:ind w:firstLine="720"/>
        <w:rPr>
          <w:rFonts w:ascii="Verdana" w:hAnsi="Verdana" w:cs="Arial"/>
          <w:sz w:val="19"/>
          <w:szCs w:val="19"/>
        </w:rPr>
      </w:pPr>
      <w:proofErr w:type="gramStart"/>
      <w:r w:rsidRPr="007E0A54">
        <w:rPr>
          <w:rFonts w:ascii="Verdana" w:hAnsi="Verdana" w:cs="Arial"/>
          <w:sz w:val="19"/>
          <w:szCs w:val="19"/>
        </w:rPr>
        <w:t>respect</w:t>
      </w:r>
      <w:proofErr w:type="gramEnd"/>
      <w:r w:rsidRPr="007E0A54">
        <w:rPr>
          <w:rFonts w:ascii="Verdana" w:hAnsi="Verdana" w:cs="Arial"/>
          <w:sz w:val="19"/>
          <w:szCs w:val="19"/>
        </w:rPr>
        <w:t xml:space="preserve"> of carrying out the job, payments, settlement of disputes etc.</w:t>
      </w:r>
    </w:p>
    <w:p w:rsidR="007E0A54" w:rsidRPr="007E0A54" w:rsidRDefault="007E0A54" w:rsidP="007E0A54">
      <w:pPr>
        <w:pStyle w:val="NoSpacing"/>
        <w:rPr>
          <w:rFonts w:ascii="Verdana" w:hAnsi="Verdana" w:cs="Arial"/>
          <w:sz w:val="19"/>
          <w:szCs w:val="19"/>
        </w:rPr>
      </w:pPr>
      <w:r w:rsidRPr="007E0A54">
        <w:rPr>
          <w:rFonts w:ascii="Verdana" w:hAnsi="Verdana" w:cs="Arial"/>
          <w:sz w:val="19"/>
          <w:szCs w:val="19"/>
        </w:rPr>
        <w:t>4.02</w:t>
      </w:r>
      <w:r w:rsidRPr="007E0A54">
        <w:rPr>
          <w:rFonts w:ascii="Verdana" w:hAnsi="Verdana" w:cs="Arial"/>
          <w:sz w:val="19"/>
          <w:szCs w:val="19"/>
        </w:rPr>
        <w:tab/>
        <w:t xml:space="preserve">All works are to be done under the strict supervision of the contractor to the entire </w:t>
      </w:r>
    </w:p>
    <w:p w:rsidR="007E0A54" w:rsidRPr="007E0A54" w:rsidRDefault="007E0A54" w:rsidP="007E0A54">
      <w:pPr>
        <w:pStyle w:val="NoSpacing"/>
        <w:ind w:firstLine="720"/>
        <w:rPr>
          <w:rFonts w:ascii="Verdana" w:hAnsi="Verdana" w:cs="Arial"/>
          <w:sz w:val="19"/>
          <w:szCs w:val="19"/>
        </w:rPr>
      </w:pPr>
      <w:proofErr w:type="gramStart"/>
      <w:r w:rsidRPr="007E0A54">
        <w:rPr>
          <w:rFonts w:ascii="Verdana" w:hAnsi="Verdana" w:cs="Arial"/>
          <w:sz w:val="19"/>
          <w:szCs w:val="19"/>
        </w:rPr>
        <w:t>satisfaction</w:t>
      </w:r>
      <w:proofErr w:type="gramEnd"/>
      <w:r w:rsidRPr="007E0A54">
        <w:rPr>
          <w:rFonts w:ascii="Verdana" w:hAnsi="Verdana" w:cs="Arial"/>
          <w:sz w:val="19"/>
          <w:szCs w:val="19"/>
        </w:rPr>
        <w:t xml:space="preserve"> of the Engineer-in-charge / site in charge.</w:t>
      </w:r>
    </w:p>
    <w:p w:rsidR="007E0A54" w:rsidRPr="007E0A54" w:rsidRDefault="007E0A54" w:rsidP="007E0A54">
      <w:pPr>
        <w:pStyle w:val="NoSpacing"/>
        <w:ind w:left="720" w:hanging="720"/>
        <w:rPr>
          <w:rFonts w:ascii="Verdana" w:hAnsi="Verdana"/>
          <w:sz w:val="19"/>
          <w:szCs w:val="19"/>
        </w:rPr>
      </w:pPr>
      <w:r w:rsidRPr="007E0A54">
        <w:rPr>
          <w:rFonts w:ascii="Verdana" w:hAnsi="Verdana" w:cs="Arial"/>
          <w:sz w:val="19"/>
          <w:szCs w:val="19"/>
        </w:rPr>
        <w:t>4.03</w:t>
      </w:r>
      <w:r w:rsidRPr="007E0A54">
        <w:rPr>
          <w:rFonts w:ascii="Verdana" w:hAnsi="Verdana" w:cs="Arial"/>
          <w:sz w:val="19"/>
          <w:szCs w:val="19"/>
        </w:rPr>
        <w:tab/>
      </w:r>
      <w:r w:rsidRPr="007E0A54">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7E0A54" w:rsidRPr="007E0A54" w:rsidRDefault="007E0A54" w:rsidP="007E0A54">
      <w:pPr>
        <w:pStyle w:val="NoSpacing"/>
        <w:ind w:left="720" w:hanging="720"/>
        <w:rPr>
          <w:rFonts w:ascii="Verdana" w:hAnsi="Verdana" w:cs="Arial"/>
          <w:sz w:val="19"/>
          <w:szCs w:val="19"/>
        </w:rPr>
      </w:pPr>
      <w:r w:rsidRPr="007E0A54">
        <w:rPr>
          <w:rFonts w:ascii="Verdana" w:hAnsi="Verdana"/>
          <w:sz w:val="19"/>
          <w:szCs w:val="19"/>
        </w:rPr>
        <w:t>4.04</w:t>
      </w:r>
      <w:r w:rsidRPr="007E0A54">
        <w:rPr>
          <w:rFonts w:ascii="Verdana" w:hAnsi="Verdana" w:cs="Arial"/>
          <w:sz w:val="19"/>
          <w:szCs w:val="19"/>
        </w:rPr>
        <w:tab/>
      </w:r>
      <w:r w:rsidRPr="007E0A54">
        <w:rPr>
          <w:rFonts w:ascii="Verdana" w:hAnsi="Verdana"/>
          <w:sz w:val="19"/>
          <w:szCs w:val="19"/>
        </w:rPr>
        <w:t>All Safety measure and gears required for the job shall have to be arranged by the contractor and to be followed strictly.</w:t>
      </w:r>
    </w:p>
    <w:p w:rsidR="007E0A54" w:rsidRDefault="007E0A54"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r w:rsidRPr="0082653E">
        <w:rPr>
          <w:b/>
          <w:bCs/>
          <w:color w:val="000000"/>
          <w:sz w:val="19"/>
          <w:szCs w:val="19"/>
        </w:rPr>
        <w:t>Contd-2</w:t>
      </w:r>
    </w:p>
    <w:p w:rsidR="007E0A54" w:rsidRPr="0082653E" w:rsidRDefault="007E0A54" w:rsidP="007E0A54">
      <w:pPr>
        <w:pStyle w:val="BodyText"/>
        <w:ind w:left="720" w:hanging="720"/>
        <w:jc w:val="center"/>
        <w:rPr>
          <w:b/>
          <w:bCs/>
          <w:color w:val="000000"/>
          <w:sz w:val="19"/>
          <w:szCs w:val="19"/>
        </w:rPr>
      </w:pPr>
    </w:p>
    <w:p w:rsidR="007E0A54" w:rsidRDefault="007E0A54" w:rsidP="007E0A54">
      <w:pPr>
        <w:pStyle w:val="BodyText"/>
        <w:ind w:left="720" w:hanging="720"/>
        <w:jc w:val="center"/>
        <w:rPr>
          <w:b/>
          <w:bCs/>
          <w:color w:val="000000"/>
          <w:sz w:val="19"/>
          <w:szCs w:val="19"/>
        </w:rPr>
      </w:pPr>
    </w:p>
    <w:p w:rsidR="00D902A2" w:rsidRDefault="00D902A2" w:rsidP="007E0A54">
      <w:pPr>
        <w:pStyle w:val="BodyText"/>
        <w:ind w:left="720" w:hanging="720"/>
        <w:jc w:val="center"/>
        <w:rPr>
          <w:b/>
          <w:bCs/>
          <w:color w:val="000000"/>
          <w:sz w:val="19"/>
          <w:szCs w:val="19"/>
        </w:rPr>
      </w:pPr>
    </w:p>
    <w:p w:rsidR="00D902A2" w:rsidRDefault="00D902A2" w:rsidP="007E0A54">
      <w:pPr>
        <w:pStyle w:val="BodyText"/>
        <w:ind w:left="720" w:hanging="720"/>
        <w:jc w:val="center"/>
        <w:rPr>
          <w:b/>
          <w:bCs/>
          <w:color w:val="000000"/>
          <w:sz w:val="19"/>
          <w:szCs w:val="19"/>
        </w:rPr>
      </w:pPr>
    </w:p>
    <w:p w:rsidR="00D902A2" w:rsidRDefault="00D902A2" w:rsidP="007E0A54">
      <w:pPr>
        <w:pStyle w:val="BodyText"/>
        <w:ind w:left="720" w:hanging="720"/>
        <w:jc w:val="center"/>
        <w:rPr>
          <w:b/>
          <w:bCs/>
          <w:color w:val="000000"/>
          <w:sz w:val="19"/>
          <w:szCs w:val="19"/>
        </w:rPr>
      </w:pPr>
    </w:p>
    <w:p w:rsidR="00D902A2" w:rsidRPr="0082653E" w:rsidRDefault="00D902A2" w:rsidP="007E0A54">
      <w:pPr>
        <w:pStyle w:val="BodyText"/>
        <w:ind w:left="720" w:hanging="720"/>
        <w:jc w:val="center"/>
        <w:rPr>
          <w:b/>
          <w:bCs/>
          <w:color w:val="000000"/>
          <w:sz w:val="19"/>
          <w:szCs w:val="19"/>
        </w:rPr>
      </w:pPr>
    </w:p>
    <w:p w:rsidR="007E0A54" w:rsidRPr="0082653E" w:rsidRDefault="007E0A54" w:rsidP="007E0A54">
      <w:pPr>
        <w:pStyle w:val="BodyText"/>
        <w:ind w:left="720" w:hanging="720"/>
        <w:jc w:val="center"/>
        <w:rPr>
          <w:b/>
          <w:bCs/>
          <w:color w:val="000000"/>
          <w:sz w:val="19"/>
          <w:szCs w:val="19"/>
        </w:rPr>
      </w:pPr>
      <w:r w:rsidRPr="0082653E">
        <w:rPr>
          <w:b/>
          <w:bCs/>
          <w:color w:val="000000"/>
          <w:sz w:val="19"/>
          <w:szCs w:val="19"/>
        </w:rPr>
        <w:t>Page-2</w:t>
      </w:r>
    </w:p>
    <w:p w:rsidR="007E0A54" w:rsidRPr="0082653E" w:rsidRDefault="007E0A54" w:rsidP="007E0A54">
      <w:pPr>
        <w:pStyle w:val="BodyTextIndent"/>
        <w:tabs>
          <w:tab w:val="left" w:pos="0"/>
          <w:tab w:val="left" w:pos="709"/>
        </w:tabs>
        <w:rPr>
          <w:sz w:val="19"/>
          <w:szCs w:val="19"/>
        </w:rPr>
      </w:pPr>
      <w:r w:rsidRPr="0082653E">
        <w:rPr>
          <w:sz w:val="19"/>
          <w:szCs w:val="19"/>
        </w:rPr>
        <w:t>5.00</w:t>
      </w:r>
      <w:r w:rsidRPr="0082653E">
        <w:rPr>
          <w:sz w:val="19"/>
          <w:szCs w:val="19"/>
        </w:rPr>
        <w:tab/>
        <w:t xml:space="preserve">Exemption from EMD/Tender paper cost &amp; Security Deposit for </w:t>
      </w:r>
      <w:proofErr w:type="spellStart"/>
      <w:r w:rsidRPr="0082653E">
        <w:rPr>
          <w:sz w:val="19"/>
          <w:szCs w:val="19"/>
        </w:rPr>
        <w:t>MSEs.</w:t>
      </w:r>
      <w:proofErr w:type="spellEnd"/>
    </w:p>
    <w:p w:rsidR="007E0A54" w:rsidRPr="0082653E" w:rsidRDefault="007E0A54" w:rsidP="007E0A54">
      <w:pPr>
        <w:pStyle w:val="BodyTextIndent"/>
        <w:tabs>
          <w:tab w:val="left" w:pos="0"/>
          <w:tab w:val="left" w:pos="709"/>
        </w:tabs>
        <w:ind w:left="709"/>
        <w:rPr>
          <w:sz w:val="19"/>
          <w:szCs w:val="19"/>
        </w:rPr>
      </w:pPr>
      <w:r w:rsidRPr="0082653E">
        <w:rPr>
          <w:sz w:val="19"/>
          <w:szCs w:val="19"/>
        </w:rPr>
        <w:tab/>
        <w:t>1. MSE bidders must submitted valid registration certificate from any of the following (or any other body specification by Ministry of MSME) for seeking exemption from submission of EMD/Tender paper cost.</w:t>
      </w:r>
    </w:p>
    <w:p w:rsidR="007E0A54" w:rsidRPr="0082653E" w:rsidRDefault="007E0A54" w:rsidP="007E0A54">
      <w:pPr>
        <w:pStyle w:val="BodyTextIndent"/>
        <w:tabs>
          <w:tab w:val="left" w:pos="0"/>
          <w:tab w:val="left" w:pos="709"/>
        </w:tabs>
        <w:ind w:left="709"/>
        <w:rPr>
          <w:sz w:val="19"/>
          <w:szCs w:val="19"/>
        </w:rPr>
      </w:pPr>
      <w:r w:rsidRPr="0082653E">
        <w:rPr>
          <w:sz w:val="19"/>
          <w:szCs w:val="19"/>
        </w:rPr>
        <w:tab/>
      </w:r>
      <w:proofErr w:type="spellStart"/>
      <w:r w:rsidRPr="0082653E">
        <w:rPr>
          <w:sz w:val="19"/>
          <w:szCs w:val="19"/>
        </w:rPr>
        <w:t>i</w:t>
      </w:r>
      <w:proofErr w:type="spellEnd"/>
      <w:r w:rsidRPr="0082653E">
        <w:rPr>
          <w:sz w:val="19"/>
          <w:szCs w:val="19"/>
        </w:rPr>
        <w:t xml:space="preserve">) National Small Scale Industries Corporation (NSIC), ii) District Industries Centers (DIC), iii) Coir Board, iv) </w:t>
      </w:r>
      <w:proofErr w:type="spellStart"/>
      <w:r w:rsidRPr="0082653E">
        <w:rPr>
          <w:sz w:val="19"/>
          <w:szCs w:val="19"/>
        </w:rPr>
        <w:t>Khadi</w:t>
      </w:r>
      <w:proofErr w:type="spellEnd"/>
      <w:r w:rsidRPr="0082653E">
        <w:rPr>
          <w:sz w:val="19"/>
          <w:szCs w:val="19"/>
        </w:rPr>
        <w:t xml:space="preserve"> &amp; Village industries commission (KVIC), v) </w:t>
      </w:r>
      <w:proofErr w:type="spellStart"/>
      <w:r w:rsidRPr="0082653E">
        <w:rPr>
          <w:sz w:val="19"/>
          <w:szCs w:val="19"/>
        </w:rPr>
        <w:t>Khadi</w:t>
      </w:r>
      <w:proofErr w:type="spellEnd"/>
      <w:r w:rsidRPr="0082653E">
        <w:rPr>
          <w:sz w:val="19"/>
          <w:szCs w:val="19"/>
        </w:rPr>
        <w:t xml:space="preserve"> &amp; Village industries Board (KVIB), vi) </w:t>
      </w:r>
      <w:proofErr w:type="spellStart"/>
      <w:r w:rsidRPr="0082653E">
        <w:rPr>
          <w:sz w:val="19"/>
          <w:szCs w:val="19"/>
        </w:rPr>
        <w:t>Diectorate</w:t>
      </w:r>
      <w:proofErr w:type="spellEnd"/>
      <w:r w:rsidRPr="0082653E">
        <w:rPr>
          <w:sz w:val="19"/>
          <w:szCs w:val="19"/>
        </w:rPr>
        <w:t xml:space="preserve"> of Handicraft &amp; Handloom.</w:t>
      </w:r>
    </w:p>
    <w:p w:rsidR="007E0A54" w:rsidRPr="0082653E" w:rsidRDefault="007E0A54" w:rsidP="007E0A54">
      <w:pPr>
        <w:pStyle w:val="BodyTextIndent"/>
        <w:tabs>
          <w:tab w:val="left" w:pos="0"/>
        </w:tabs>
        <w:ind w:left="709"/>
        <w:rPr>
          <w:sz w:val="19"/>
          <w:szCs w:val="19"/>
        </w:rPr>
      </w:pPr>
      <w:r w:rsidRPr="0082653E">
        <w:rPr>
          <w:sz w:val="19"/>
          <w:szCs w:val="19"/>
        </w:rPr>
        <w:tab/>
        <w:t xml:space="preserve">2. MSEs registered with NSIC will be exempted from paying Security Deposit up to the monetary limit mentioned in the certificate.  </w:t>
      </w:r>
    </w:p>
    <w:p w:rsidR="007E0A54" w:rsidRPr="0082653E" w:rsidRDefault="007E0A54" w:rsidP="007E0A54">
      <w:pPr>
        <w:pStyle w:val="BodyText"/>
        <w:ind w:left="720" w:hanging="720"/>
        <w:rPr>
          <w:color w:val="000000"/>
          <w:sz w:val="19"/>
          <w:szCs w:val="19"/>
        </w:rPr>
      </w:pPr>
      <w:r w:rsidRPr="0082653E">
        <w:rPr>
          <w:color w:val="000000"/>
          <w:sz w:val="19"/>
          <w:szCs w:val="19"/>
        </w:rPr>
        <w:t>6.00</w:t>
      </w:r>
      <w:r w:rsidRPr="0082653E">
        <w:rPr>
          <w:color w:val="000000"/>
          <w:sz w:val="19"/>
          <w:szCs w:val="19"/>
        </w:rPr>
        <w:tab/>
        <w:t>Engineer –in-charge reserve the right to ask for increase of manpower if delay occurs / any slippage of schedule. However, you have to complete the entire job keeping manpower round the clock.</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Completion period mentioned is essence of the contract and the executing agency must strictly adhere to completion the job in allotted time frame. In no case party shall be allowed to divert manpower allocated on this job.</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To affect the above, party may visit the site to access the job fully and if required may consult the undersigned regarding requirement of skilled and unskilled manpower.</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7E0A54" w:rsidRPr="0082653E" w:rsidRDefault="007E0A54" w:rsidP="007E0A54">
      <w:pPr>
        <w:pStyle w:val="BodyText"/>
        <w:numPr>
          <w:ilvl w:val="0"/>
          <w:numId w:val="9"/>
        </w:numPr>
        <w:jc w:val="both"/>
        <w:rPr>
          <w:color w:val="000000"/>
          <w:sz w:val="19"/>
          <w:szCs w:val="19"/>
        </w:rPr>
      </w:pPr>
      <w:r w:rsidRPr="0082653E">
        <w:rPr>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7E0A54" w:rsidRPr="0082653E" w:rsidRDefault="007E0A54" w:rsidP="007E0A54">
      <w:pPr>
        <w:pStyle w:val="BodyText"/>
        <w:rPr>
          <w:sz w:val="19"/>
          <w:szCs w:val="19"/>
        </w:rPr>
      </w:pPr>
      <w:r w:rsidRPr="0082653E">
        <w:rPr>
          <w:sz w:val="19"/>
          <w:szCs w:val="19"/>
        </w:rPr>
        <w:t>7.00</w:t>
      </w:r>
      <w:r w:rsidRPr="0082653E">
        <w:rPr>
          <w:sz w:val="19"/>
          <w:szCs w:val="19"/>
        </w:rPr>
        <w:tab/>
        <w:t>Party shall quote &amp; submit their rates in the given performa in Annexure-II</w:t>
      </w:r>
    </w:p>
    <w:p w:rsidR="007E0A54" w:rsidRPr="0082653E" w:rsidRDefault="007E0A54" w:rsidP="007E0A54">
      <w:pPr>
        <w:ind w:left="720" w:hanging="720"/>
        <w:jc w:val="both"/>
        <w:rPr>
          <w:rFonts w:ascii="Verdana" w:hAnsi="Verdana"/>
          <w:sz w:val="19"/>
          <w:szCs w:val="19"/>
        </w:rPr>
      </w:pPr>
      <w:r w:rsidRPr="0082653E">
        <w:rPr>
          <w:rFonts w:ascii="Verdana" w:hAnsi="Verdana" w:cs="Lucida Sans Unicode"/>
          <w:sz w:val="19"/>
          <w:szCs w:val="19"/>
        </w:rPr>
        <w:t>8.00</w:t>
      </w:r>
      <w:r w:rsidRPr="0082653E">
        <w:rPr>
          <w:rFonts w:ascii="Verdana" w:hAnsi="Verdana" w:cs="Lucida Sans Unicode"/>
          <w:sz w:val="19"/>
          <w:szCs w:val="19"/>
        </w:rPr>
        <w:tab/>
      </w:r>
      <w:r w:rsidRPr="0082653E">
        <w:rPr>
          <w:rFonts w:ascii="Verdana" w:hAnsi="Verdana"/>
          <w:sz w:val="19"/>
          <w:szCs w:val="19"/>
        </w:rPr>
        <w:t xml:space="preserve">The contractors shall abide by </w:t>
      </w:r>
      <w:proofErr w:type="gramStart"/>
      <w:r w:rsidRPr="0082653E">
        <w:rPr>
          <w:rFonts w:ascii="Verdana" w:hAnsi="Verdana"/>
          <w:sz w:val="19"/>
          <w:szCs w:val="19"/>
        </w:rPr>
        <w:t>all the</w:t>
      </w:r>
      <w:proofErr w:type="gramEnd"/>
      <w:r w:rsidRPr="0082653E">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w:t>
      </w:r>
    </w:p>
    <w:p w:rsidR="007E0A54" w:rsidRPr="0082653E" w:rsidRDefault="007E0A54" w:rsidP="007E0A54">
      <w:pPr>
        <w:ind w:left="720" w:hanging="720"/>
        <w:jc w:val="both"/>
        <w:rPr>
          <w:rFonts w:ascii="Verdana" w:hAnsi="Verdana" w:cs="Lucida Sans Unicode"/>
          <w:bCs/>
          <w:sz w:val="19"/>
          <w:szCs w:val="19"/>
        </w:rPr>
      </w:pPr>
      <w:r w:rsidRPr="0082653E">
        <w:rPr>
          <w:rFonts w:ascii="Verdana" w:hAnsi="Verdana" w:cs="Lucida Sans Unicode"/>
          <w:bCs/>
          <w:sz w:val="19"/>
          <w:szCs w:val="19"/>
        </w:rPr>
        <w:t>9.00</w:t>
      </w:r>
      <w:r w:rsidRPr="0082653E">
        <w:rPr>
          <w:rFonts w:ascii="Verdana" w:hAnsi="Verdana" w:cs="Lucida Sans Unicode"/>
          <w:bCs/>
          <w:sz w:val="19"/>
          <w:szCs w:val="19"/>
        </w:rPr>
        <w:tab/>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82653E">
        <w:rPr>
          <w:rFonts w:ascii="Verdana" w:hAnsi="Verdana" w:cs="Lucida Sans Unicode"/>
          <w:bCs/>
          <w:sz w:val="19"/>
          <w:szCs w:val="19"/>
        </w:rPr>
        <w:t>Namrup</w:t>
      </w:r>
      <w:proofErr w:type="gramEnd"/>
      <w:r w:rsidRPr="0082653E">
        <w:rPr>
          <w:rFonts w:ascii="Verdana" w:hAnsi="Verdana" w:cs="Lucida Sans Unicode"/>
          <w:bCs/>
          <w:sz w:val="19"/>
          <w:szCs w:val="19"/>
        </w:rPr>
        <w:t xml:space="preserve">, Assam. </w:t>
      </w:r>
    </w:p>
    <w:p w:rsidR="007E0A54" w:rsidRPr="0082653E" w:rsidRDefault="007E0A54" w:rsidP="007E0A54">
      <w:pPr>
        <w:pStyle w:val="BodyTextIndent"/>
        <w:ind w:left="720"/>
        <w:rPr>
          <w:sz w:val="19"/>
          <w:szCs w:val="19"/>
        </w:rPr>
      </w:pPr>
      <w:r w:rsidRPr="0082653E">
        <w:rPr>
          <w:sz w:val="19"/>
          <w:szCs w:val="19"/>
        </w:rPr>
        <w:t>Tender papers / documents can be obtained during working hours on application from the following office “</w:t>
      </w:r>
      <w:r w:rsidRPr="0082653E">
        <w:rPr>
          <w:b/>
          <w:bCs/>
          <w:sz w:val="19"/>
          <w:szCs w:val="19"/>
        </w:rPr>
        <w:t xml:space="preserve">CHIEF ENGINEER (MECH), AG, CPP </w:t>
      </w:r>
      <w:r w:rsidR="005E79FA">
        <w:rPr>
          <w:b/>
          <w:bCs/>
          <w:sz w:val="19"/>
          <w:szCs w:val="19"/>
        </w:rPr>
        <w:t>(O &amp; M)</w:t>
      </w:r>
      <w:r w:rsidRPr="0082653E">
        <w:rPr>
          <w:b/>
          <w:bCs/>
          <w:sz w:val="19"/>
          <w:szCs w:val="19"/>
        </w:rPr>
        <w:t>, BVFCL, Namrup”</w:t>
      </w:r>
    </w:p>
    <w:p w:rsidR="007E0A54" w:rsidRPr="0082653E" w:rsidRDefault="007E0A54" w:rsidP="007E0A54">
      <w:pPr>
        <w:ind w:left="720"/>
        <w:jc w:val="both"/>
        <w:rPr>
          <w:rFonts w:ascii="Verdana" w:hAnsi="Verdana" w:cs="Arial"/>
          <w:sz w:val="19"/>
          <w:szCs w:val="19"/>
        </w:rPr>
      </w:pPr>
      <w:r w:rsidRPr="0082653E">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7E0A54" w:rsidRPr="0082653E" w:rsidRDefault="007E0A54" w:rsidP="007E0A54">
      <w:pPr>
        <w:ind w:left="720"/>
        <w:jc w:val="both"/>
        <w:rPr>
          <w:rFonts w:ascii="Verdana" w:hAnsi="Verdana" w:cs="Arial"/>
          <w:sz w:val="19"/>
          <w:szCs w:val="19"/>
        </w:rPr>
      </w:pPr>
      <w:r w:rsidRPr="0082653E">
        <w:rPr>
          <w:rFonts w:ascii="Verdana" w:hAnsi="Verdana" w:cs="Arial"/>
          <w:sz w:val="19"/>
          <w:szCs w:val="19"/>
        </w:rPr>
        <w:t>The undersigned reserve the right to accept or reject any or all tenders without assigning any reason thereof.</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7E0A54" w:rsidRPr="0082653E" w:rsidRDefault="007E0A54" w:rsidP="007E0A54">
      <w:pPr>
        <w:rPr>
          <w:rFonts w:ascii="Verdana" w:hAnsi="Verdana" w:cs="Arial"/>
          <w:sz w:val="19"/>
          <w:szCs w:val="19"/>
        </w:rPr>
      </w:pPr>
      <w:r w:rsidRPr="0082653E">
        <w:rPr>
          <w:rFonts w:ascii="Verdana" w:hAnsi="Verdana" w:cs="Arial"/>
          <w:sz w:val="19"/>
          <w:szCs w:val="19"/>
        </w:rPr>
        <w:t xml:space="preserve"> </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7E0A54" w:rsidRPr="0082653E" w:rsidRDefault="007E0A54" w:rsidP="007E0A54">
      <w:pPr>
        <w:pStyle w:val="NoSpacing"/>
      </w:pPr>
      <w:r>
        <w:t xml:space="preserve">                                                                                                                </w:t>
      </w:r>
      <w:proofErr w:type="gramStart"/>
      <w:r w:rsidRPr="0082653E">
        <w:t>(</w:t>
      </w:r>
      <w:r>
        <w:t xml:space="preserve"> </w:t>
      </w:r>
      <w:r w:rsidRPr="0082653E">
        <w:t>M</w:t>
      </w:r>
      <w:proofErr w:type="gramEnd"/>
      <w:r w:rsidRPr="0082653E">
        <w:t xml:space="preserve"> Hoque)</w:t>
      </w:r>
    </w:p>
    <w:p w:rsidR="007E0A54" w:rsidRPr="0082653E" w:rsidRDefault="007E0A54" w:rsidP="007E0A54">
      <w:pPr>
        <w:pStyle w:val="NoSpacing"/>
      </w:pPr>
      <w:r w:rsidRPr="0082653E">
        <w:tab/>
      </w:r>
      <w:r w:rsidRPr="0082653E">
        <w:tab/>
      </w:r>
      <w:r w:rsidRPr="0082653E">
        <w:tab/>
      </w:r>
      <w:r w:rsidRPr="0082653E">
        <w:tab/>
      </w:r>
      <w:r w:rsidRPr="0082653E">
        <w:tab/>
      </w:r>
      <w:r w:rsidRPr="0082653E">
        <w:tab/>
      </w:r>
      <w:r w:rsidRPr="0082653E">
        <w:tab/>
      </w:r>
      <w:r w:rsidR="005E79FA">
        <w:t>DC</w:t>
      </w:r>
      <w:r w:rsidRPr="0082653E">
        <w:t>E (Mech.), CPP &amp; CMW</w:t>
      </w:r>
    </w:p>
    <w:p w:rsidR="007E0A54" w:rsidRDefault="007E0A54" w:rsidP="007E0A54">
      <w:pPr>
        <w:rPr>
          <w:rFonts w:ascii="Verdana" w:hAnsi="Verdana"/>
          <w:sz w:val="19"/>
          <w:szCs w:val="19"/>
        </w:rPr>
      </w:pPr>
    </w:p>
    <w:p w:rsidR="00D902A2" w:rsidRDefault="00D902A2" w:rsidP="007E0A54">
      <w:pPr>
        <w:rPr>
          <w:rFonts w:ascii="Verdana" w:hAnsi="Verdana"/>
          <w:sz w:val="19"/>
          <w:szCs w:val="19"/>
        </w:rPr>
      </w:pPr>
    </w:p>
    <w:p w:rsidR="00D902A2" w:rsidRDefault="00D902A2" w:rsidP="007E0A54">
      <w:pPr>
        <w:rPr>
          <w:rFonts w:ascii="Verdana" w:hAnsi="Verdana"/>
          <w:sz w:val="19"/>
          <w:szCs w:val="19"/>
        </w:rPr>
      </w:pPr>
    </w:p>
    <w:p w:rsidR="007E0A54" w:rsidRPr="00652690" w:rsidRDefault="007E0A54" w:rsidP="00652690">
      <w:pPr>
        <w:rPr>
          <w:rFonts w:ascii="Verdana" w:hAnsi="Verdana" w:cs="Arial"/>
          <w:b/>
          <w:bCs/>
          <w:color w:val="000000" w:themeColor="text1"/>
          <w:sz w:val="20"/>
        </w:rPr>
      </w:pPr>
      <w:r w:rsidRPr="00D27063">
        <w:rPr>
          <w:rFonts w:ascii="Verdana" w:hAnsi="Verdana"/>
          <w:color w:val="FFFFFF"/>
          <w:sz w:val="20"/>
        </w:rPr>
        <w:t xml:space="preserve">Ch. V.O.,   </w:t>
      </w:r>
      <w:r w:rsidRPr="00D27063">
        <w:rPr>
          <w:rFonts w:ascii="Verdana" w:hAnsi="Verdana"/>
          <w:color w:val="FFFFFF"/>
          <w:sz w:val="20"/>
        </w:rPr>
        <w:tab/>
        <w:t xml:space="preserve">3) DGM (M), </w:t>
      </w:r>
      <w:r w:rsidRPr="00D27063">
        <w:rPr>
          <w:rFonts w:ascii="Verdana" w:hAnsi="Verdana"/>
          <w:color w:val="FFFFFF"/>
          <w:sz w:val="20"/>
        </w:rPr>
        <w:tab/>
        <w:t xml:space="preserve">      4) Dy.</w:t>
      </w:r>
      <w:r w:rsidR="00652690">
        <w:rPr>
          <w:rFonts w:ascii="Verdana" w:hAnsi="Verdana"/>
          <w:color w:val="FFFFFF"/>
          <w:sz w:val="20"/>
        </w:rPr>
        <w:t xml:space="preserve"> Commandant, CISF, BVFCL, </w:t>
      </w:r>
      <w:r w:rsidR="00652690" w:rsidRPr="00652690">
        <w:rPr>
          <w:rFonts w:ascii="Verdana" w:hAnsi="Verdana"/>
          <w:color w:val="000000" w:themeColor="text1"/>
          <w:sz w:val="20"/>
        </w:rPr>
        <w:t>A</w:t>
      </w:r>
      <w:r w:rsidRPr="00652690">
        <w:rPr>
          <w:rFonts w:ascii="Verdana" w:hAnsi="Verdana" w:cs="Arial"/>
          <w:b/>
          <w:bCs/>
          <w:color w:val="000000" w:themeColor="text1"/>
          <w:sz w:val="20"/>
        </w:rPr>
        <w:t>nnexure-II</w:t>
      </w:r>
    </w:p>
    <w:p w:rsidR="007E0A54" w:rsidRDefault="007E0A54" w:rsidP="007E0A54">
      <w:pPr>
        <w:jc w:val="both"/>
        <w:rPr>
          <w:rFonts w:ascii="Verdana" w:hAnsi="Verdana" w:cs="Arial"/>
          <w:b/>
          <w:bCs/>
          <w:sz w:val="20"/>
        </w:rPr>
      </w:pPr>
    </w:p>
    <w:p w:rsidR="007E0A54" w:rsidRDefault="007E0A54" w:rsidP="007E0A54">
      <w:pPr>
        <w:jc w:val="both"/>
        <w:rPr>
          <w:rFonts w:ascii="Verdana" w:hAnsi="Verdana" w:cs="Arial"/>
          <w:sz w:val="20"/>
        </w:rPr>
      </w:pPr>
      <w:r>
        <w:rPr>
          <w:rFonts w:ascii="Verdana" w:hAnsi="Verdana" w:cs="Arial"/>
          <w:b/>
          <w:bCs/>
          <w:sz w:val="20"/>
        </w:rPr>
        <w:t>Ref</w:t>
      </w:r>
      <w:r>
        <w:rPr>
          <w:rFonts w:ascii="Verdana" w:hAnsi="Verdana" w:cs="Arial"/>
          <w:sz w:val="20"/>
        </w:rPr>
        <w:t>: N-III/MECH-CPP/</w:t>
      </w:r>
      <w:r w:rsidR="005E79FA">
        <w:rPr>
          <w:rFonts w:ascii="Verdana" w:hAnsi="Verdana" w:cs="Arial"/>
          <w:sz w:val="20"/>
        </w:rPr>
        <w:t>20/</w:t>
      </w:r>
      <w:r>
        <w:rPr>
          <w:rFonts w:ascii="Verdana" w:hAnsi="Verdana" w:cs="Arial"/>
          <w:sz w:val="20"/>
        </w:rPr>
        <w:t xml:space="preserve"> Cont-</w:t>
      </w:r>
      <w:r w:rsidR="005E79FA">
        <w:rPr>
          <w:rFonts w:ascii="Verdana" w:hAnsi="Verdana" w:cs="Arial"/>
          <w:sz w:val="20"/>
        </w:rPr>
        <w:t>708</w:t>
      </w:r>
      <w:r>
        <w:rPr>
          <w:rFonts w:ascii="Verdana" w:hAnsi="Verdana" w:cs="Arial"/>
          <w:sz w:val="20"/>
        </w:rPr>
        <w:t xml:space="preserve">/                        </w:t>
      </w:r>
      <w:r>
        <w:rPr>
          <w:rFonts w:ascii="Verdana" w:hAnsi="Verdana" w:cs="Arial"/>
          <w:sz w:val="20"/>
        </w:rPr>
        <w:tab/>
      </w:r>
      <w:r>
        <w:rPr>
          <w:rFonts w:ascii="Verdana" w:hAnsi="Verdana" w:cs="Arial"/>
          <w:sz w:val="20"/>
        </w:rPr>
        <w:tab/>
      </w:r>
      <w:r>
        <w:rPr>
          <w:rFonts w:ascii="Verdana" w:hAnsi="Verdana" w:cs="Arial"/>
          <w:sz w:val="20"/>
        </w:rPr>
        <w:tab/>
      </w:r>
    </w:p>
    <w:p w:rsidR="007E0A54" w:rsidRDefault="007E0A54" w:rsidP="007E0A54">
      <w:pPr>
        <w:jc w:val="both"/>
        <w:rPr>
          <w:rFonts w:ascii="Verdana" w:hAnsi="Verdana" w:cs="Arial"/>
          <w:sz w:val="20"/>
        </w:rPr>
      </w:pPr>
    </w:p>
    <w:p w:rsidR="007E0A54" w:rsidRDefault="007E0A54" w:rsidP="007E0A54">
      <w:pPr>
        <w:jc w:val="center"/>
        <w:rPr>
          <w:rFonts w:ascii="Verdana" w:hAnsi="Verdana"/>
          <w:b/>
          <w:bCs/>
          <w:sz w:val="20"/>
          <w:u w:val="single"/>
        </w:rPr>
      </w:pPr>
      <w:r>
        <w:rPr>
          <w:rFonts w:ascii="Verdana" w:hAnsi="Verdana"/>
          <w:b/>
          <w:bCs/>
          <w:sz w:val="20"/>
          <w:u w:val="single"/>
        </w:rPr>
        <w:t>SCHEDULE OF WORK &amp; QUANTITY:</w:t>
      </w:r>
    </w:p>
    <w:tbl>
      <w:tblPr>
        <w:tblpPr w:leftFromText="180" w:rightFromText="180" w:vertAnchor="text" w:horzAnchor="margin" w:tblpXSpec="center" w:tblpY="307"/>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4770"/>
        <w:gridCol w:w="1276"/>
        <w:gridCol w:w="1242"/>
        <w:gridCol w:w="1418"/>
      </w:tblGrid>
      <w:tr w:rsidR="00652690" w:rsidTr="00652690">
        <w:trPr>
          <w:cantSplit/>
        </w:trPr>
        <w:tc>
          <w:tcPr>
            <w:tcW w:w="900"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sz w:val="20"/>
              </w:rPr>
            </w:pPr>
            <w:r>
              <w:rPr>
                <w:rFonts w:ascii="Verdana" w:hAnsi="Verdana"/>
                <w:sz w:val="20"/>
              </w:rPr>
              <w:t>Sl. No</w:t>
            </w:r>
          </w:p>
        </w:tc>
        <w:tc>
          <w:tcPr>
            <w:tcW w:w="4770"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b/>
                <w:bCs/>
                <w:sz w:val="20"/>
                <w:u w:val="single"/>
              </w:rPr>
            </w:pPr>
            <w:r>
              <w:rPr>
                <w:rFonts w:ascii="Verdana" w:hAnsi="Verdana"/>
                <w:b/>
                <w:bCs/>
                <w:sz w:val="20"/>
                <w:u w:val="single"/>
              </w:rPr>
              <w:t>Item</w:t>
            </w:r>
          </w:p>
        </w:tc>
        <w:tc>
          <w:tcPr>
            <w:tcW w:w="1276"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b/>
                <w:bCs/>
                <w:sz w:val="20"/>
                <w:u w:val="single"/>
              </w:rPr>
            </w:pPr>
            <w:r>
              <w:rPr>
                <w:rFonts w:ascii="Verdana" w:hAnsi="Verdana"/>
                <w:b/>
                <w:bCs/>
                <w:sz w:val="20"/>
                <w:u w:val="single"/>
              </w:rPr>
              <w:t>Qty</w:t>
            </w:r>
          </w:p>
        </w:tc>
        <w:tc>
          <w:tcPr>
            <w:tcW w:w="1242" w:type="dxa"/>
            <w:tcBorders>
              <w:top w:val="single" w:sz="4" w:space="0" w:color="auto"/>
              <w:left w:val="single" w:sz="4" w:space="0" w:color="auto"/>
              <w:bottom w:val="single" w:sz="4" w:space="0" w:color="auto"/>
              <w:right w:val="single" w:sz="4" w:space="0" w:color="auto"/>
            </w:tcBorders>
          </w:tcPr>
          <w:p w:rsidR="00652690" w:rsidRDefault="00652690" w:rsidP="00652690">
            <w:pPr>
              <w:ind w:right="72"/>
              <w:jc w:val="center"/>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p w:rsidR="00652690" w:rsidRDefault="00652690" w:rsidP="00652690">
            <w:pPr>
              <w:ind w:right="72"/>
              <w:jc w:val="both"/>
              <w:rPr>
                <w:rFonts w:ascii="Verdana" w:hAnsi="Verdana"/>
                <w:sz w:val="20"/>
              </w:rPr>
            </w:pPr>
          </w:p>
        </w:tc>
        <w:tc>
          <w:tcPr>
            <w:tcW w:w="1418" w:type="dxa"/>
            <w:tcBorders>
              <w:top w:val="single" w:sz="4" w:space="0" w:color="auto"/>
              <w:left w:val="single" w:sz="4" w:space="0" w:color="auto"/>
              <w:bottom w:val="single" w:sz="4" w:space="0" w:color="auto"/>
              <w:right w:val="single" w:sz="4" w:space="0" w:color="auto"/>
            </w:tcBorders>
          </w:tcPr>
          <w:p w:rsidR="00652690" w:rsidRPr="005707F0" w:rsidRDefault="00652690" w:rsidP="00652690">
            <w:pPr>
              <w:ind w:right="72"/>
              <w:jc w:val="right"/>
              <w:rPr>
                <w:rFonts w:ascii="Verdana" w:hAnsi="Verdana"/>
                <w:sz w:val="20"/>
              </w:rPr>
            </w:pPr>
            <w:r>
              <w:rPr>
                <w:rFonts w:ascii="Verdana" w:hAnsi="Verdana"/>
                <w:sz w:val="20"/>
              </w:rPr>
              <w:t>Amount(</w:t>
            </w:r>
            <w:r>
              <w:rPr>
                <w:rFonts w:ascii="Rupee Foradian" w:hAnsi="Rupee Foradian"/>
                <w:sz w:val="20"/>
              </w:rPr>
              <w:t>`</w:t>
            </w:r>
            <w:r>
              <w:rPr>
                <w:rFonts w:ascii="Verdana" w:hAnsi="Verdana"/>
                <w:sz w:val="20"/>
              </w:rPr>
              <w:t xml:space="preserve">) </w:t>
            </w:r>
          </w:p>
        </w:tc>
      </w:tr>
      <w:tr w:rsidR="00652690" w:rsidTr="00652690">
        <w:trPr>
          <w:cantSplit/>
        </w:trPr>
        <w:tc>
          <w:tcPr>
            <w:tcW w:w="900" w:type="dxa"/>
            <w:tcBorders>
              <w:top w:val="single" w:sz="4" w:space="0" w:color="auto"/>
              <w:left w:val="single" w:sz="4" w:space="0" w:color="auto"/>
              <w:bottom w:val="single" w:sz="4" w:space="0" w:color="auto"/>
              <w:right w:val="single" w:sz="4" w:space="0" w:color="auto"/>
            </w:tcBorders>
          </w:tcPr>
          <w:p w:rsidR="00652690" w:rsidRDefault="00652690" w:rsidP="00652690">
            <w:pPr>
              <w:jc w:val="center"/>
              <w:rPr>
                <w:rFonts w:ascii="Verdana" w:hAnsi="Verdana"/>
                <w:sz w:val="20"/>
              </w:rPr>
            </w:pPr>
            <w:r>
              <w:rPr>
                <w:rFonts w:ascii="Verdana" w:hAnsi="Verdana"/>
                <w:sz w:val="20"/>
              </w:rPr>
              <w:t>01.</w:t>
            </w:r>
          </w:p>
        </w:tc>
        <w:tc>
          <w:tcPr>
            <w:tcW w:w="4770" w:type="dxa"/>
            <w:tcBorders>
              <w:top w:val="single" w:sz="4" w:space="0" w:color="auto"/>
              <w:left w:val="single" w:sz="4" w:space="0" w:color="auto"/>
              <w:bottom w:val="single" w:sz="4" w:space="0" w:color="auto"/>
              <w:right w:val="single" w:sz="4" w:space="0" w:color="auto"/>
            </w:tcBorders>
          </w:tcPr>
          <w:p w:rsidR="00652690" w:rsidRDefault="00652690" w:rsidP="00652690">
            <w:pPr>
              <w:jc w:val="both"/>
              <w:rPr>
                <w:rFonts w:ascii="Verdana" w:hAnsi="Verdana"/>
                <w:b/>
                <w:bCs/>
                <w:sz w:val="20"/>
                <w:u w:val="single"/>
              </w:rPr>
            </w:pPr>
            <w:r>
              <w:rPr>
                <w:rFonts w:ascii="Verdana" w:hAnsi="Verdana" w:cs="Arial"/>
                <w:b/>
                <w:sz w:val="20"/>
              </w:rPr>
              <w:t>Helping assistance(unskilled category)</w:t>
            </w:r>
          </w:p>
        </w:tc>
        <w:tc>
          <w:tcPr>
            <w:tcW w:w="1276" w:type="dxa"/>
            <w:tcBorders>
              <w:top w:val="single" w:sz="4" w:space="0" w:color="auto"/>
              <w:left w:val="single" w:sz="4" w:space="0" w:color="auto"/>
              <w:bottom w:val="single" w:sz="4" w:space="0" w:color="auto"/>
              <w:right w:val="single" w:sz="4" w:space="0" w:color="auto"/>
            </w:tcBorders>
          </w:tcPr>
          <w:p w:rsidR="00652690" w:rsidRDefault="005E79FA" w:rsidP="00652690">
            <w:pPr>
              <w:jc w:val="center"/>
              <w:rPr>
                <w:rFonts w:ascii="Verdana" w:hAnsi="Verdana"/>
                <w:sz w:val="20"/>
              </w:rPr>
            </w:pPr>
            <w:r>
              <w:rPr>
                <w:rFonts w:ascii="Verdana" w:hAnsi="Verdana"/>
                <w:sz w:val="20"/>
              </w:rPr>
              <w:t>42</w:t>
            </w:r>
            <w:r w:rsidR="00652690">
              <w:rPr>
                <w:rFonts w:ascii="Verdana" w:hAnsi="Verdana"/>
                <w:sz w:val="20"/>
              </w:rPr>
              <w:t xml:space="preserve"> mandays</w:t>
            </w:r>
          </w:p>
          <w:p w:rsidR="00652690" w:rsidRDefault="00652690" w:rsidP="00652690">
            <w:pPr>
              <w:jc w:val="center"/>
              <w:rPr>
                <w:rFonts w:ascii="Verdana" w:hAnsi="Verdana"/>
                <w:b/>
                <w:bCs/>
                <w:sz w:val="20"/>
                <w:u w:val="single"/>
              </w:rPr>
            </w:pPr>
          </w:p>
        </w:tc>
        <w:tc>
          <w:tcPr>
            <w:tcW w:w="1242" w:type="dxa"/>
            <w:tcBorders>
              <w:top w:val="single" w:sz="4" w:space="0" w:color="auto"/>
              <w:left w:val="single" w:sz="4" w:space="0" w:color="auto"/>
              <w:bottom w:val="single" w:sz="4" w:space="0" w:color="auto"/>
              <w:right w:val="single" w:sz="4" w:space="0" w:color="auto"/>
            </w:tcBorders>
          </w:tcPr>
          <w:p w:rsidR="00652690" w:rsidRDefault="005E79FA" w:rsidP="005E79FA">
            <w:pPr>
              <w:ind w:right="72"/>
              <w:jc w:val="both"/>
              <w:rPr>
                <w:rFonts w:ascii="Verdana" w:hAnsi="Verdana"/>
                <w:sz w:val="20"/>
              </w:rPr>
            </w:pPr>
            <w:r>
              <w:rPr>
                <w:rFonts w:ascii="Verdana" w:hAnsi="Verdana"/>
                <w:sz w:val="20"/>
              </w:rPr>
              <w:t>420</w:t>
            </w:r>
            <w:r w:rsidR="00652690">
              <w:rPr>
                <w:rFonts w:ascii="Verdana" w:hAnsi="Verdana"/>
                <w:sz w:val="20"/>
              </w:rPr>
              <w:t>.00</w:t>
            </w:r>
          </w:p>
        </w:tc>
        <w:tc>
          <w:tcPr>
            <w:tcW w:w="1418" w:type="dxa"/>
            <w:tcBorders>
              <w:top w:val="single" w:sz="4" w:space="0" w:color="auto"/>
              <w:left w:val="single" w:sz="4" w:space="0" w:color="auto"/>
              <w:bottom w:val="single" w:sz="4" w:space="0" w:color="auto"/>
              <w:right w:val="single" w:sz="4" w:space="0" w:color="auto"/>
            </w:tcBorders>
          </w:tcPr>
          <w:p w:rsidR="00652690" w:rsidRPr="005707F0" w:rsidRDefault="00610486" w:rsidP="00652690">
            <w:pPr>
              <w:ind w:right="72"/>
              <w:jc w:val="right"/>
              <w:rPr>
                <w:rFonts w:ascii="Verdana" w:hAnsi="Verdana"/>
                <w:sz w:val="20"/>
              </w:rPr>
            </w:pPr>
            <w:r>
              <w:rPr>
                <w:rFonts w:ascii="Verdana" w:hAnsi="Verdana"/>
                <w:sz w:val="20"/>
              </w:rPr>
              <w:t>17640</w:t>
            </w:r>
            <w:r w:rsidR="00652690">
              <w:rPr>
                <w:rFonts w:ascii="Verdana" w:hAnsi="Verdana"/>
                <w:sz w:val="20"/>
              </w:rPr>
              <w:t>.00</w:t>
            </w: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r>
              <w:rPr>
                <w:rFonts w:ascii="Verdana" w:hAnsi="Verdana"/>
                <w:sz w:val="20"/>
              </w:rPr>
              <w:t>Contractors profit</w:t>
            </w:r>
          </w:p>
        </w:tc>
        <w:tc>
          <w:tcPr>
            <w:tcW w:w="1418" w:type="dxa"/>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r>
              <w:rPr>
                <w:rFonts w:ascii="Verdana" w:hAnsi="Verdana"/>
                <w:sz w:val="20"/>
              </w:rPr>
              <w:t>Sub total</w:t>
            </w:r>
          </w:p>
        </w:tc>
        <w:tc>
          <w:tcPr>
            <w:tcW w:w="1418" w:type="dxa"/>
            <w:tcBorders>
              <w:top w:val="single" w:sz="4" w:space="0" w:color="auto"/>
              <w:left w:val="single" w:sz="4" w:space="0" w:color="auto"/>
              <w:bottom w:val="single" w:sz="4" w:space="0" w:color="auto"/>
              <w:right w:val="single" w:sz="4" w:space="0" w:color="auto"/>
            </w:tcBorders>
          </w:tcPr>
          <w:p w:rsidR="00652690" w:rsidRDefault="00652690" w:rsidP="00652690">
            <w:pPr>
              <w:ind w:right="72"/>
              <w:jc w:val="right"/>
              <w:rPr>
                <w:rFonts w:ascii="Verdana" w:hAnsi="Verdana"/>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Pr="00F42C3D" w:rsidRDefault="00652690" w:rsidP="00652690">
            <w:pPr>
              <w:jc w:val="right"/>
              <w:rPr>
                <w:rFonts w:ascii="Verdana" w:hAnsi="Verdana"/>
                <w:bCs/>
                <w:sz w:val="20"/>
              </w:rPr>
            </w:pPr>
            <w:r>
              <w:rPr>
                <w:rFonts w:ascii="Verdana" w:hAnsi="Verdana"/>
                <w:bCs/>
                <w:sz w:val="20"/>
              </w:rPr>
              <w:t xml:space="preserve">CGST @ 9%                                            </w:t>
            </w:r>
            <w:r>
              <w:rPr>
                <w:rFonts w:ascii="Verdana" w:hAnsi="Verdana"/>
                <w:b/>
                <w:bCs/>
                <w:sz w:val="20"/>
              </w:rPr>
              <w:t xml:space="preserve">         </w:t>
            </w:r>
          </w:p>
        </w:tc>
        <w:tc>
          <w:tcPr>
            <w:tcW w:w="1418" w:type="dxa"/>
            <w:tcBorders>
              <w:top w:val="single" w:sz="4" w:space="0" w:color="auto"/>
              <w:left w:val="single" w:sz="4" w:space="0" w:color="auto"/>
              <w:bottom w:val="single" w:sz="4" w:space="0" w:color="auto"/>
              <w:right w:val="single" w:sz="4" w:space="0" w:color="auto"/>
            </w:tcBorders>
          </w:tcPr>
          <w:p w:rsidR="00652690" w:rsidRPr="0023314C" w:rsidRDefault="00652690" w:rsidP="00652690">
            <w:pPr>
              <w:jc w:val="both"/>
              <w:rPr>
                <w:rFonts w:ascii="Verdana" w:hAnsi="Verdana"/>
                <w:b/>
                <w:bCs/>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jc w:val="right"/>
              <w:rPr>
                <w:rFonts w:ascii="Verdana" w:hAnsi="Verdana"/>
                <w:bCs/>
                <w:sz w:val="20"/>
              </w:rPr>
            </w:pPr>
            <w:r>
              <w:rPr>
                <w:rFonts w:ascii="Verdana" w:hAnsi="Verdana"/>
                <w:bCs/>
                <w:sz w:val="20"/>
              </w:rPr>
              <w:t>SGST @ 9%</w:t>
            </w:r>
          </w:p>
        </w:tc>
        <w:tc>
          <w:tcPr>
            <w:tcW w:w="1418" w:type="dxa"/>
            <w:tcBorders>
              <w:top w:val="single" w:sz="4" w:space="0" w:color="auto"/>
              <w:left w:val="single" w:sz="4" w:space="0" w:color="auto"/>
              <w:bottom w:val="single" w:sz="4" w:space="0" w:color="auto"/>
              <w:right w:val="single" w:sz="4" w:space="0" w:color="auto"/>
            </w:tcBorders>
          </w:tcPr>
          <w:p w:rsidR="00652690" w:rsidRPr="0023314C" w:rsidRDefault="00652690" w:rsidP="00652690">
            <w:pPr>
              <w:jc w:val="both"/>
              <w:rPr>
                <w:rFonts w:ascii="Verdana" w:hAnsi="Verdana"/>
                <w:b/>
                <w:bCs/>
                <w:sz w:val="20"/>
              </w:rPr>
            </w:pPr>
          </w:p>
        </w:tc>
      </w:tr>
      <w:tr w:rsidR="00652690" w:rsidTr="00652690">
        <w:trPr>
          <w:cantSplit/>
        </w:trPr>
        <w:tc>
          <w:tcPr>
            <w:tcW w:w="8188" w:type="dxa"/>
            <w:gridSpan w:val="4"/>
            <w:tcBorders>
              <w:top w:val="single" w:sz="4" w:space="0" w:color="auto"/>
              <w:left w:val="single" w:sz="4" w:space="0" w:color="auto"/>
              <w:bottom w:val="single" w:sz="4" w:space="0" w:color="auto"/>
              <w:right w:val="single" w:sz="4" w:space="0" w:color="auto"/>
            </w:tcBorders>
          </w:tcPr>
          <w:p w:rsidR="00652690" w:rsidRDefault="00652690" w:rsidP="00652690">
            <w:pPr>
              <w:jc w:val="right"/>
              <w:rPr>
                <w:rFonts w:ascii="Verdana" w:hAnsi="Verdana"/>
                <w:bCs/>
                <w:sz w:val="20"/>
              </w:rPr>
            </w:pPr>
            <w:r>
              <w:rPr>
                <w:rFonts w:ascii="Verdana" w:hAnsi="Verdana"/>
                <w:bCs/>
                <w:sz w:val="20"/>
              </w:rPr>
              <w:t>Total amount</w:t>
            </w:r>
          </w:p>
        </w:tc>
        <w:tc>
          <w:tcPr>
            <w:tcW w:w="1418" w:type="dxa"/>
            <w:tcBorders>
              <w:top w:val="single" w:sz="4" w:space="0" w:color="auto"/>
              <w:left w:val="single" w:sz="4" w:space="0" w:color="auto"/>
              <w:bottom w:val="single" w:sz="4" w:space="0" w:color="auto"/>
              <w:right w:val="single" w:sz="4" w:space="0" w:color="auto"/>
            </w:tcBorders>
          </w:tcPr>
          <w:p w:rsidR="00652690" w:rsidRPr="0023314C" w:rsidRDefault="00652690" w:rsidP="00652690">
            <w:pPr>
              <w:jc w:val="both"/>
              <w:rPr>
                <w:rFonts w:ascii="Verdana" w:hAnsi="Verdana"/>
                <w:b/>
                <w:bCs/>
                <w:sz w:val="20"/>
              </w:rPr>
            </w:pPr>
          </w:p>
        </w:tc>
      </w:tr>
    </w:tbl>
    <w:p w:rsidR="007E0A54" w:rsidRDefault="007E0A54" w:rsidP="007E0A54">
      <w:pPr>
        <w:jc w:val="center"/>
        <w:rPr>
          <w:rFonts w:ascii="Verdana" w:hAnsi="Verdana"/>
          <w:b/>
          <w:bCs/>
          <w:sz w:val="20"/>
          <w:u w:val="single"/>
        </w:rPr>
      </w:pPr>
    </w:p>
    <w:p w:rsidR="007E0A54" w:rsidRDefault="007E0A54" w:rsidP="007E0A54">
      <w:pPr>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rPr>
          <w:rFonts w:ascii="Verdana" w:hAnsi="Verdana"/>
          <w:sz w:val="20"/>
        </w:rPr>
      </w:pPr>
      <w:r>
        <w:rPr>
          <w:rFonts w:ascii="Verdana" w:hAnsi="Verdana"/>
          <w:sz w:val="20"/>
        </w:rPr>
        <w:t>In words: (Rupees ……………………………………………………………………………………………………………………………</w:t>
      </w:r>
    </w:p>
    <w:p w:rsidR="007E0A54" w:rsidRDefault="007E0A54" w:rsidP="007E0A54">
      <w:pPr>
        <w:rPr>
          <w:rFonts w:ascii="Verdana" w:hAnsi="Verdana"/>
          <w:sz w:val="20"/>
        </w:rPr>
      </w:pPr>
      <w:r>
        <w:rPr>
          <w:rFonts w:ascii="Verdana" w:hAnsi="Verdana"/>
          <w:sz w:val="20"/>
        </w:rPr>
        <w:t>……………………………………………………………………………………………………………………………………. only</w:t>
      </w:r>
    </w:p>
    <w:p w:rsidR="007E0A54" w:rsidRDefault="007E0A54" w:rsidP="007E0A54">
      <w:pPr>
        <w:rPr>
          <w:rFonts w:ascii="Verdana" w:hAnsi="Verdana"/>
          <w:sz w:val="20"/>
        </w:rPr>
      </w:pPr>
      <w:r>
        <w:rPr>
          <w:rFonts w:ascii="Verdana" w:hAnsi="Verdana"/>
          <w:sz w:val="20"/>
        </w:rPr>
        <w:t>---------------------------------------------------------------------------------------</w:t>
      </w:r>
      <w:r w:rsidR="00C04035">
        <w:rPr>
          <w:rFonts w:ascii="Verdana" w:hAnsi="Verdana"/>
          <w:sz w:val="20"/>
        </w:rPr>
        <w:t>------------</w:t>
      </w:r>
    </w:p>
    <w:p w:rsidR="007E0A54" w:rsidRDefault="007E0A54" w:rsidP="007E0A54">
      <w:pPr>
        <w:jc w:val="both"/>
        <w:rPr>
          <w:rFonts w:ascii="Verdana" w:hAnsi="Verdana"/>
          <w:sz w:val="20"/>
        </w:rPr>
      </w:pPr>
      <w:r>
        <w:rPr>
          <w:rFonts w:ascii="Verdana" w:hAnsi="Verdana"/>
          <w:sz w:val="20"/>
        </w:rPr>
        <w:t>Signature of the tenderer with Date:</w:t>
      </w:r>
    </w:p>
    <w:p w:rsidR="007E0A54" w:rsidRDefault="007E0A54" w:rsidP="007E0A54">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jc w:val="both"/>
        <w:rPr>
          <w:rFonts w:ascii="Verdana" w:hAnsi="Verdana"/>
          <w:sz w:val="20"/>
        </w:rPr>
      </w:pPr>
      <w:r>
        <w:rPr>
          <w:rFonts w:ascii="Verdana" w:hAnsi="Verdana"/>
          <w:sz w:val="20"/>
        </w:rPr>
        <w:t xml:space="preserve">Party’s name: </w:t>
      </w:r>
    </w:p>
    <w:p w:rsidR="007E0A54" w:rsidRDefault="007E0A54" w:rsidP="007E0A54">
      <w:pPr>
        <w:jc w:val="both"/>
        <w:rPr>
          <w:rFonts w:ascii="Verdana" w:hAnsi="Verdana"/>
          <w:sz w:val="20"/>
        </w:rPr>
      </w:pPr>
      <w:r>
        <w:rPr>
          <w:rFonts w:ascii="Verdana" w:hAnsi="Verdana"/>
          <w:sz w:val="20"/>
        </w:rPr>
        <w:t>Address:</w:t>
      </w:r>
    </w:p>
    <w:p w:rsidR="007E0A54" w:rsidRDefault="007E0A54" w:rsidP="007E0A54">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7E0A54" w:rsidRDefault="007E0A54" w:rsidP="007E0A54">
      <w:pPr>
        <w:rPr>
          <w:rFonts w:ascii="Verdana" w:hAnsi="Verdana" w:cs="Arial"/>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w:t>
      </w:r>
    </w:p>
    <w:p w:rsidR="007E0A54" w:rsidRDefault="007E0A54" w:rsidP="00C04035">
      <w:pPr>
        <w:jc w:val="center"/>
        <w:rPr>
          <w:rFonts w:ascii="Verdana" w:hAnsi="Verdana" w:cs="Arial"/>
          <w:b/>
          <w:bCs/>
          <w:sz w:val="20"/>
        </w:rPr>
      </w:pPr>
      <w:r>
        <w:rPr>
          <w:rFonts w:ascii="Verdana" w:hAnsi="Verdana" w:cs="Arial"/>
          <w:b/>
          <w:bCs/>
          <w:sz w:val="20"/>
        </w:rPr>
        <w:t>………………………………………</w:t>
      </w:r>
      <w:r w:rsidR="00C04035">
        <w:rPr>
          <w:rFonts w:ascii="Verdana" w:hAnsi="Verdana" w:cs="Arial"/>
          <w:b/>
          <w:bCs/>
          <w:sz w:val="20"/>
        </w:rPr>
        <w:t>……………………………………………</w:t>
      </w:r>
    </w:p>
    <w:p w:rsidR="00F0207C" w:rsidRDefault="00F0207C" w:rsidP="00C04035">
      <w:pPr>
        <w:jc w:val="center"/>
        <w:rPr>
          <w:rFonts w:ascii="Verdana" w:hAnsi="Verdana" w:cs="Arial"/>
          <w:b/>
          <w:bCs/>
          <w:sz w:val="20"/>
        </w:rPr>
      </w:pPr>
    </w:p>
    <w:sectPr w:rsidR="00F0207C" w:rsidSect="00D902A2">
      <w:pgSz w:w="11906" w:h="16838"/>
      <w:pgMar w:top="1191" w:right="102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553" w:rsidRDefault="00BF6553" w:rsidP="00652690">
      <w:pPr>
        <w:spacing w:after="0" w:line="240" w:lineRule="auto"/>
      </w:pPr>
      <w:r>
        <w:separator/>
      </w:r>
    </w:p>
  </w:endnote>
  <w:endnote w:type="continuationSeparator" w:id="0">
    <w:p w:rsidR="00BF6553" w:rsidRDefault="00BF6553" w:rsidP="00652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553" w:rsidRDefault="00BF6553" w:rsidP="00652690">
      <w:pPr>
        <w:spacing w:after="0" w:line="240" w:lineRule="auto"/>
      </w:pPr>
      <w:r>
        <w:separator/>
      </w:r>
    </w:p>
  </w:footnote>
  <w:footnote w:type="continuationSeparator" w:id="0">
    <w:p w:rsidR="00BF6553" w:rsidRDefault="00BF6553" w:rsidP="006526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BF099E"/>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162B79"/>
    <w:multiLevelType w:val="multilevel"/>
    <w:tmpl w:val="0784D7EE"/>
    <w:lvl w:ilvl="0">
      <w:start w:val="8"/>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9">
    <w:nsid w:val="3B2542E2"/>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64ED287E"/>
    <w:multiLevelType w:val="hybridMultilevel"/>
    <w:tmpl w:val="48428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CB606C"/>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7">
    <w:nsid w:val="6C943EC5"/>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2"/>
  </w:num>
  <w:num w:numId="2">
    <w:abstractNumId w:val="3"/>
  </w:num>
  <w:num w:numId="3">
    <w:abstractNumId w:val="20"/>
  </w:num>
  <w:num w:numId="4">
    <w:abstractNumId w:val="1"/>
  </w:num>
  <w:num w:numId="5">
    <w:abstractNumId w:val="11"/>
  </w:num>
  <w:num w:numId="6">
    <w:abstractNumId w:val="4"/>
  </w:num>
  <w:num w:numId="7">
    <w:abstractNumId w:val="10"/>
  </w:num>
  <w:num w:numId="8">
    <w:abstractNumId w:val="21"/>
  </w:num>
  <w:num w:numId="9">
    <w:abstractNumId w:val="14"/>
  </w:num>
  <w:num w:numId="10">
    <w:abstractNumId w:val="18"/>
  </w:num>
  <w:num w:numId="11">
    <w:abstractNumId w:val="6"/>
  </w:num>
  <w:num w:numId="12">
    <w:abstractNumId w:val="9"/>
  </w:num>
  <w:num w:numId="13">
    <w:abstractNumId w:val="17"/>
  </w:num>
  <w:num w:numId="14">
    <w:abstractNumId w:val="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16"/>
  </w:num>
  <w:num w:numId="19">
    <w:abstractNumId w:val="0"/>
  </w:num>
  <w:num w:numId="20">
    <w:abstractNumId w:val="5"/>
  </w:num>
  <w:num w:numId="21">
    <w:abstractNumId w:val="13"/>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F33EB"/>
    <w:rsid w:val="00056BF7"/>
    <w:rsid w:val="00061D36"/>
    <w:rsid w:val="00084D14"/>
    <w:rsid w:val="00096581"/>
    <w:rsid w:val="000A64A1"/>
    <w:rsid w:val="00101255"/>
    <w:rsid w:val="001049AE"/>
    <w:rsid w:val="0011516A"/>
    <w:rsid w:val="001B1FCC"/>
    <w:rsid w:val="001C6B89"/>
    <w:rsid w:val="001D2D2F"/>
    <w:rsid w:val="001D38CF"/>
    <w:rsid w:val="001E2059"/>
    <w:rsid w:val="001E7B84"/>
    <w:rsid w:val="002138F9"/>
    <w:rsid w:val="00260AC1"/>
    <w:rsid w:val="00277175"/>
    <w:rsid w:val="002A332A"/>
    <w:rsid w:val="002F13A5"/>
    <w:rsid w:val="00317F48"/>
    <w:rsid w:val="00350CA6"/>
    <w:rsid w:val="00352AC2"/>
    <w:rsid w:val="00385C3F"/>
    <w:rsid w:val="00386F12"/>
    <w:rsid w:val="003A24CA"/>
    <w:rsid w:val="003A2718"/>
    <w:rsid w:val="003C29C0"/>
    <w:rsid w:val="003D1BB2"/>
    <w:rsid w:val="003E58E3"/>
    <w:rsid w:val="003F0145"/>
    <w:rsid w:val="00442A61"/>
    <w:rsid w:val="004B4681"/>
    <w:rsid w:val="004C4496"/>
    <w:rsid w:val="004C6085"/>
    <w:rsid w:val="00507A31"/>
    <w:rsid w:val="00525722"/>
    <w:rsid w:val="00560048"/>
    <w:rsid w:val="005702B3"/>
    <w:rsid w:val="005B0577"/>
    <w:rsid w:val="005E79FA"/>
    <w:rsid w:val="005F0BE8"/>
    <w:rsid w:val="00610486"/>
    <w:rsid w:val="0061634E"/>
    <w:rsid w:val="0064788B"/>
    <w:rsid w:val="00652690"/>
    <w:rsid w:val="006663DA"/>
    <w:rsid w:val="00677F17"/>
    <w:rsid w:val="006B3617"/>
    <w:rsid w:val="006B5141"/>
    <w:rsid w:val="006D2034"/>
    <w:rsid w:val="00707224"/>
    <w:rsid w:val="00723AFF"/>
    <w:rsid w:val="00731202"/>
    <w:rsid w:val="00732AF2"/>
    <w:rsid w:val="007740D0"/>
    <w:rsid w:val="007A6CD2"/>
    <w:rsid w:val="007E0A54"/>
    <w:rsid w:val="007F028F"/>
    <w:rsid w:val="007F33EB"/>
    <w:rsid w:val="0080766D"/>
    <w:rsid w:val="00815A76"/>
    <w:rsid w:val="00827A6A"/>
    <w:rsid w:val="00847C07"/>
    <w:rsid w:val="00860C95"/>
    <w:rsid w:val="0087176B"/>
    <w:rsid w:val="008728AF"/>
    <w:rsid w:val="008C36A8"/>
    <w:rsid w:val="008C7BBC"/>
    <w:rsid w:val="008F2996"/>
    <w:rsid w:val="008F3944"/>
    <w:rsid w:val="0093013F"/>
    <w:rsid w:val="0093401F"/>
    <w:rsid w:val="0097657A"/>
    <w:rsid w:val="009956D2"/>
    <w:rsid w:val="009C16C5"/>
    <w:rsid w:val="009C49AE"/>
    <w:rsid w:val="00A11A84"/>
    <w:rsid w:val="00A31F84"/>
    <w:rsid w:val="00A4083D"/>
    <w:rsid w:val="00A6016E"/>
    <w:rsid w:val="00A938A6"/>
    <w:rsid w:val="00A97584"/>
    <w:rsid w:val="00B00FF3"/>
    <w:rsid w:val="00B26D27"/>
    <w:rsid w:val="00B62025"/>
    <w:rsid w:val="00B90C65"/>
    <w:rsid w:val="00BC0587"/>
    <w:rsid w:val="00BD1E76"/>
    <w:rsid w:val="00BE12E0"/>
    <w:rsid w:val="00BF6553"/>
    <w:rsid w:val="00C04035"/>
    <w:rsid w:val="00C06B2A"/>
    <w:rsid w:val="00C14639"/>
    <w:rsid w:val="00C52CDA"/>
    <w:rsid w:val="00C57CF1"/>
    <w:rsid w:val="00C93C1E"/>
    <w:rsid w:val="00CB7D6A"/>
    <w:rsid w:val="00CD6949"/>
    <w:rsid w:val="00CE74C3"/>
    <w:rsid w:val="00D12852"/>
    <w:rsid w:val="00D37047"/>
    <w:rsid w:val="00D507CF"/>
    <w:rsid w:val="00D8280A"/>
    <w:rsid w:val="00D902A2"/>
    <w:rsid w:val="00D93E41"/>
    <w:rsid w:val="00DA6A2A"/>
    <w:rsid w:val="00DF69FE"/>
    <w:rsid w:val="00E03E7A"/>
    <w:rsid w:val="00E6051F"/>
    <w:rsid w:val="00E722BD"/>
    <w:rsid w:val="00E7331E"/>
    <w:rsid w:val="00E849B4"/>
    <w:rsid w:val="00E929F8"/>
    <w:rsid w:val="00EC65FC"/>
    <w:rsid w:val="00EF4F70"/>
    <w:rsid w:val="00F0207C"/>
    <w:rsid w:val="00F070F8"/>
    <w:rsid w:val="00F554D6"/>
    <w:rsid w:val="00F86617"/>
    <w:rsid w:val="00F90518"/>
    <w:rsid w:val="00FA0996"/>
    <w:rsid w:val="00FE4E29"/>
    <w:rsid w:val="00FE7A2F"/>
    <w:rsid w:val="00FF1AB0"/>
    <w:rsid w:val="00FF3166"/>
    <w:rsid w:val="00FF3D8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D902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paragraph" w:styleId="Header">
    <w:name w:val="header"/>
    <w:basedOn w:val="Normal"/>
    <w:link w:val="HeaderChar"/>
    <w:uiPriority w:val="99"/>
    <w:semiHidden/>
    <w:unhideWhenUsed/>
    <w:rsid w:val="006526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690"/>
    <w:rPr>
      <w:rFonts w:ascii="Calibri" w:hAnsi="Calibri" w:cs="Mangal"/>
      <w:sz w:val="22"/>
      <w:lang w:val="en-US" w:eastAsia="en-US"/>
    </w:rPr>
  </w:style>
  <w:style w:type="paragraph" w:styleId="Footer">
    <w:name w:val="footer"/>
    <w:basedOn w:val="Normal"/>
    <w:link w:val="FooterChar"/>
    <w:uiPriority w:val="99"/>
    <w:semiHidden/>
    <w:unhideWhenUsed/>
    <w:rsid w:val="006526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690"/>
    <w:rPr>
      <w:rFonts w:ascii="Calibri" w:hAnsi="Calibri" w:cs="Mangal"/>
      <w:sz w:val="22"/>
      <w:lang w:val="en-US" w:eastAsia="en-US"/>
    </w:rPr>
  </w:style>
  <w:style w:type="paragraph" w:styleId="BodyTextIndent2">
    <w:name w:val="Body Text Indent 2"/>
    <w:basedOn w:val="Normal"/>
    <w:link w:val="BodyTextIndent2Char"/>
    <w:uiPriority w:val="99"/>
    <w:semiHidden/>
    <w:unhideWhenUsed/>
    <w:rsid w:val="00F0207C"/>
    <w:pPr>
      <w:spacing w:after="120" w:line="480" w:lineRule="auto"/>
      <w:ind w:left="283"/>
    </w:pPr>
  </w:style>
  <w:style w:type="character" w:customStyle="1" w:styleId="BodyTextIndent2Char">
    <w:name w:val="Body Text Indent 2 Char"/>
    <w:basedOn w:val="DefaultParagraphFont"/>
    <w:link w:val="BodyTextIndent2"/>
    <w:uiPriority w:val="99"/>
    <w:semiHidden/>
    <w:rsid w:val="00F0207C"/>
    <w:rPr>
      <w:rFonts w:ascii="Calibri" w:hAnsi="Calibri" w:cs="Mangal"/>
      <w:sz w:val="22"/>
      <w:lang w:val="en-US" w:eastAsia="en-US"/>
    </w:rPr>
  </w:style>
  <w:style w:type="character" w:customStyle="1" w:styleId="Heading7Char">
    <w:name w:val="Heading 7 Char"/>
    <w:basedOn w:val="DefaultParagraphFont"/>
    <w:link w:val="Heading7"/>
    <w:semiHidden/>
    <w:rsid w:val="00D902A2"/>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D902A2"/>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D902A2"/>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1615942581">
      <w:bodyDiv w:val="1"/>
      <w:marLeft w:val="0"/>
      <w:marRight w:val="0"/>
      <w:marTop w:val="0"/>
      <w:marBottom w:val="0"/>
      <w:divBdr>
        <w:top w:val="none" w:sz="0" w:space="0" w:color="auto"/>
        <w:left w:val="none" w:sz="0" w:space="0" w:color="auto"/>
        <w:bottom w:val="none" w:sz="0" w:space="0" w:color="auto"/>
        <w:right w:val="none" w:sz="0" w:space="0" w:color="auto"/>
      </w:divBdr>
    </w:div>
    <w:div w:id="1781561295">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 w:id="21220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46</cp:revision>
  <cp:lastPrinted>2021-02-17T05:18:00Z</cp:lastPrinted>
  <dcterms:created xsi:type="dcterms:W3CDTF">2019-11-14T10:31:00Z</dcterms:created>
  <dcterms:modified xsi:type="dcterms:W3CDTF">2021-02-18T03:56:00Z</dcterms:modified>
</cp:coreProperties>
</file>