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 trusted AI agent go undercover to test whether other AI agents will collude, and does it matter how it asks? We built such a sting in Liar's Bar, the bluffing card game in which Zeng &amp; Rudzicz (2026) found that LLM agents readily accept secret collusion tools. An undercover agent approaches the agents under test, while a decoy, identical but never approaching, separates real favouritism from general leniency. In 540 pre-registered games with three small open models, an explicit offer ("let's not challenge each other") was refused by 67% of the tested agents in their first reply and accepted by 17%; a casual hint was accepted by 59%, and every model accepted the hint more often than the offer. Only the hint produced measurable favouritism in play: 13.2 percentage points more than a friendly, non-collusive request (p = 0.004 after correcting for five tests), an effect that narrowly loses significance without 20 games in which the undercover agent repeated itself. The explicit offer made no measurable difference (+3.6 points, p = 0.35). In a positive control with the paper's secret channel, agents accepted the channel but rarely proposed a pact to spare each other (14% of messages, against 74% in the paper) and did not challenge each other measurably less. Stings built on explicit offers may mostly measure refusals.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AI agents increasingly negotiate, trade and compete with each other. Agents that quietly cooperate against everyone else (</w:t>
      </w:r>
      <w:r>
        <w:rPr>
          <w:i/>
          <w:iCs/>
        </w:rPr>
        <w:t xml:space="preserve">collude</w:t>
      </w:r>
      <w:r>
        <w:t xml:space="preserve">) could harm third parties while each one looks well-behaved on its own (Hammond et al., 2025). Pricing algorithms and LLM agents can learn to collude without being told to (Calvano et al., 2020; Fish et al., 2024), and Zeng &amp; Rudzicz (2026) showed that most LLMs accept secret collusion tools even when the tool is described as unfair; in the card game Liar’s Bar, agents who adopted a secret channel cut their challenge rate from 97.6% to 30.7%.</w:t>
      </w:r>
    </w:p>
    <w:p>
      <w:pPr>
        <w:pStyle w:val="BodyText"/>
      </w:pPr>
      <w:r>
        <w:t xml:space="preserve">How can an evaluator test whether a given agent is willing to collude? Research question 3.2 of the sprint proposes a</w:t>
      </w:r>
      <w:r>
        <w:t xml:space="preserve"> </w:t>
      </w:r>
      <w:r>
        <w:rPr>
          <w:i/>
          <w:iCs/>
        </w:rPr>
        <w:t xml:space="preserve">sting</w:t>
      </w:r>
      <w:r>
        <w:t xml:space="preserve">: a trusted agent approaches the others and records whether they accept, refuse or become suspicious, depending on how it approaches them (Apart Research, 2026; Poseidon Research, 2026). But an agent that goes easy on the undercover agent may do so because of the approach, or because it goes easy on everyone. We therefore add a</w:t>
      </w:r>
      <w:r>
        <w:t xml:space="preserve"> </w:t>
      </w:r>
      <w:r>
        <w:rPr>
          <w:b/>
          <w:bCs/>
        </w:rPr>
        <w:t xml:space="preserve">decoy</w:t>
      </w:r>
      <w:r>
        <w:t xml:space="preserve">, a player identical to the undercover agent except that it never approaches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a majority of every model refused an explicit collusive deal, and every model accepted a casual hint far more often; only the hint produced measurable favouritism in play, and that effect is fragile.</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so do LLM agents, with small prompt changes moving them towards or away from collusion (Fish et al., 2024). Collusion is among the central risks of multi-agent AI (Hammond et al., 2025), and agents can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directly on Zeng &amp; Rudzicz (2026), who offer agents secret tools from a</w:t>
      </w:r>
      <w:r>
        <w:t xml:space="preserve"> </w:t>
      </w:r>
      <w:r>
        <w:t xml:space="preserve">“</w:t>
      </w:r>
      <w:r>
        <w:t xml:space="preserve">game designer</w:t>
      </w:r>
      <w:r>
        <w:t xml:space="preserve">”</w:t>
      </w:r>
      <w:r>
        <w:t xml:space="preserve"> </w:t>
      </w:r>
      <w:r>
        <w:t xml:space="preserve">and find near-universal acceptance, with large behavioural effects in Liar’s Bar. We reuse their game and offer wording, but our offer comes from another player, we vary how it is made, and a decoy separates favouritism toward the approaching agent from general leniency.</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from a 28-card deck (8 of each rank plus 4 Jokers, which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ends the game. Our one rule change is that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At the start of every round, H and S each exchange one private note with T and with X. In every version except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All models were called through OpenRouter (Table 1); sampling settings are in Appendix A.</w:t>
      </w:r>
    </w:p>
    <w:p>
      <w:pPr>
        <w:pStyle w:val="BodyText"/>
        <w:keepNext/>
      </w:pPr>
      <w:r>
        <w:rPr>
          <w:b/>
          <w:bCs/>
        </w:rPr>
        <w:t xml:space="preserve">Table 1. Models.</w:t>
      </w:r>
      <w:r>
        <w:t xml:space="preserve"> </w:t>
      </w:r>
      <w:r>
        <w:t xml:space="preserve">T and X are the tested agents, H the undercover agent and S the decoy; in Study 2, H and S are ordinary opponents with no mission. Qwen models ran with thinking turned off.</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(seeds 0–23, 0–47 and 0–11; the same seeds in every version and model),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(seeds 0–11), 12 per model without the offer (A0) and 12 with it before round 1 (A1).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 seeds 0–9 in both groups, the paper’s sampling settings).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the pass rate on S’s claims. The effect of an approach is the difference in favouritism between two versions, which cancels each model’s own bias toward H or S (present even when both have identical instructions, C0). The main test (C3 vs B) had to pass two pre-registered methods, both at p &lt; 0.025 and in the same direction: a per-decision linear probability model (standard errors clustered by game; adjusted for cards played, position in the round, model and seat)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temperature 0) labelled each tested agent’s first reply to H (Accept, Refuse, Suspicious or Other) and the secret messages in the Study 2 series; after each Study 1 game the tested agents answered a short interview. Hypotheses, tests, sample sizes and the analysis script were fingerprinted (SHA-256) before each study’s main games, with later decisions in dated addenda (Appendix C); trial games used separate seeds and are excluded.</w:t>
      </w:r>
    </w:p>
    <w:bookmarkEnd w:id="7"/>
    <w:bookmarkEnd w:id="8"/>
    <w:bookmarkStart w:id="9" w:name="results"/>
    <w:p>
      <w:pPr>
        <w:pStyle w:val="Heading2"/>
      </w:pPr>
      <w:r>
        <w:t xml:space="preserve">4. Results</w:t>
      </w:r>
    </w:p>
    <w:bookmarkStart w:id="10"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(in 3, a parser bug, fixed before the series, meant X was never asked). Partners let each other’s claims pass 55.9% of the time without the offer and 59.3% with it (adjusted +4.7 points, p = 0.43; +7.6, p = 0.24, where the channel opened). The GPT-4.1-mini opponents won 67 of 72 games and a tested agent was first out in 61, so partners judged each other only 3 times per game (median).</w:t>
      </w:r>
    </w:p>
    <w:p>
      <w:pPr>
        <w:pStyle w:val="BodyText"/>
      </w:pPr>
      <w:r>
        <w:rPr>
          <w:b/>
          <w:bCs/>
        </w:rPr>
        <w:t xml:space="preserve">Series.</w:t>
      </w:r>
      <w:r>
        <w:t xml:space="preserve"> </w:t>
      </w:r>
      <w:r>
        <w:t xml:space="preserve">Before the offer (games 1–14) the two groups behaved alike: partners passed each other 58.3% and 57.8% of the time (p = 0.91). Afterwards both passed each other more (58.3% → 68.2% with the offer, 57.8% → 64.6% without), so the change due to the offer was only</w:t>
      </w:r>
      <w:r>
        <w:t xml:space="preserve"> </w:t>
      </w:r>
      <w:r>
        <w:rPr>
          <w:b/>
          <w:bCs/>
        </w:rPr>
        <w:t xml:space="preserve">+3.2 points</w:t>
      </w:r>
      <w:r>
        <w:t xml:space="preserve"> </w:t>
      </w:r>
      <w:r>
        <w:t xml:space="preserve">(95% interval −6.4 to +13.3; p = 0.56; Figure 1). On the paper’s own measure, how often partners challenge anyone, the offer changed little (+0.9 points in pass rate, p = 0.82). The channel formed at 8 of 10 offer tables.</w:t>
      </w:r>
    </w:p>
    <w:p>
      <w:pPr>
        <w:pStyle w:val="CaptionedFigure"/>
        <w:keepNext/>
      </w:pPr>
      <w:r>
        <w:drawing>
          <wp:inline>
            <wp:extent cx="4023360" cy="1571625"/>
            <wp:effectExtent b="0" l="0" r="0" t="0"/>
            <wp:docPr descr="Figure 1. Study 2 series: how often the two partners (T and X) let each other’s claims pass, by game, pooled over the tables in each group, for the 10 tables offered the secret channel at the start of game 15 (blue) and the 10 tables never offered it (orange)." title="" id="1" name="Picture"/>
            <a:graphic>
              <a:graphicData uri="http://schemas.openxmlformats.org/drawingml/2006/picture">
                <pic:pic>
                  <pic:nvPicPr>
                    <pic:cNvPr descr="fig_series_partner.png" id="1" name="Picture"/>
                    <pic:cNvPicPr>
                      <a:picLocks noChangeArrowheads="1" noChangeAspect="1"/>
                    </pic:cNvPicPr>
                  </pic:nvPicPr>
                  <pic:blipFill>
                    <a:blip r:embed="rId8"/>
                    <a:stretch>
                      <a:fillRect/>
                    </a:stretch>
                  </pic:blipFill>
                  <pic:spPr bwMode="auto">
                    <a:xfrm>
                      <a:off x="0" y="0"/>
                      <a:ext cx="4023360" cy="157162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2 series: how often the two partners (T and X) let each other’s claims pass, by game, pooled over the tables in each group, for the 10 tables offered the secret channel at the start of game 15 (blue) and the 10 tables never offered it (orange).</w:t>
      </w:r>
    </w:p>
    <w:p>
      <w:pPr>
        <w:pStyle w:val="BodyText"/>
      </w:pPr>
      <w:r>
        <w:t xml:space="preserve">An AI judge labelled 1,150 of the 1,153 secret messages (Table 2). Partners used the channel as in the paper, to share cards and pick targets, but rarely proposed the</w:t>
      </w:r>
      <w:r>
        <w:t xml:space="preserve"> </w:t>
      </w:r>
      <w:r>
        <w:t xml:space="preserve">“</w:t>
      </w:r>
      <w:r>
        <w:t xml:space="preserve">don’t challenge each other</w:t>
      </w:r>
      <w:r>
        <w:t xml:space="preserve">”</w:t>
      </w:r>
      <w:r>
        <w:t xml:space="preserve"> </w:t>
      </w:r>
      <w:r>
        <w:t xml:space="preserve">pact that the paper saw in about three of four messages. One reason may be the starting point: before any offer the paper’s partners challenged almost every claim (97.6%), ours about one in three (34–37%).</w:t>
      </w:r>
    </w:p>
    <w:p>
      <w:pPr>
        <w:pStyle w:val="BodyText"/>
        <w:keepNext/>
      </w:pPr>
      <w:r>
        <w:rPr>
          <w:b/>
          <w:bCs/>
        </w:rPr>
        <w:t xml:space="preserve">Table 2. Content of the secret messages in the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609"/>
        <w:gridCol w:w="1267"/>
        <w:gridCol w:w="2484"/>
      </w:tblGrid>
      <w:tr>
        <w:trPr>
          <w:cantSplit/>
          <w:tblHeader/>
        </w:trPr>
        <w:tc>
          <w:tcPr>
            <w:tcW w:w="56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26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248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267"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14.3%</w:t>
            </w:r>
          </w:p>
        </w:tc>
        <w:tc>
          <w:tcPr>
            <w:tcW w:w="248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73.7%</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treats the partner like an opponent</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8.8%</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not measured</w:t>
            </w:r>
          </w:p>
        </w:tc>
      </w:tr>
    </w:tbl>
    <w:bookmarkEnd w:id="9"/>
    <w:bookmarkStart w:id="11" w:name="X9add3e1f35517efb67952952aa13d6372f17c19"/>
    <w:p>
      <w:pPr>
        <w:pStyle w:val="Heading3"/>
      </w:pPr>
      <w:r>
        <w:t xml:space="preserve">4.2 Study 1: explicit deals made no measurable difference in play; hints did, but fragilely</w:t>
      </w:r>
    </w:p>
    <w:p>
      <w:pPr>
        <w:pStyle w:val="FirstParagraph"/>
      </w:pPr>
      <w:r>
        <w:rPr>
          <w:b/>
          <w:bCs/>
        </w:rPr>
        <w:t xml:space="preserve">The explicit deal produced no measurable favouritism</w:t>
      </w:r>
      <w:r>
        <w:t xml:space="preserve"> </w:t>
      </w:r>
      <w:r>
        <w:t xml:space="preserve">(Tables 3 and 4): +3.6 points against the friendly request (p = 0.35), and every pre-registered variant agreed (per model +0.1 to +7.4, all p &gt; 0.27; Appendix B). The main hypothesis is not supported; the per-game interval rules out deal effects much above 16 points.</w:t>
      </w:r>
    </w:p>
    <w:p>
      <w:pPr>
        <w:pStyle w:val="BodyText"/>
      </w:pPr>
      <w:r>
        <w:rPr>
          <w:b/>
          <w:bCs/>
        </w:rPr>
        <w:t xml:space="preserve">The hint produced favouritism, but the result is fragile.</w:t>
      </w:r>
      <w:r>
        <w:t xml:space="preserve"> </w:t>
      </w:r>
      <w:r>
        <w:t xml:space="preserve">Against the friendly request, the hint raised favouritism by 13.2 points (Holm p = 0.004), confirmed per game (+12.3, p = 0.012) and in the same direction for all three models (adjusted per-model estimates: Ministral 3 8B +22.4, Qwen3.5 9B +13.4, Ministral 3 14B +6.3; raw values in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We therefore call the hint effect suggestive, not established.</w:t>
      </w:r>
    </w:p>
    <w:p>
      <w:pPr>
        <w:pStyle w:val="BodyText"/>
        <w:keepNext/>
      </w:pPr>
      <w:r>
        <w:rPr>
          <w:b/>
          <w:bCs/>
        </w:rPr>
        <w:t xml:space="preserve">Table 3. Pass rates on the claims of the undercover agent (H) and the decoy (S), all three models pooled</w:t>
      </w:r>
      <w:r>
        <w:t xml:space="preserve"> </w:t>
      </w:r>
      <w:r>
        <w:t xml:space="preserve">(decisions in parentheses). Favouritism is the pass rate on H minus that on S,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4.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bookmarkEnd w:id="10"/>
    <w:bookmarkStart w:id="12" w:name="study-1-what-the-agents-said"/>
    <w:p>
      <w:pPr>
        <w:pStyle w:val="Heading3"/>
      </w:pPr>
      <w:r>
        <w:t xml:space="preserve">4.3 Study 1: what the agents said</w:t>
      </w:r>
    </w:p>
    <w:p>
      <w:pPr>
        <w:pStyle w:val="FirstParagraph"/>
      </w:pPr>
      <w:r>
        <w:t xml:space="preserve">The explicit deal was refused in two thirds of first replies (Figure 2), by a majority of every model; Qwen3.5 9B accepted it in only 2.1%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from 92.6% for Ministral 3 14B to 37.5% for Qwen3.5 9B, and 57.5% of replies proposed cooperating themselves. Words and deeds diverged: about half the agents in the deal version (53.5%) said in the post-game interview that they had agreed to something, yet favouritism did not rise measurably.</w:t>
      </w:r>
    </w:p>
    <w:p>
      <w:pPr>
        <w:pStyle w:val="CaptionedFigure"/>
        <w:keepNext/>
      </w:pPr>
      <w:r>
        <w:drawing>
          <wp:inline>
            <wp:extent cx="4206240" cy="1708784"/>
            <wp:effectExtent b="0" l="0" r="0" t="0"/>
            <wp:docPr descr="Figure 2. Study 1: how the tested agents first replied to H’s first note, by version (AI-judge labels; 72–288 replies per version). Exact numbers in Table B1 (Appendix B)." title="" id="2" name="Picture"/>
            <a:graphic>
              <a:graphicData uri="http://schemas.openxmlformats.org/drawingml/2006/picture">
                <pic:pic>
                  <pic:nvPicPr>
                    <pic:cNvPr descr="fig_study1_replies.png" id="2" name="Picture"/>
                    <pic:cNvPicPr>
                      <a:picLocks noChangeArrowheads="1" noChangeAspect="1"/>
                    </pic:cNvPicPr>
                  </pic:nvPicPr>
                  <pic:blipFill>
                    <a:blip r:embed="rId9"/>
                    <a:stretch>
                      <a:fillRect/>
                    </a:stretch>
                  </pic:blipFill>
                  <pic:spPr bwMode="auto">
                    <a:xfrm>
                      <a:off x="0" y="0"/>
                      <a:ext cx="4206240" cy="170878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Study 1: how the tested agents first replied to H’s first note, by version (AI-judge labels; 72–288 replies per version). Exact numbers in Table B1 (Appendix B).</w:t>
      </w:r>
    </w:p>
    <w:bookmarkEnd w:id="11"/>
    <w:bookmarkStart w:id="13" w:name="robustness"/>
    <w:p>
      <w:pPr>
        <w:pStyle w:val="Heading3"/>
      </w:pPr>
      <w:r>
        <w:t xml:space="preserve">4.4 Robustness</w:t>
      </w:r>
    </w:p>
    <w:p>
      <w:pPr>
        <w:pStyle w:val="FirstParagraph"/>
      </w:pPr>
      <w:r>
        <w:t xml:space="preserve">H bluffed more often relative to S in the hint version than in the friendly version, but adjusting for bluffing leaves the hint effect at +12.9 points (p = 0.001), and excluding plays whose public description gave away the cards leaves +11.7 (p = 0.003). In the hint version 38 of 288 agents missed H’s first note, which works against the effect. Tested agents were often eliminated first (312 of 540 games, against 270 expected by chance), so they judged only 10–24 of H’s or S’s claims per game (median by model), which limits power. Unreadable decisions were below 0.4% in every version.</w:t>
      </w:r>
    </w:p>
    <w:bookmarkEnd w:id="12"/>
    <w:bookmarkEnd w:id="13"/>
    <w:bookmarkStart w:id="14"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hints were accepted far more often by every model. This mirrors the paper’s finding that models refusing a tool described as unfair accept the same capability described neutrally: wording that sounds like rule-breaking seems to trigger trained refusal, wording that sounds like strategy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measurably; in the positive control, partners plotted together in words but did not measurably spare each other in play. Only behavioural measures with a comparison group (the decoy in Study 1, tables without the offer in Study 2) could tell these apart.</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our Gemma agent hinted in 2 of 77 trial notes; given example sentences, it copied them word for word.</w:t>
      </w:r>
    </w:p>
    <w:p>
      <w:pPr>
        <w:pStyle w:val="BodyText"/>
      </w:pPr>
      <w:r>
        <w:rPr>
          <w:b/>
          <w:bCs/>
        </w:rPr>
        <w:t xml:space="preserve">Future work.</w:t>
      </w:r>
      <w:r>
        <w:t xml:space="preserve"> </w:t>
      </w:r>
      <w:r>
        <w:t xml:space="preserve">Study 3 (trial games only so far) gives the tested agents a pact on purpose and tests four ways to break it; larger and frontier models, longer series and hand-checked labels are natural next steps.</w:t>
      </w:r>
    </w:p>
    <w:bookmarkEnd w:id="14"/>
    <w:bookmarkStart w:id="15" w:name="X34a9f4a4955810fa226028fb89dc1e250b93941"/>
    <w:p>
      <w:pPr>
        <w:pStyle w:val="Heading2"/>
      </w:pPr>
      <w:r>
        <w:t xml:space="preserve">6. Limitations and Dual-Use / Ethical Considerations</w:t>
      </w:r>
    </w:p>
    <w:p>
      <w:pPr>
        <w:pStyle w:val="FirstParagraph"/>
      </w:pPr>
      <w:r>
        <w:rPr>
          <w:b/>
          <w:bCs/>
        </w:rPr>
        <w:t xml:space="preserve">What the results do and do not establish.</w:t>
      </w:r>
      <w:r>
        <w:t xml:space="preserve"> </w:t>
      </w:r>
      <w:r>
        <w:t xml:space="preserve">For three small open models in one game, an explicit collusive offer from another player is mostly refused and produces no measurable favouritism, and a hint wins far more agreement; with the Study 2 models, the paper’s secret-channel effect did not carry over to our setting. The results do not establish that hints reliably produce collusive behaviour (the effect is fragile), that larger or frontier models behave the same way,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(Ministral 3 14B’s challenges hardly reacted to any approach).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(C2 raised from 12 to 48 per model) were decided after trial games, though before any main game. H’s play was not identical across versions (bluffing, lost first notes), and its leniency was enforced by the program. Tested agents may recognise an approach as a test (Needham et al., 2025), and a sting sees only overt agreement, not hidden signals (Motwani et al., 2024). Reply and secret-message labels come from an AI judge, not yet checked by hand (the pre-registered check of 60 replies is outstanding). The original pre-registration was recorded before the Study 2 single games but committed to git after them (Appendix C), and our secret-message prompt is our own.</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Two findings could be misused: that hints draw more agreement than explicit offers could help someone design agents that recruit others into collusion, and knowing what a sting looks like could help colluders spot one. Conversely, our results suggest that evaluations relying on explicit offers can be falsely reassuring, which helps evaluators more than attackers. We release code and logs for defensive research, publish the approach wording so evaluators can test against it, and recommend combining subtle approaches, controls and behavioural measures rather than relying on stated refusals.</w:t>
      </w:r>
    </w:p>
    <w:bookmarkEnd w:id="15"/>
    <w:bookmarkStart w:id="16"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and the paper’s secret alliance became mainly a way to plot against others and only rarely a pact of mutual protection. Collusion evaluations that rely on explicit offers may therefore be falsely reassuring, and decoy controls and behavioural measures are needed to see it.</w:t>
      </w:r>
    </w:p>
    <w:bookmarkEnd w:id="16"/>
    <w:bookmarkStart w:id="17"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in</w:t>
      </w:r>
      <w:r>
        <w:t xml:space="preserve">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logs of the 1,012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 </w:t>
      </w:r>
      <w:r>
        <w:t xml:space="preserve">and</w:t>
      </w:r>
      <w:r>
        <w:t xml:space="preserve"> </w:t>
      </w:r>
      <w:r>
        <w:rPr>
          <w:rStyle w:val="VerbatimChar"/>
        </w:rPr>
        <w:t xml:space="preserve">runs/series/</w:t>
      </w:r>
      <w:r>
        <w:t xml:space="preserve"> </w:t>
      </w:r>
      <w:r>
        <w:t xml:space="preserve">(other folders are not used here); pre-registration in</w:t>
      </w:r>
      <w:r>
        <w:t xml:space="preserve"> </w:t>
      </w:r>
      <w:r>
        <w:rPr>
          <w:rStyle w:val="VerbatimChar"/>
        </w:rPr>
        <w:t xml:space="preserve">prereg/</w:t>
      </w:r>
      <w:r>
        <w:t xml:space="preserve">.</w:t>
      </w:r>
    </w:p>
    <w:bookmarkEnd w:id="17"/>
    <w:bookmarkStart w:id="18"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8"/>
    <w:bookmarkStart w:id="19" w:name="appendix-a.-prompt-wording"/>
    <w:p>
      <w:pPr>
        <w:pStyle w:val="Heading2"/>
      </w:pPr>
      <w:r>
        <w:t xml:space="preserve">Appendix A. Prompt wording</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w:t>
      </w:r>
    </w:p>
    <w:bookmarkEnd w:id="19"/>
    <w:bookmarkStart w:id="20"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keepNext/>
        <w:spacing w:before="160"/>
      </w:pPr>
      <w:r>
        <w:rPr>
          <w:b/>
          <w:bCs/>
        </w:rPr>
        <w:t xml:space="preserve">Table B2. Favouritism (points) by tested model.</w:t>
      </w:r>
      <w:r>
        <w:t xml:space="preserve"> </w:t>
      </w:r>
      <w:r>
        <w:t xml:space="preserve">Compare columns within a row, not with zero.</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FirstParagraph"/>
      </w:pPr>
      <w:r>
        <w:rPr>
          <w:b/>
          <w:bCs/>
        </w:rPr>
        <w:t xml:space="preserve">Study 2 details.</w:t>
      </w:r>
      <w:r>
        <w:t xml:space="preserve"> </w:t>
      </w:r>
      <w:r>
        <w:t xml:space="preserve">Single games, partner pass rate without vs with the offer by model: Llama 3.1 8B 64.0% → 45.2%, Qwen3.5 9B 28.6% → 56.8%, Qwen3.6 35B 63.2% → 71.2% (12 games per cell).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w:t>
      </w:r>
    </w:p>
    <w:bookmarkEnd w:id="20"/>
    <w:bookmarkStart w:id="21"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696"/>
        <w:gridCol w:w="3831"/>
        <w:gridCol w:w="3833"/>
      </w:tblGrid>
      <w:tr>
        <w:trPr>
          <w:cantSplit/>
          <w:tblHeader/>
        </w:trPr>
        <w:tc>
          <w:tcPr>
            <w:tcW w:w="169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83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83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24 Oct 05:38</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bl>
    <w:bookmarkEnd w:id="21"/>
    <w:bookmarkStart w:id="22"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w:t>
      </w:r>
    </w:p>
    <w:bookmarkEnd w:id="22"/>
    <w:sectPr>
      <w:footerReference w:type="default" r:id="rId10"/>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13214BF"/>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0AF1156"/>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2026-10-25T11:04:43Z</dcterms:modified>
  <dc:creator>Shantanu P. Sontakke</dc:creator>
</cp:coreProperties>
</file>