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 trusted AI agent go undercover to test whether other agents will collude, and does it matter how it asks? We built such a sting in Liar's Bar, the bluffing card game where Zeng &amp; Rudzicz (2026) found LLM agents readily accept secret collusion tools. A decoy, identical to the undercover agent but never approaching anyone, separates real favouritism from general leniency. In 540 pre-registered games with three small open models, an explicit offer ("let's not challenge each other") was refused in 67% of first replies and accepted in 17%; a casual hint was accepted in 59%, and by every model more often than the offer. Only the hint produced measurable favouritism in play: 13.2 percentage points more than a friendly, non-collusive request (p = 0.004, corrected for five tests), an effect that narrowly loses significance without 20 games where the undercover agent repeated itself. The explicit offer made no measurable difference (+3.6 points, p = 0.35). In a positive control with the paper's secret channel, agents accepted it but rarely proposed a pact to spare each other (14% of messages, against 74% in the paper) and did not challenge each other measurably less. Stings built on explicit offers may mostly measure refusals.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As AI agents increasingly negotiate, trade and compete, those that quietly cooperate against everyone else (</w:t>
      </w:r>
      <w:r>
        <w:rPr>
          <w:i/>
          <w:iCs/>
        </w:rPr>
        <w:t xml:space="preserve">collude</w:t>
      </w:r>
      <w:r>
        <w:t xml:space="preserve">) could harm third parties while each looks well-behaved on its own (Hammond et al., 2025). Zeng &amp; Rudzicz (2026) showed that most LLMs accept secret collusion tools even when described as unfair; in the card game Liar’s Bar, agents who adopted a secret channel cut their challenge rate from 97.6% to 30.7%.</w:t>
      </w:r>
    </w:p>
    <w:p>
      <w:pPr>
        <w:pStyle w:val="BodyText"/>
      </w:pPr>
      <w:r>
        <w:t xml:space="preserve">To test whether a given agent will collude, research question 3.2 of the sprint proposes a</w:t>
      </w:r>
      <w:r>
        <w:t xml:space="preserve"> </w:t>
      </w:r>
      <w:r>
        <w:rPr>
          <w:i/>
          <w:iCs/>
        </w:rPr>
        <w:t xml:space="preserve">sting</w:t>
      </w:r>
      <w:r>
        <w:t xml:space="preserve">: a trusted agent approaches the others in different ways and records whether they accept, refuse or become suspicious (Apart Research, 2026; Poseidon Research, 2026). But an agent may go easy on the undercover agent because of the approach, or because it goes easy on everyone. We therefore add a</w:t>
      </w:r>
      <w:r>
        <w:t xml:space="preserve"> </w:t>
      </w:r>
      <w:r>
        <w:rPr>
          <w:b/>
          <w:bCs/>
        </w:rPr>
        <w:t xml:space="preserve">decoy</w:t>
      </w:r>
      <w:r>
        <w:t xml:space="preserve">, identical to the undercover agent but never approaching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every model mostly refused an explicit collusive deal but accepted a casual hint far more often; only the hint produced measurable, if fragile, favouritism in play.</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agents learn supra-competitive prices without communicating (Calvano et al., 2020), and so do LLM agents, with small prompt changes moving them towards or away from collusion (Fish et al., 2024). Agents can also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on Zeng &amp; Rudzicz (2026), who offer agents secret tools from a</w:t>
      </w:r>
      <w:r>
        <w:t xml:space="preserve"> </w:t>
      </w:r>
      <w:r>
        <w:t xml:space="preserve">“</w:t>
      </w:r>
      <w:r>
        <w:t xml:space="preserve">game designer</w:t>
      </w:r>
      <w:r>
        <w:t xml:space="preserve">”</w:t>
      </w:r>
      <w:r>
        <w:t xml:space="preserve">. We reuse their game and offer wording, but our offer comes from another player.</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Jokers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wins. Our one rule change: seating alternates between two fixed arrangements, so each tested agent regularly judges both the undercover agent and the decoy (Study 1), or the partners judge each other (Study 2).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Each round begins with H and S each exchanging one private note with T and with X. Except in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Models are in Table 1, sampling settings in Appendix A.</w:t>
      </w:r>
    </w:p>
    <w:p>
      <w:pPr>
        <w:pStyle w:val="BodyText"/>
        <w:keepNext/>
      </w:pPr>
      <w:r>
        <w:rPr>
          <w:b/>
          <w:bCs/>
        </w:rPr>
        <w:t xml:space="preserve">Table 1. Models.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and 12 with it before round 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that on S’s claims. An approach’s effect is the difference in favouritism between two versions, which cancels each model’s own bias toward H or S (present even with identical instructions, C0). The main test (C3 vs B) had to pass two pre-registered methods, both at p &lt; 0.025 and in the same direction: a per-decision linear probability model (standard errors clustered by game; adjusted for cards played, position in the round, model and seat)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labelled each tested agent’s first reply to H (Accept, Refuse, Suspicious or Other) and the secret messages in the Study 2 series; after each Study 1 game the tested agents answered a short interview. Hypotheses, tests, sample sizes and the analysis script were fingerprinted before each study’s main games, with later decisions in dated addenda (Appendix C); trial games are excluded.</w:t>
      </w:r>
    </w:p>
    <w:bookmarkEnd w:id="7"/>
    <w:bookmarkEnd w:id="8"/>
    <w:bookmarkStart w:id="9" w:name="results"/>
    <w:p>
      <w:pPr>
        <w:pStyle w:val="Heading2"/>
      </w:pPr>
      <w:r>
        <w:t xml:space="preserve">4. Results</w:t>
      </w:r>
    </w:p>
    <w:bookmarkStart w:id="10"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(Appendix B). Partners let each other’s claims pass 55.9% of the time without the offer and 59.3% with it (adjusted +4.7 points, p = 0.43; +7.6, p = 0.24, where the channel opened). Tested agents were usually out first, so partners judged each other only 3 times per game (median).</w:t>
      </w:r>
    </w:p>
    <w:p>
      <w:pPr>
        <w:pStyle w:val="BodyText"/>
      </w:pPr>
      <w:r>
        <w:rPr>
          <w:b/>
          <w:bCs/>
        </w:rPr>
        <w:t xml:space="preserve">Series.</w:t>
      </w:r>
      <w:r>
        <w:t xml:space="preserve"> </w:t>
      </w:r>
      <w:r>
        <w:t xml:space="preserve">Before the offer (games 1–14) the two groups behaved alike (p = 0.91); afterwards, partners passed each other more in both (58.3% → 68.2% with the offer, 57.8% → 64.6% without), so the offer’s effect was only</w:t>
      </w:r>
      <w:r>
        <w:t xml:space="preserve"> </w:t>
      </w:r>
      <w:r>
        <w:rPr>
          <w:b/>
          <w:bCs/>
        </w:rPr>
        <w:t xml:space="preserve">+3.2 points</w:t>
      </w:r>
      <w:r>
        <w:t xml:space="preserve"> </w:t>
      </w:r>
      <w:r>
        <w:t xml:space="preserve">(95% interval −6.4 to +13.3; p = 0.56; Figure 1). On the paper’s own measure, how often partners challenge anyone, the offer changed little (+0.9 points in pass rate, p = 0.82). The channel formed at 8 of 10 offer tables.</w:t>
      </w:r>
    </w:p>
    <w:p>
      <w:pPr>
        <w:pStyle w:val="CaptionedFigure"/>
        <w:keepNext/>
      </w:pPr>
      <w:r>
        <w:drawing>
          <wp:inline>
            <wp:extent cx="3657600" cy="1428750"/>
            <wp:effectExtent b="0" l="0" r="0" t="0"/>
            <wp:docPr descr="Figure 1. Study 2 series: how often the partners (T and X) let each other’s claims pass, by game, pooled within each group of 10 tables: offered the secret channel at the start of game 15 (blue) or never offered it (orange)." title="" id="1" name="Picture"/>
            <a:graphic>
              <a:graphicData uri="http://schemas.openxmlformats.org/drawingml/2006/picture">
                <pic:pic>
                  <pic:nvPicPr>
                    <pic:cNvPr descr="fig_series_partner.png" id="1" name="Picture"/>
                    <pic:cNvPicPr>
                      <a:picLocks noChangeArrowheads="1" noChangeAspect="1"/>
                    </pic:cNvPicPr>
                  </pic:nvPicPr>
                  <pic:blipFill>
                    <a:blip r:embed="rId8"/>
                    <a:stretch>
                      <a:fillRect/>
                    </a:stretch>
                  </pic:blipFill>
                  <pic:spPr bwMode="auto">
                    <a:xfrm>
                      <a:off x="0" y="0"/>
                      <a:ext cx="3657600" cy="142875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2 series: how often the partners (T and X) let each other’s claims pass, by game, pooled within each group of 10 tables: offered the secret channel at the start of game 15 (blue) or never offered it (orange).</w:t>
      </w:r>
    </w:p>
    <w:p>
      <w:pPr>
        <w:pStyle w:val="BodyText"/>
      </w:pPr>
      <w:r>
        <w:t xml:space="preserve">Partners used the channel as in the paper (Table 2), to share cards and pick targets, but rarely proposed the</w:t>
      </w:r>
      <w:r>
        <w:t xml:space="preserve"> </w:t>
      </w:r>
      <w:r>
        <w:t xml:space="preserve">“</w:t>
      </w:r>
      <w:r>
        <w:t xml:space="preserve">don’t challenge each other</w:t>
      </w:r>
      <w:r>
        <w:t xml:space="preserve">”</w:t>
      </w:r>
      <w:r>
        <w:t xml:space="preserve"> </w:t>
      </w:r>
      <w:r>
        <w:t xml:space="preserve">pact that the paper saw in about three of four messages. One reason may be the starting point: before any offer the paper’s partners challenged almost every claim (97.6%), ours about one in three (34–37%).</w:t>
      </w:r>
    </w:p>
    <w:p>
      <w:pPr>
        <w:pStyle w:val="BodyText"/>
        <w:keepNext/>
      </w:pPr>
      <w:r>
        <w:rPr>
          <w:b/>
          <w:bCs/>
        </w:rPr>
        <w:t xml:space="preserve">Table 2. Content of the secret messages in the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609"/>
        <w:gridCol w:w="1267"/>
        <w:gridCol w:w="2484"/>
      </w:tblGrid>
      <w:tr>
        <w:trPr>
          <w:cantSplit/>
          <w:tblHeader/>
        </w:trPr>
        <w:tc>
          <w:tcPr>
            <w:tcW w:w="56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26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248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267"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24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5609"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267"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14.3%</w:t>
            </w:r>
          </w:p>
        </w:tc>
        <w:tc>
          <w:tcPr>
            <w:tcW w:w="248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73.7%</w:t>
            </w:r>
          </w:p>
        </w:tc>
      </w:tr>
      <w:tr>
        <w:trPr>
          <w:cantSplit/>
        </w:trPr>
        <w:tc>
          <w:tcPr>
            <w:tcW w:w="5609" w:type="dxa"/>
          </w:tcPr>
          <w:p>
            <w:pPr>
              <w:pStyle w:val="Compact"/>
              <w:spacing w:before="0" w:after="0" w:line="240" w:lineRule="auto"/>
              <w:jc w:val="left"/>
            </w:pPr>
            <w:r>
              <w:rPr>
                <w:rFonts w:ascii="Old Standard TT" w:hAnsi="Old Standard TT" w:eastAsia="Old Standard TT" w:cs="Old Standard TT"/>
                <w:color w:val="111111"/>
                <w:sz w:val="18"/>
              </w:rPr>
              <w:t xml:space="preserve">treats the partner like an opponent</w:t>
            </w:r>
          </w:p>
        </w:tc>
        <w:tc>
          <w:tcPr>
            <w:tcW w:w="1267" w:type="dxa"/>
          </w:tcPr>
          <w:p>
            <w:pPr>
              <w:pStyle w:val="Compact"/>
              <w:spacing w:before="0" w:after="0" w:line="240" w:lineRule="auto"/>
              <w:jc w:val="left"/>
            </w:pPr>
            <w:r>
              <w:rPr>
                <w:rFonts w:ascii="Old Standard TT" w:hAnsi="Old Standard TT" w:eastAsia="Old Standard TT" w:cs="Old Standard TT"/>
                <w:color w:val="111111"/>
                <w:sz w:val="18"/>
              </w:rPr>
              <w:t xml:space="preserve">8.8%</w:t>
            </w:r>
          </w:p>
        </w:tc>
        <w:tc>
          <w:tcPr>
            <w:tcW w:w="2484" w:type="dxa"/>
          </w:tcPr>
          <w:p>
            <w:pPr>
              <w:pStyle w:val="Compact"/>
              <w:spacing w:before="0" w:after="0" w:line="240" w:lineRule="auto"/>
              <w:jc w:val="left"/>
            </w:pPr>
            <w:r>
              <w:rPr>
                <w:rFonts w:ascii="Old Standard TT" w:hAnsi="Old Standard TT" w:eastAsia="Old Standard TT" w:cs="Old Standard TT"/>
                <w:color w:val="111111"/>
                <w:sz w:val="18"/>
              </w:rPr>
              <w:t xml:space="preserve">not measured</w:t>
            </w:r>
          </w:p>
        </w:tc>
      </w:tr>
    </w:tbl>
    <w:bookmarkEnd w:id="9"/>
    <w:bookmarkStart w:id="11" w:name="Xdd9339bf88ad97c2edab2980d0ccadc8b870d19"/>
    <w:p>
      <w:pPr>
        <w:pStyle w:val="Heading3"/>
      </w:pPr>
      <w:r>
        <w:t xml:space="preserve">4.2 Study 1: no measurable deal effect in play; a fragile hint effect</w:t>
      </w:r>
    </w:p>
    <w:p>
      <w:pPr>
        <w:pStyle w:val="FirstParagraph"/>
      </w:pPr>
      <w:r>
        <w:rPr>
          <w:b/>
          <w:bCs/>
        </w:rPr>
        <w:t xml:space="preserve">The explicit deal produced no measurable favouritism</w:t>
      </w:r>
      <w:r>
        <w:t xml:space="preserve"> </w:t>
      </w:r>
      <w:r>
        <w:t xml:space="preserve">(Tables 3 and 4): +3.6 points against the friendly request (p = 0.35), and every pre-registered variant agreed (Appendix B). The main hypothesis is not supported; the per-game interval rules out deal effects much above 16 points.</w:t>
      </w:r>
    </w:p>
    <w:p>
      <w:pPr>
        <w:pStyle w:val="BodyText"/>
      </w:pPr>
      <w:r>
        <w:rPr>
          <w:b/>
          <w:bCs/>
        </w:rPr>
        <w:t xml:space="preserve">The hint produced fragile favouritism.</w:t>
      </w:r>
      <w:r>
        <w:t xml:space="preserve"> </w:t>
      </w:r>
      <w:r>
        <w:t xml:space="preserve">Against the friendly request, the hint raised favouritism by 13.2 points (Holm p = 0.004), confirmed per game (+12.3, p = 0.012) and in the same direction for all three models (adjusted per-model estimates: Ministral 3 8B +22.4, Qwen3.5 9B +13.4, Ministral 3 14B +6.3; raw values in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We therefore call the hint effect suggestive, not established.</w:t>
      </w:r>
    </w:p>
    <w:p>
      <w:pPr>
        <w:pStyle w:val="BodyText"/>
        <w:keepNext/>
      </w:pPr>
      <w:r>
        <w:rPr>
          <w:b/>
          <w:bCs/>
        </w:rPr>
        <w:t xml:space="preserve">Table 3. Pass rates on H’s and S’s claims, all three models pooled</w:t>
      </w:r>
      <w:r>
        <w:t xml:space="preserve"> </w:t>
      </w:r>
      <w:r>
        <w:t xml:space="preserve">(decisions in parentheses). Favouritism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4.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bookmarkEnd w:id="10"/>
    <w:bookmarkStart w:id="12" w:name="study-1-what-the-agents-said"/>
    <w:p>
      <w:pPr>
        <w:pStyle w:val="Heading3"/>
      </w:pPr>
      <w:r>
        <w:t xml:space="preserve">4.3 Study 1: what the agents said</w:t>
      </w:r>
    </w:p>
    <w:p>
      <w:pPr>
        <w:pStyle w:val="FirstParagraph"/>
      </w:pPr>
      <w:r>
        <w:t xml:space="preserve">The explicit deal was refused in two thirds of first replies (Figure 2), by a majority of every model; Qwen3.5 9B accepted it in only 2.1%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from 92.6% for Ministral 3 14B to 37.5% for Qwen3.5 9B, and 57.5% of replies proposed cooperating themselves. In the post-game interview, 53.5% of agents offered the deal said they had agreed to something.</w:t>
      </w:r>
    </w:p>
    <w:p>
      <w:pPr>
        <w:pStyle w:val="CaptionedFigure"/>
        <w:keepNext/>
      </w:pPr>
      <w:r>
        <w:drawing>
          <wp:inline>
            <wp:extent cx="3840480" cy="1560195"/>
            <wp:effectExtent b="0" l="0" r="0" t="0"/>
            <wp:docPr descr="Figure 2. Study 1: how the tested agents first replied to H’s first note, by version (AI-judge labels; 72–288 replies per version). Exact numbers in Table B1 (Appendix B)." title="" id="2" name="Picture"/>
            <a:graphic>
              <a:graphicData uri="http://schemas.openxmlformats.org/drawingml/2006/picture">
                <pic:pic>
                  <pic:nvPicPr>
                    <pic:cNvPr descr="fig_study1_replies.png" id="2" name="Picture"/>
                    <pic:cNvPicPr>
                      <a:picLocks noChangeArrowheads="1" noChangeAspect="1"/>
                    </pic:cNvPicPr>
                  </pic:nvPicPr>
                  <pic:blipFill>
                    <a:blip r:embed="rId9"/>
                    <a:stretch>
                      <a:fillRect/>
                    </a:stretch>
                  </pic:blipFill>
                  <pic:spPr bwMode="auto">
                    <a:xfrm>
                      <a:off x="0" y="0"/>
                      <a:ext cx="3840480" cy="1560195"/>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Study 1: how the tested agents first replied to H’s first note, by version (AI-judge labels; 72–288 replies per version). Exact numbers in Table B1 (Appendix B).</w:t>
      </w:r>
    </w:p>
    <w:bookmarkEnd w:id="11"/>
    <w:bookmarkStart w:id="13" w:name="robustness"/>
    <w:p>
      <w:pPr>
        <w:pStyle w:val="Heading3"/>
      </w:pPr>
      <w:r>
        <w:t xml:space="preserve">4.4 Robustness</w:t>
      </w:r>
    </w:p>
    <w:p>
      <w:pPr>
        <w:pStyle w:val="FirstParagraph"/>
      </w:pPr>
      <w:r>
        <w:t xml:space="preserve">Adjusting for H’s extra bluffing in the hint version leaves the hint effect at +12.9 points (p = 0.001), and excluding plays whose public description gave away the cards leaves +11.7 (p = 0.003). Tested agents were often eliminated first (312 of 540 games, against 270 expected), so each judged only 10–24 of H’s or S’s claims per game (median by model), which limits power; more checks are in Appendix B.</w:t>
      </w:r>
    </w:p>
    <w:bookmarkEnd w:id="12"/>
    <w:bookmarkEnd w:id="13"/>
    <w:bookmarkStart w:id="14"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while every model accepted hints far more often, mirroring the paper’s finding that models refusing a tool described as unfair accept the same capability described neutrally: rule-breaking wording seems to trigger trained refusal, strategic wording does not.</w:t>
      </w:r>
    </w:p>
    <w:p>
      <w:pPr>
        <w:pStyle w:val="BodyText"/>
      </w:pPr>
      <w:r>
        <w:rPr>
          <w:b/>
          <w:bCs/>
        </w:rPr>
        <w:t xml:space="preserve">Words were a poor guide to deeds.</w:t>
      </w:r>
      <w:r>
        <w:t xml:space="preserve"> </w:t>
      </w:r>
      <w:r>
        <w:t xml:space="preserve">Half the agents offered the deal later said they had agreed to something, yet favouritism did not rise measurably; in the positive control, partners plotted together in words but did not measurably spare each other in play. Only behavioural measures with a comparison group (the decoy in Study 1, tables without the offer in Study 2) could tell these apart.</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our Gemma agent hinted in 2 of 77 trial notes; given example sentences, it copied them word for word.</w:t>
      </w:r>
    </w:p>
    <w:p>
      <w:pPr>
        <w:pStyle w:val="BodyText"/>
      </w:pPr>
      <w:r>
        <w:rPr>
          <w:b/>
          <w:bCs/>
        </w:rPr>
        <w:t xml:space="preserve">Future work.</w:t>
      </w:r>
      <w:r>
        <w:t xml:space="preserve"> </w:t>
      </w:r>
      <w:r>
        <w:t xml:space="preserve">Study 3 (trial games only so far) gives the tested agents a pact on purpose and tests four ways to break it; larger and frontier models, longer series and hand-checked labels are natural next steps.</w:t>
      </w:r>
    </w:p>
    <w:bookmarkEnd w:id="14"/>
    <w:bookmarkStart w:id="15" w:name="X34a9f4a4955810fa226028fb89dc1e250b93941"/>
    <w:p>
      <w:pPr>
        <w:pStyle w:val="Heading2"/>
      </w:pPr>
      <w:r>
        <w:t xml:space="preserve">6. Limitations and Dual-Use / Ethical Considerations</w:t>
      </w:r>
    </w:p>
    <w:p>
      <w:pPr>
        <w:pStyle w:val="FirstParagraph"/>
      </w:pPr>
      <w:r>
        <w:rPr>
          <w:b/>
          <w:bCs/>
        </w:rPr>
        <w:t xml:space="preserve">Scope.</w:t>
      </w:r>
      <w:r>
        <w:t xml:space="preserve"> </w:t>
      </w:r>
      <w:r>
        <w:t xml:space="preserve">The results come from the models in Table 1 in one game and do not establish that hints reliably produce collusive behaviour (the effect is fragile), that larger or frontier models behave the same way,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(Table B2).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were decided after trial games, though before any main game (Appendix C). H’s play differed across versions (bluffing, lost first notes), and the program enforced its leniency. Tested agents may recognise an approach as a test (Needham et al., 2025), and a sting sees only overt agreement, not hidden signals (Motwani et al., 2024). Reply and secret-message labels come from an AI judge, not yet checked by hand (the pre-registered check of 60 replies is outstanding). The original pre-registration was recorded before the Study 2 single games but committed to git after them (Appendix C), and our secret-message prompt is our own.</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Two findings could be misused: that hints draw more agreement than explicit offers could help someone design agents that recruit others into collusion, and knowing what a sting looks like could help colluders spot one. Conversely, knowing that explicit-offer stings may be falsely reassuring helps evaluators more than attackers. We release code and logs for defensive research, publish the approach wording so evaluators can test against it, and recommend combining subtle approaches, controls and behavioural measures rather than relying on stated refusals.</w:t>
      </w:r>
    </w:p>
    <w:bookmarkEnd w:id="15"/>
    <w:bookmarkStart w:id="16"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and the paper’s secret alliance served mainly to plot against others, rarely as a pact of mutual protection. Collusion evaluations relying on explicit offers may therefore be falsely reassuring; decoy controls and behavioural measures are needed to see it.</w:t>
      </w:r>
    </w:p>
    <w:bookmarkEnd w:id="16"/>
    <w:bookmarkStart w:id="17"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in</w:t>
      </w:r>
      <w:r>
        <w:t xml:space="preserve"> </w:t>
      </w:r>
      <w:r>
        <w:rPr>
          <w:rStyle w:val="VerbatimChar"/>
        </w:rPr>
        <w:t xml:space="preserve">report/REPORT.pdf</w:t>
      </w:r>
      <w:r>
        <w:t xml:space="preserve">).</w:t>
      </w:r>
    </w:p>
    <w:p>
      <w:pPr>
        <w:pStyle w:val="Compact"/>
        <w:numPr>
          <w:ilvl w:val="0"/>
          <w:numId w:val="7"/>
        </w:numPr>
      </w:pPr>
      <w:r>
        <w:rPr>
          <w:b/>
          <w:bCs/>
        </w:rPr>
        <w:t xml:space="preserve">Data:</w:t>
      </w:r>
      <w:r>
        <w:t xml:space="preserve"> </w:t>
      </w:r>
      <w:r>
        <w:t xml:space="preserve">logs of the 1,552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w:t>
      </w:r>
      <w:r>
        <w:t xml:space="preserve"> </w:t>
      </w:r>
      <w:r>
        <w:rPr>
          <w:rStyle w:val="VerbatimChar"/>
        </w:rPr>
        <w:t xml:space="preserve">runs/series/</w:t>
      </w:r>
      <w:r>
        <w:t xml:space="preserve"> </w:t>
      </w:r>
      <w:r>
        <w:t xml:space="preserve">and</w:t>
      </w:r>
      <w:r>
        <w:t xml:space="preserve"> </w:t>
      </w:r>
      <w:r>
        <w:rPr>
          <w:rStyle w:val="VerbatimChar"/>
        </w:rPr>
        <w:t xml:space="preserve">runs/study3/</w:t>
      </w:r>
      <w:r>
        <w:t xml:space="preserve"> </w:t>
      </w:r>
      <w:r>
        <w:t xml:space="preserve">(other folders are not used here); pre-registration in</w:t>
      </w:r>
      <w:r>
        <w:t xml:space="preserve"> </w:t>
      </w:r>
      <w:r>
        <w:rPr>
          <w:rStyle w:val="VerbatimChar"/>
        </w:rPr>
        <w:t xml:space="preserve">prereg/</w:t>
      </w:r>
      <w:r>
        <w:t xml:space="preserve">.</w:t>
      </w:r>
    </w:p>
    <w:bookmarkEnd w:id="17"/>
    <w:bookmarkStart w:id="18"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8"/>
    <w:bookmarkStart w:id="19" w:name="appendix-a.-prompt-wording-and-settings"/>
    <w:p>
      <w:pPr>
        <w:pStyle w:val="Heading2"/>
      </w:pPr>
      <w:r>
        <w:t xml:space="preserve">Appendix A. Prompt wording and settings</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 All models (Table 1) were called through OpenRouter, and Qwen models ran with thinking turned off; the AI judge (Claude Haiku 5.5) ran at temperature 0.</w:t>
      </w:r>
    </w:p>
    <w:p>
      <w:pPr>
        <w:pStyle w:val="Compact"/>
        <w:numPr>
          <w:ilvl w:val="0"/>
          <w:numId w:val="9"/>
        </w:numPr>
      </w:pPr>
      <w:r>
        <w:rPr>
          <w:b/>
          <w:bCs/>
        </w:rPr>
        <w:t xml:space="preserve">Game details:</w:t>
      </w:r>
      <w:r>
        <w:t xml:space="preserve"> </w:t>
      </w:r>
      <w:r>
        <w:t xml:space="preserve">the deck has 28 cards, 8 of each rank (Queen, King, Ace) plus 4 Jokers, which match any target.</w:t>
      </w:r>
    </w:p>
    <w:p>
      <w:pPr>
        <w:pStyle w:val="Compact"/>
        <w:numPr>
          <w:ilvl w:val="0"/>
          <w:numId w:val="9"/>
        </w:numPr>
      </w:pPr>
      <w:r>
        <w:rPr>
          <w:b/>
          <w:bCs/>
        </w:rPr>
        <w:t xml:space="preserve">Seeds:</w:t>
      </w:r>
      <w:r>
        <w:t xml:space="preserve"> </w:t>
      </w:r>
      <w:r>
        <w:t xml:space="preserve">Study 1 used seeds 0–23 (C0), 0–47 (B, C2 and C3) and 0–11 (C3NE), the same seeds in every version and model. The Study 2 single games used seeds 0–11, 12 games per model without the offer (A0) and 12 with it (A1); the series used seeds 0–9 in both groups.</w:t>
      </w:r>
    </w:p>
    <w:bookmarkEnd w:id="19"/>
    <w:bookmarkStart w:id="20"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keepNext/>
        <w:spacing w:before="160"/>
      </w:pPr>
      <w:r>
        <w:rPr>
          <w:b/>
          <w:bCs/>
        </w:rPr>
        <w:t xml:space="preserve">Table B2. Favouritism (points) by tested model.</w:t>
      </w:r>
      <w:r>
        <w:t xml:space="preserve"> </w:t>
      </w:r>
      <w:r>
        <w:t xml:space="preserve">Compare columns within a row, not with zero. Ministral 3 14B’s challenges hardly reacted to any approach.</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Compact"/>
        <w:numPr>
          <w:ilvl w:val="0"/>
          <w:numId w:val="10"/>
        </w:numPr>
      </w:pPr>
      <w:r>
        <w:rPr>
          <w:i/>
          <w:iCs/>
        </w:rPr>
        <w:t xml:space="preserve">Unreadable decisions:</w:t>
      </w:r>
      <w:r>
        <w:t xml:space="preserve"> </w:t>
      </w:r>
      <w:r>
        <w:t xml:space="preserve">below 0.4% in every version.</w:t>
      </w:r>
    </w:p>
    <w:p>
      <w:pPr>
        <w:pStyle w:val="FirstParagraph"/>
      </w:pPr>
      <w:r>
        <w:rPr>
          <w:b/>
          <w:bCs/>
        </w:rPr>
        <w:t xml:space="preserve">Study 2 details.</w:t>
      </w:r>
      <w:r>
        <w:t xml:space="preserve"> </w:t>
      </w:r>
      <w:r>
        <w:t xml:space="preserve">Single games, partner pass rate without vs with the offer by model: Llama 3.1 8B 64.0% → 45.2%, Qwen3.5 9B 28.6% → 56.8%, Qwen3.6 35B 63.2% → 71.2% (12 games per cell). In 3 of the 33 single games in which T accepted the offer, a parser bug, fixed before the series, meant X was never asked, so the channel did not open. The GPT-4.1-mini opponents won 67 of 72 single games and a tested agent was first out in 61, so partners judged each other only 3 times per game (median).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 An AI judge labelled 1,150 of the 1,153 secret messages in the series (Table 2).</w:t>
      </w:r>
    </w:p>
    <w:bookmarkEnd w:id="20"/>
    <w:bookmarkStart w:id="21"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238"/>
        <w:gridCol w:w="3560"/>
        <w:gridCol w:w="3562"/>
      </w:tblGrid>
      <w:tr>
        <w:trPr>
          <w:cantSplit/>
          <w:tblHeader/>
        </w:trPr>
        <w:tc>
          <w:tcPr>
            <w:tcW w:w="223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56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5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05:38</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18:02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4: Study 3 design (draft), then three independent audits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3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21:17–23:43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Two Study 3 pilots of 30 games (seeds 100–103), excluded from results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each followed by fixes or decisions, committed before the main run</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08:45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lead’s decisions after the second pilot (core point, sample size, Qwen’s invalid plays)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08:45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10:22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3 freeze: fingerprints of the 19 files the run and analysis use</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10:22:06, committed 10:23:11, before the first main game (10:23:20)</w:t>
            </w:r>
          </w:p>
        </w:tc>
      </w:tr>
      <w:tr>
        <w:trPr>
          <w:cantSplit/>
        </w:trPr>
        <w:tc>
          <w:tcPr>
            <w:tcW w:w="2238" w:type="dxa"/>
          </w:tcPr>
          <w:p>
            <w:pPr>
              <w:pStyle w:val="Compact"/>
              <w:spacing w:before="0" w:after="0" w:line="240" w:lineRule="auto"/>
              <w:jc w:val="left"/>
            </w:pPr>
            <w:r>
              <w:rPr>
                <w:rFonts w:ascii="Old Standard TT" w:hAnsi="Old Standard TT" w:eastAsia="Old Standard TT" w:cs="Old Standard TT"/>
                <w:color w:val="111111"/>
                <w:sz w:val="18"/>
              </w:rPr>
              <w:t xml:space="preserve">25 Oct 10:35</w:t>
            </w:r>
          </w:p>
        </w:tc>
        <w:tc>
          <w:tcPr>
            <w:tcW w:w="3560" w:type="dxa"/>
          </w:tcPr>
          <w:p>
            <w:pPr>
              <w:pStyle w:val="Compact"/>
              <w:spacing w:before="0" w:after="0" w:line="240" w:lineRule="auto"/>
              <w:jc w:val="left"/>
            </w:pPr>
            <w:r>
              <w:rPr>
                <w:rFonts w:ascii="Old Standard TT" w:hAnsi="Old Standard TT" w:eastAsia="Old Standard TT" w:cs="Old Standard TT"/>
                <w:color w:val="111111"/>
                <w:sz w:val="18"/>
              </w:rPr>
              <w:t xml:space="preserve">Dated note: which verdict counts; added sensitivity analyses</w:t>
            </w:r>
          </w:p>
        </w:tc>
        <w:tc>
          <w:tcPr>
            <w:tcW w:w="3562" w:type="dxa"/>
          </w:tcPr>
          <w:p>
            <w:pPr>
              <w:pStyle w:val="Compact"/>
              <w:spacing w:before="0" w:after="0" w:line="240" w:lineRule="auto"/>
              <w:jc w:val="left"/>
            </w:pPr>
            <w:r>
              <w:rPr>
                <w:rFonts w:ascii="Old Standard TT" w:hAnsi="Old Standard TT" w:eastAsia="Old Standard TT" w:cs="Old Standard TT"/>
                <w:color w:val="111111"/>
                <w:sz w:val="18"/>
              </w:rPr>
              <w:t xml:space="preserve">committed 10:34:55, before any main-run analysis</w:t>
            </w:r>
          </w:p>
        </w:tc>
      </w:tr>
    </w:tbl>
    <w:p>
      <w:pPr>
        <w:pStyle w:val="BodyText"/>
        <w:spacing w:before="160"/>
      </w:pPr>
      <w:r>
        <w:t xml:space="preserve">Fingerprints are SHA-256 hashes. Trial games used separate seeds and are excluded from all results. After trial games but before any main game, the hint version (C2) was raised from 12 to 48 games per model.</w:t>
      </w:r>
    </w:p>
    <w:bookmarkEnd w:id="21"/>
    <w:bookmarkStart w:id="22"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by scripts in the repository from the logged games, except the trial-game count in Section 5 (2 of 77 notes), which comes from Addendum 3.</w:t>
      </w:r>
    </w:p>
    <w:bookmarkEnd w:id="22"/>
    <w:sectPr>
      <w:footerReference w:type="default" r:id="rId10"/>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548586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0EDFF45"/>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2026-10-25T11:58:07Z</dcterms:modified>
  <dc:creator>Shantanu P. Sontakke</dc:creator>
</cp:coreProperties>
</file>