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架构评审纪要（机密）</w:t>
      </w:r>
    </w:p>
    <w:p>
      <w:r>
        <w:t>会议时间：2026-09-18。参与人：架构组、DBA、运维负责人、研发经理。</w:t>
      </w:r>
    </w:p>
    <w:p>
      <w:pPr>
        <w:pStyle w:val="Heading2"/>
      </w:pPr>
      <w:r>
        <w:t>一、背景</w:t>
      </w:r>
    </w:p>
    <w:p>
      <w:r>
        <w:t>现网使用 PostgreSQL 14 单主实例，峰值 QPS 约 3200，连接数峰值 850。按业务增长预测，明年峰值将增长 2.2 倍，现有实例和连接池配置无法支撑。</w:t>
      </w:r>
    </w:p>
    <w:p>
      <w:pPr>
        <w:pStyle w:val="Heading2"/>
      </w:pPr>
      <w:r>
        <w:t>二、数据库选型对比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方案</w:t>
            </w:r>
          </w:p>
        </w:tc>
        <w:tc>
          <w:tcPr>
            <w:tcW w:type="dxa" w:w="2160"/>
          </w:tcPr>
          <w:p>
            <w:r>
              <w:t>优点</w:t>
            </w:r>
          </w:p>
        </w:tc>
        <w:tc>
          <w:tcPr>
            <w:tcW w:type="dxa" w:w="2160"/>
          </w:tcPr>
          <w:p>
            <w:r>
              <w:t>缺点</w:t>
            </w:r>
          </w:p>
        </w:tc>
        <w:tc>
          <w:tcPr>
            <w:tcW w:type="dxa" w:w="2160"/>
          </w:tcPr>
          <w:p>
            <w:r>
              <w:t>结论</w:t>
            </w:r>
          </w:p>
        </w:tc>
      </w:tr>
      <w:tr>
        <w:tc>
          <w:tcPr>
            <w:tcW w:type="dxa" w:w="2160"/>
          </w:tcPr>
          <w:p>
            <w:r>
              <w:t>PostgreSQL 16 主从</w:t>
            </w:r>
          </w:p>
        </w:tc>
        <w:tc>
          <w:tcPr>
            <w:tcW w:type="dxa" w:w="2160"/>
          </w:tcPr>
          <w:p>
            <w:r>
              <w:t>迁移成本低，团队熟悉</w:t>
            </w:r>
          </w:p>
        </w:tc>
        <w:tc>
          <w:tcPr>
            <w:tcW w:type="dxa" w:w="2160"/>
          </w:tcPr>
          <w:p>
            <w:r>
              <w:t>写扩展有限</w:t>
            </w:r>
          </w:p>
        </w:tc>
        <w:tc>
          <w:tcPr>
            <w:tcW w:type="dxa" w:w="2160"/>
          </w:tcPr>
          <w:p>
            <w:r>
              <w:t>首选</w:t>
            </w:r>
          </w:p>
        </w:tc>
      </w:tr>
      <w:tr>
        <w:tc>
          <w:tcPr>
            <w:tcW w:type="dxa" w:w="2160"/>
          </w:tcPr>
          <w:p>
            <w:r>
              <w:t>MySQL 8 分库分表</w:t>
            </w:r>
          </w:p>
        </w:tc>
        <w:tc>
          <w:tcPr>
            <w:tcW w:type="dxa" w:w="2160"/>
          </w:tcPr>
          <w:p>
            <w:r>
              <w:t>写扩展好</w:t>
            </w:r>
          </w:p>
        </w:tc>
        <w:tc>
          <w:tcPr>
            <w:tcW w:type="dxa" w:w="2160"/>
          </w:tcPr>
          <w:p>
            <w:r>
              <w:t>改造量大，事务语义变化</w:t>
            </w:r>
          </w:p>
        </w:tc>
        <w:tc>
          <w:tcPr>
            <w:tcW w:type="dxa" w:w="2160"/>
          </w:tcPr>
          <w:p>
            <w:r>
              <w:t>备选</w:t>
            </w:r>
          </w:p>
        </w:tc>
      </w:tr>
      <w:tr>
        <w:tc>
          <w:tcPr>
            <w:tcW w:type="dxa" w:w="2160"/>
          </w:tcPr>
          <w:p>
            <w:r>
              <w:t>自研分库中间件</w:t>
            </w:r>
          </w:p>
        </w:tc>
        <w:tc>
          <w:tcPr>
            <w:tcW w:type="dxa" w:w="2160"/>
          </w:tcPr>
          <w:p>
            <w:r>
              <w:t>灵活</w:t>
            </w:r>
          </w:p>
        </w:tc>
        <w:tc>
          <w:tcPr>
            <w:tcW w:type="dxa" w:w="2160"/>
          </w:tcPr>
          <w:p>
            <w:r>
              <w:t>维护成本高</w:t>
            </w:r>
          </w:p>
        </w:tc>
        <w:tc>
          <w:tcPr>
            <w:tcW w:type="dxa" w:w="2160"/>
          </w:tcPr>
          <w:p>
            <w:r>
              <w:t>暂不采用</w:t>
            </w:r>
          </w:p>
        </w:tc>
      </w:tr>
    </w:tbl>
    <w:p>
      <w:pPr>
        <w:pStyle w:val="Heading2"/>
      </w:pPr>
      <w:r>
        <w:t>三、容量评估</w:t>
      </w:r>
    </w:p>
    <w:p>
      <w:r>
        <w:t>按 2.2 倍增长估算，明年峰值 QPS 约 7000，连接数约 1800。建议将 max_connections 调整为 1200，并引入 pgbouncer 做连接复用，应用侧连接池上限统一下调。</w:t>
      </w:r>
    </w:p>
    <w:p>
      <w:pPr>
        <w:pStyle w:val="Heading2"/>
      </w:pPr>
      <w:r>
        <w:t>四、风险与未决事项</w:t>
      </w:r>
    </w:p>
    <w:p>
      <w:r>
        <w:t>迁移窗口需要与财务月结错开；双写期间要重点关注数据一致性；连接池参数需要重新压测，避免连接池耗尽。灾备切换演练尚未排期。</w:t>
      </w:r>
    </w:p>
    <w:p>
      <w:pPr>
        <w:pStyle w:val="Heading2"/>
      </w:pPr>
      <w:r>
        <w:t>五、迁移计划</w:t>
      </w:r>
    </w:p>
    <w:p>
      <w:r>
        <w:t>Q4 完成双写和回滚预案，Q1 切换读流量，Q2 下线旧库。每个阶段都需要灰度，并保留至少 7 天可回滚窗口。</w:t>
      </w:r>
    </w:p>
    <w:p>
      <w:pPr>
        <w:pStyle w:val="Heading2"/>
      </w:pPr>
      <w:r>
        <w:t>六、决议</w:t>
      </w:r>
    </w:p>
    <w:p>
      <w:r>
        <w:t>采用 PostgreSQL 16 主从方案，由 DBA 牵头在 10 月底前完成压测报告；运维负责 pgbouncer 接入和连接池基线；研发负责双写改造。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