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CC266">
      <w:pPr>
        <w:ind w:left="0" w:leftChars="0" w:firstLine="0" w:firstLineChars="0"/>
      </w:pPr>
      <w:r>
        <w:br w:type="page"/>
      </w:r>
    </w:p>
    <w:p w14:paraId="10762046">
      <w:pPr>
        <w:pStyle w:val="3"/>
        <w:pBdr>
          <w:left w:val="single" w:color="C99A16" w:sz="18" w:space="8"/>
        </w:pBdr>
        <w:ind w:firstLine="0"/>
      </w:pPr>
      <w:r>
        <w:t>概览</w:t>
      </w:r>
    </w:p>
    <w:p w14:paraId="1BE44193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随着保险资管行业市场化程度不断提高，监管自律政策持续出台，手工补息叫停后，传统存款类资产收益水平已不如以往，机构之间的竞争重点也逐步转向主动管理能力。</w:t>
      </w:r>
    </w:p>
    <w:p w14:paraId="756CC68C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在这一背景下，机构投资人对组合类产品的关注，已经不再停留于产品能否成立、能否正常运作，而是进一步延伸至投资策略是否清晰、收益来源是否可解释、风险暴露是否可识别、投后信息是否及时完整等方面。</w:t>
      </w:r>
    </w:p>
    <w:p w14:paraId="5B17C55A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我司市场化第三方组合类业务起步相对较晚，长期实盘业绩仍需持续积累。因此，在坚持专业投资能力为核心、人工决策和人工审核为前提的基础上，我司希望以主动管理能力建设为抓手，逐步形成产品差异化优势。</w:t>
      </w:r>
    </w:p>
    <w:p w14:paraId="3D92E1B6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中邮资管注册资本5亿元，为中邮人寿全资设立的专业保险资产管理机构；截至2026年6月末，公司资产管理规模7,446亿元，2026年上半年受托管理中邮保险资金实现年化财务收益率4.00%、年化综合收益率5.30%。本报告介绍公司取得组合类保险资产管理产品发行资格以来，三方业务从起步到规模化发展的整体情况，围绕业务规模、产品体系、投资管理能力、运营服务能力及综合业务协同展开，重点展示公司如何将既有保险资金管理能力转化为面向银行、理财、保险及保险资管机构的标准化和定制化产品服务。</w:t>
      </w:r>
    </w:p>
    <w:p w14:paraId="51C9C34C">
      <w:pPr>
        <w:pStyle w:val="3"/>
        <w:pBdr>
          <w:left w:val="single" w:color="C99A16" w:sz="18" w:space="8"/>
        </w:pBdr>
        <w:ind w:firstLine="0"/>
      </w:pPr>
      <w:r>
        <w:t>一、业务发展概况</w:t>
      </w:r>
    </w:p>
    <w:p w14:paraId="19A0DD1D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中邮资管于2025年取得组合类保险资产管理产品发行资格，2025年8月开始展业。进入2026年后，产品发行和资金募集明显提速，产品数量、管理规模和管理费收入均实现明显提升。</w:t>
      </w:r>
    </w:p>
    <w:p w14:paraId="419DB007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从资金来源看，三方资金已成为组合类产品的主要增量来源；从产品供给看，公司由初期以摊余成本法固收产品为主，逐步扩展至市值法固收、现金管理、混合、权益及量化策略；从运营支撑看，募集开户、托管准入、估值核算、穿透披露和客户持续服务已形成可批量承接的流程。</w:t>
      </w:r>
    </w:p>
    <w:p w14:paraId="3C7BCA02">
      <w:pPr>
        <w:pStyle w:val="4"/>
        <w:numPr>
          <w:ilvl w:val="0"/>
          <w:numId w:val="7"/>
        </w:numPr>
        <w:ind w:firstLine="0"/>
      </w:pPr>
      <w:r>
        <w:t xml:space="preserve">规模增长与行业比较</w:t>
      </w:r>
    </w:p>
    <w:p w14:paraId="11621AEF">
      <w:pPr>
        <w:numPr>
          <w:ilvl w:val="0"/>
          <w:numId w:val="0"/>
        </w:numPr>
        <w:jc w:val="left"/>
        <w:rPr>
          <w:rFonts w:hint="eastAsia" w:eastAsia="PingFang SC"/>
          <w:lang w:eastAsia="zh-CN"/>
        </w:rPr>
      </w:pPr>
      <w:r>
        <w:rPr>
          <w:rFonts w:ascii="Arial" w:hAnsi="Arial" w:eastAsia="PingFang SC" w:cs="Arial"/>
        </w:rPr>
        <w:drawing>
          <wp:inline distT="0" distB="0" distL="114300" distR="114300">
            <wp:extent cx="6368415" cy="2299970"/>
            <wp:effectExtent l="0" t="0" r="6985" b="1143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2299">
      <w:pPr>
        <w:pStyle w:val="15"/>
      </w:pPr>
      <w:r>
        <w:t>图1  组合类业务产品数量与管理规模增长</w:t>
      </w:r>
    </w:p>
    <w:p w14:paraId="415204D1">
      <w:pPr>
        <w:rPr>
          <w:rFonts w:ascii="PingFang SC" w:hAnsi="PingFang SC" w:eastAsia="PingFang SC" w:cs="PingFang SC"/>
          <w:color w:val="231815"/>
          <w:sz w:val="21"/>
          <w:szCs w:val="21"/>
        </w:rPr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中保登组合行情月度报告显示，2025年8月末，我司有1只未终止产品、管理规模0.30亿元；2025年12月已增至16只、80.09亿元；2026年6月进一步增至34只、243.71亿元。截至2026年8月6日，实际运作产品达到42只、管理规模307.09亿元。</w:t>
      </w:r>
    </w:p>
    <w:p w14:paraId="4D198A6D">
      <w:r>
        <w:t xml:space="preserve">从业务发展节奏看，我司于2025年8月正式展业，2025年10月起集中筹备产品架构和备案基础工作，为2026年初“开门红”阶段实现首单备案和后续产品发行打下基础；2026年1月至5月初，机构客户对摊余类产品的配置需求集中释放，我司较好承接了这一市场窗口，产品备案、资金落地和建仓运作明显提速。整体来看，我司组合类业务在较短时间内完成了从初步展业、产品建壳、首单备案到规模快速增长的阶段性突破，产品数量和管理规模均实现了较快提升。</w:t>
      </w:r>
    </w:p>
    <w:p w14:paraId="29519F42">
      <w:pPr>
        <w:pStyle w:val="15"/>
      </w:pPr>
      <w:r>
        <w:t>图2  行业与我司组合类业务同口径比较</w:t>
      </w:r>
    </w:p>
    <w:p w14:paraId="60506FDB">
      <w:r>
        <w:rPr>
          <w:rFonts w:hint="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32385</wp:posOffset>
            </wp:positionV>
            <wp:extent cx="6367780" cy="3582035"/>
            <wp:effectExtent l="0" t="0" r="7620" b="24765"/>
            <wp:wrapSquare wrapText="bothSides"/>
            <wp:docPr id="3" name="图片 3" descr="同口径比较_中保登与公司台账双轨可视化_v04_透明背景_2026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同口径比较_中保登与公司台账双轨可视化_v04_透明背景_202608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同口径比较看，2025年8月至2026年6月，行业未终止组合类产品数量由3,208只增至3,883只、增长21.0%，行业净资产规模由57,180.40亿元降至52,479.66亿元、下降8.2%。同期，我司产品数量由1只增至34只，管理规模由0.30亿元增至243.71亿元。若以2025年末为更具可比性的阶段基期，截至2026年8月6日，我司产品数量由16只增至42只、增长162.5%，管理规模由80.09亿元增至307.09亿元、增长283.4%；较2026年6月末分别增长23.5%和26.0%。</w:t>
      </w:r>
    </w:p>
    <w:p w14:paraId="42CDB612">
      <w:r>
        <w:t xml:space="preserve">行业规模阶段性回落，主要受部分头部保险资管存量货币类、短久期类产品陆续到期或压降影响，并不代表组合类产品需求整体收缩；与此同时，随着传统高收益资产减少和机构投资人对主动管理能力要求提升，管理人也开始更多布局主动管理型产品。我司在行业整体规模回落的背景下实现了产品数量、管理规模和行业占比的同步提升，说明前期产品线布局、备案准备和市场窗口承接取得了较为明显的阶段性成效。</w:t>
      </w:r>
    </w:p>
    <w:p w14:paraId="19E180A8">
      <w:pPr>
        <w:pStyle w:val="3"/>
        <w:pBdr>
          <w:left w:val="single" w:color="C99A16" w:sz="18" w:space="8"/>
        </w:pBdr>
        <w:ind w:firstLine="0"/>
      </w:pPr>
      <w:r>
        <w:rPr>
          <w:rFonts w:hint="eastAsia"/>
          <w:lang w:val="en-US" w:eastAsia="zh-CN"/>
        </w:rPr>
        <w:t xml:space="preserve">二、产品线布局</w:t>
      </w:r>
    </w:p>
    <w:p w14:paraId="085048BD">
      <w:pPr>
        <w:pStyle w:val="4"/>
        <w:ind w:firstLine="0"/>
      </w:pPr>
      <w:r>
        <w:t>（一）产品</w:t>
      </w:r>
      <w:r>
        <w:rPr>
          <w:rFonts w:hint="eastAsia"/>
          <w:lang w:val="en-US" w:eastAsia="zh-CN"/>
        </w:rPr>
        <w:t>线</w:t>
      </w:r>
      <w:r>
        <w:t>供给</w:t>
      </w:r>
    </w:p>
    <w:p w14:paraId="49F81B54">
      <w:pPr>
        <w:keepNext w:val="0"/>
        <w:keepLines w:val="0"/>
        <w:widowControl/>
        <w:suppressLineNumbers w:val="0"/>
        <w:jc w:val="left"/>
        <w:rPr>
          <w:rFonts w:hint="eastAsia" w:eastAsia="PingFang SC"/>
          <w:lang w:eastAsia="zh-CN"/>
        </w:rPr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从策略结构看，公司实际运作产品已覆盖固定收益、混合、货币和权益四类策略，形成玖泰系列固定收益、玖利系列货币市场、玖锦系列权益，以及价值、红利质量等量化策略产品线。最新产品结构如下：</w:t>
      </w:r>
      <w:r>
        <w:rPr>
          <w:rFonts w:ascii="PingFang SC" w:hAnsi="PingFang SC" w:eastAsia="PingFang SC" w:cs="PingFang SC"/>
          <w:color w:val="231815"/>
          <w:sz w:val="21"/>
          <w:szCs w:val="21"/>
        </w:rPr>
        <w:br w:type="textWrapping"/>
      </w:r>
      <w:r>
        <w:rPr>
          <w:rFonts w:ascii="宋体" w:hAnsi="宋体" w:eastAsia="宋体" w:cs="宋体"/>
          <w:color w:val="231815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50330" cy="2257425"/>
            <wp:effectExtent l="0" t="0" r="127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033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ED2E6">
      <w:pPr>
        <w:pStyle w:val="15"/>
        <w:rPr>
          <w:rStyle w:val="140"/>
          <w:rFonts w:hint="eastAsia" w:ascii="PingFang SC Semibold" w:hAnsi="PingFang SC Semibold" w:eastAsia="PingFang SC Semibold" w:cs="PingFang SC Semibold"/>
          <w:b/>
          <w:bCs w:val="0"/>
          <w:color w:val="auto"/>
        </w:rPr>
      </w:pPr>
      <w:r>
        <w:t>图3  组合类产品存续规模与产品数量结构</w:t>
      </w:r>
    </w:p>
    <w:p w14:paraId="0E92D2A8">
      <w:r>
        <w:br w:type="page"/>
      </w:r>
    </w:p>
    <w:p w14:paraId="6EE35E9B">
      <w:pPr>
        <w:spacing w:before="0" w:after="2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A97800"/>
          <w:sz w:val="19"/>
          <w:szCs w:val="19"/>
          <w:lang w:val="zh-CN" w:eastAsia="zh-CN"/>
        </w:rPr>
        <w:t>产品线供给｜产品要素</w:t>
      </w:r>
    </w:p>
    <w:p w14:paraId="09B33A2C">
      <w:pPr>
        <w:keepNext/>
        <w:spacing w:before="0" w:after="4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37"/>
          <w:szCs w:val="37"/>
          <w:lang w:val="zh-CN" w:eastAsia="zh-CN"/>
        </w:rPr>
        <w:t>中邮资管玖泰1号产品</w:t>
      </w:r>
      <w:r>
        <w:rPr>
          <w:rFonts w:hint="eastAsia" w:cs="PingFang SC"/>
          <w:b/>
          <w:bCs/>
          <w:color w:val="261A16"/>
          <w:sz w:val="37"/>
          <w:szCs w:val="37"/>
          <w:lang w:val="en-US" w:eastAsia="zh-CN"/>
        </w:rPr>
        <w:t>要素</w:t>
      </w:r>
    </w:p>
    <w:p w14:paraId="5366FD91">
      <w:pPr>
        <w:spacing w:before="0" w:after="12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8"/>
          <w:szCs w:val="18"/>
          <w:lang w:val="zh-CN" w:eastAsia="zh-CN"/>
        </w:rPr>
        <w:t>固定收益类保险资产管理产品  ·  中短债策略  ·  风险等级 R2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920009F">
        <w:tc>
          <w:tcPr>
            <w:tcW w:w="9412" w:type="dxa"/>
            <w:shd w:val="clear" w:color="auto" w:fill="FAF7F0"/>
            <w:tcMar>
              <w:top w:w="100" w:type="dxa"/>
              <w:left w:w="150" w:type="dxa"/>
              <w:bottom w:w="105" w:type="dxa"/>
              <w:right w:w="150" w:type="dxa"/>
            </w:tcMar>
          </w:tcPr>
          <w:p w14:paraId="09BE5815">
            <w:pPr>
              <w:spacing w:before="0" w:after="4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6"/>
                <w:szCs w:val="16"/>
                <w:lang w:val="zh-CN" w:eastAsia="zh-CN"/>
              </w:rPr>
              <w:t>产品定位</w:t>
            </w:r>
          </w:p>
          <w:p w14:paraId="6361EBC6">
            <w:pPr>
              <w:spacing w:before="0" w:after="0" w:line="26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8"/>
                <w:szCs w:val="18"/>
                <w:lang w:val="zh-CN" w:eastAsia="zh-CN"/>
              </w:rPr>
              <w:t>以中短久期、高等级信用债底仓为基础，兼顾流动性管理与交易增厚，力求产品净值稳健增长。</w:t>
            </w:r>
          </w:p>
        </w:tc>
      </w:tr>
    </w:tbl>
    <w:p w14:paraId="67E622EE">
      <w:pPr>
        <w:keepNext/>
        <w:pBdr>
          <w:left w:val="single" w:color="C99A06" w:sz="18" w:space="7"/>
        </w:pBdr>
        <w:spacing w:before="100" w:after="8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产品信息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single" w:color="E2D6C2" w:sz="6" w:space="0"/>
          <w:insideV w:val="single" w:color="E2D6C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3400"/>
        <w:gridCol w:w="1250"/>
        <w:gridCol w:w="3512"/>
      </w:tblGrid>
      <w:tr w14:paraId="337BDCC0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0720A62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产品名称</w:t>
            </w:r>
          </w:p>
        </w:tc>
        <w:tc>
          <w:tcPr>
            <w:tcW w:w="340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7D1C454A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中邮资管玖泰1号资产管理产品</w:t>
            </w:r>
          </w:p>
        </w:tc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7328DC8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初始面值</w:t>
            </w:r>
          </w:p>
        </w:tc>
        <w:tc>
          <w:tcPr>
            <w:tcW w:w="351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EA475FF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人民币1.00元/份</w:t>
            </w:r>
          </w:p>
        </w:tc>
      </w:tr>
      <w:tr w14:paraId="517F73C3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17A6715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产品类型</w:t>
            </w:r>
          </w:p>
        </w:tc>
        <w:tc>
          <w:tcPr>
            <w:tcW w:w="340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671A8D6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固定收益类保险资产管理产品</w:t>
            </w:r>
          </w:p>
        </w:tc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B68545D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策略类型</w:t>
            </w:r>
          </w:p>
        </w:tc>
        <w:tc>
          <w:tcPr>
            <w:tcW w:w="351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BE77E18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中短债策略</w:t>
            </w:r>
          </w:p>
        </w:tc>
      </w:tr>
      <w:tr w14:paraId="3DC9E92A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C429776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风险等级</w:t>
            </w:r>
          </w:p>
        </w:tc>
        <w:tc>
          <w:tcPr>
            <w:tcW w:w="340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51B9837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R2</w:t>
            </w:r>
          </w:p>
        </w:tc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B88360C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投资范围</w:t>
            </w:r>
          </w:p>
        </w:tc>
        <w:tc>
          <w:tcPr>
            <w:tcW w:w="351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293EB04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存款、同业存单、债券及回购、货币市场基金、公募债券型基金等</w:t>
            </w:r>
          </w:p>
        </w:tc>
      </w:tr>
      <w:tr w14:paraId="3028C41E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7ED10D5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业绩比较基准</w:t>
            </w:r>
          </w:p>
        </w:tc>
        <w:tc>
          <w:tcPr>
            <w:tcW w:w="8162" w:type="dxa"/>
            <w:gridSpan w:val="3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CC7CC78">
            <w:pPr>
              <w:spacing w:before="0" w:after="0" w:line="252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中债总财富（1-3年）指数收益率×80% + 一年期定期存款利率（税后）×20%</w:t>
            </w:r>
          </w:p>
        </w:tc>
      </w:tr>
      <w:tr w14:paraId="7DA61970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0CA6358">
            <w:pPr>
              <w:spacing w:before="0" w:after="0" w:line="240" w:lineRule="auto"/>
              <w:jc w:val="left"/>
              <w:rPr>
                <w:rFonts w:hint="default" w:ascii="PingFang SC" w:hAnsi="PingFang SC" w:eastAsia="PingFang SC" w:cs="PingFang SC"/>
                <w:b w:val="0"/>
                <w:color w:val="A97800"/>
                <w:sz w:val="14"/>
                <w:szCs w:val="14"/>
                <w:lang w:val="en-US" w:eastAsia="zh-CN"/>
              </w:rPr>
            </w:pPr>
            <w:r>
              <w:rPr>
                <w:rFonts w:hint="eastAsia" w:cs="PingFang SC"/>
                <w:b w:val="0"/>
                <w:color w:val="A97800"/>
                <w:sz w:val="14"/>
                <w:szCs w:val="14"/>
                <w:lang w:val="en-US" w:eastAsia="zh-CN"/>
              </w:rPr>
              <w:t>费用</w:t>
            </w:r>
          </w:p>
        </w:tc>
        <w:tc>
          <w:tcPr>
            <w:tcW w:w="8162" w:type="dxa"/>
            <w:gridSpan w:val="3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2BBB799">
            <w:pPr>
              <w:spacing w:before="0" w:after="0" w:line="252" w:lineRule="auto"/>
              <w:jc w:val="left"/>
              <w:rPr>
                <w:rFonts w:hint="default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管理费0.</w:t>
            </w:r>
            <w:r>
              <w:rPr>
                <w:rFonts w:hint="eastAsia" w:cs="PingFang SC"/>
                <w:b/>
                <w:bCs/>
                <w:color w:val="261A16"/>
                <w:sz w:val="17"/>
                <w:szCs w:val="17"/>
                <w:lang w:val="en-US" w:eastAsia="zh-CN"/>
              </w:rPr>
              <w:t>2</w:t>
            </w: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%/年；托管费0.01%/年</w:t>
            </w:r>
          </w:p>
        </w:tc>
      </w:tr>
      <w:tr w14:paraId="59B56A5C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B8410A8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运作方式</w:t>
            </w:r>
          </w:p>
        </w:tc>
        <w:tc>
          <w:tcPr>
            <w:tcW w:w="340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5670987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开放式；每个交易日开放（9:00—15:00）</w:t>
            </w:r>
          </w:p>
        </w:tc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DA6FAB0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存续期</w:t>
            </w:r>
          </w:p>
        </w:tc>
        <w:tc>
          <w:tcPr>
            <w:tcW w:w="351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3A3CF59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无固定存续期限</w:t>
            </w:r>
          </w:p>
        </w:tc>
      </w:tr>
      <w:tr w14:paraId="37BF6EA3">
        <w:tc>
          <w:tcPr>
            <w:tcW w:w="125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63663FD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募集对象</w:t>
            </w:r>
          </w:p>
        </w:tc>
        <w:tc>
          <w:tcPr>
            <w:tcW w:w="8162" w:type="dxa"/>
            <w:gridSpan w:val="3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AC4BF46">
            <w:pPr>
              <w:spacing w:before="0" w:after="0" w:line="252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面向合格投资者非公开发行（保险及非保险机构）</w:t>
            </w:r>
          </w:p>
        </w:tc>
      </w:tr>
    </w:tbl>
    <w:p w14:paraId="065A7522">
      <w:pPr>
        <w:keepNext/>
        <w:pBdr>
          <w:left w:val="single" w:color="C99A06" w:sz="18" w:space="7"/>
        </w:pBdr>
        <w:spacing w:before="100" w:after="8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投资策略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C43DDB6">
        <w:tc>
          <w:tcPr>
            <w:tcW w:w="9412" w:type="dxa"/>
            <w:shd w:val="clear" w:color="auto" w:fill="FAF7F0"/>
            <w:tcMar>
              <w:top w:w="100" w:type="dxa"/>
              <w:left w:w="150" w:type="dxa"/>
              <w:bottom w:w="105" w:type="dxa"/>
              <w:right w:w="150" w:type="dxa"/>
            </w:tcMar>
          </w:tcPr>
          <w:p w14:paraId="05DE1C6F">
            <w:pPr>
              <w:spacing w:before="0" w:after="4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6"/>
                <w:szCs w:val="16"/>
                <w:lang w:val="zh-CN" w:eastAsia="zh-CN"/>
              </w:rPr>
              <w:t>策略说明</w:t>
            </w:r>
          </w:p>
          <w:p w14:paraId="349AD96C">
            <w:pPr>
              <w:spacing w:before="0" w:after="0" w:line="26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8"/>
                <w:szCs w:val="18"/>
                <w:lang w:val="zh-CN" w:eastAsia="zh-CN"/>
              </w:rPr>
              <w:t>以短期限低风险票息品种构筑底仓，控制单券集中度，降低组合波动率和最大回撤；适度把控交易仓位，利用市场超调机会增厚收益，力求产品净值稳健增长。</w:t>
            </w:r>
          </w:p>
        </w:tc>
      </w:tr>
    </w:tbl>
    <w:p w14:paraId="6CB7DBD5">
      <w:pPr>
        <w:keepNext/>
        <w:pBdr>
          <w:left w:val="single" w:color="C99A06" w:sz="18" w:space="7"/>
        </w:pBdr>
        <w:spacing w:before="100" w:after="8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组合构建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single" w:color="E2D6C2" w:sz="6" w:space="0"/>
          <w:insideV w:val="single" w:color="E2D6C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0"/>
        <w:gridCol w:w="3662"/>
      </w:tblGrid>
      <w:tr w14:paraId="7EB57D59">
        <w:tc>
          <w:tcPr>
            <w:tcW w:w="5750" w:type="dxa"/>
            <w:tcMar>
              <w:top w:w="95" w:type="dxa"/>
              <w:left w:w="125" w:type="dxa"/>
              <w:bottom w:w="95" w:type="dxa"/>
              <w:right w:w="125" w:type="dxa"/>
            </w:tcMar>
          </w:tcPr>
          <w:p w14:paraId="672C5E3E">
            <w:pPr>
              <w:spacing w:before="0" w:after="6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9"/>
                <w:szCs w:val="19"/>
                <w:lang w:val="zh-CN" w:eastAsia="zh-CN"/>
              </w:rPr>
              <w:t>配置比例</w:t>
            </w:r>
          </w:p>
          <w:p w14:paraId="66A03D68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高等级1-3年信用债作为底仓；</w:t>
            </w:r>
          </w:p>
          <w:p w14:paraId="5E64BE02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利率债交易盘占比中枢10%-20%；</w:t>
            </w:r>
          </w:p>
          <w:p w14:paraId="09B44D4E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流动性占比中枢10%-20%；</w:t>
            </w:r>
          </w:p>
          <w:p w14:paraId="6F8EDB41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保持较高的票息组合前提下，预留一定的进攻空间。</w:t>
            </w:r>
          </w:p>
        </w:tc>
        <w:tc>
          <w:tcPr>
            <w:tcW w:w="3662" w:type="dxa"/>
            <w:tcMar>
              <w:top w:w="95" w:type="dxa"/>
              <w:left w:w="125" w:type="dxa"/>
              <w:bottom w:w="95" w:type="dxa"/>
              <w:right w:w="125" w:type="dxa"/>
            </w:tcMar>
          </w:tcPr>
          <w:p w14:paraId="035CAD33">
            <w:pPr>
              <w:spacing w:before="0" w:after="6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9"/>
                <w:szCs w:val="19"/>
                <w:lang w:val="zh-CN" w:eastAsia="zh-CN"/>
              </w:rPr>
              <w:t>杠杆久期</w:t>
            </w:r>
          </w:p>
          <w:p w14:paraId="4FD511C1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久期中枢拟设定在2-3年；</w:t>
            </w:r>
          </w:p>
          <w:p w14:paraId="2C457FCB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杠杆保持中性，中枢设置在120%。</w:t>
            </w:r>
          </w:p>
        </w:tc>
      </w:tr>
    </w:tbl>
    <w:p w14:paraId="34721971">
      <w:pPr>
        <w:spacing w:before="80" w:after="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4"/>
          <w:szCs w:val="14"/>
          <w:lang w:val="zh-CN" w:eastAsia="zh-CN"/>
        </w:rPr>
        <w:t xml:space="preserve">资料来源：《中邮资管玖泰1号资产管理产品合同》及产品一页通（2026-08-25）。产品要素以最新生效合同及正式材料为准。</w:t>
      </w:r>
    </w:p>
    <w:p w14:paraId="C0DEC001">
      <w:pPr>
        <w:rPr>
          <w:rFonts w:hint="eastAsia" w:ascii="PingFang SC" w:hAnsi="PingFang SC" w:eastAsia="PingFang SC" w:cs="PingFang SC"/>
        </w:rPr>
      </w:pPr>
      <w:r>
        <w:br w:type="page"/>
      </w:r>
    </w:p>
    <w:p w14:paraId="0DEACBA8">
      <w:pPr>
        <w:spacing w:before="0" w:after="2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A97800"/>
          <w:sz w:val="19"/>
          <w:szCs w:val="19"/>
          <w:lang w:val="zh-CN" w:eastAsia="zh-CN"/>
        </w:rPr>
        <w:t>产品线供给｜</w:t>
      </w:r>
      <w:r>
        <w:rPr>
          <w:rFonts w:hint="eastAsia" w:cs="PingFang SC"/>
          <w:b/>
          <w:bCs/>
          <w:color w:val="A97800"/>
          <w:sz w:val="19"/>
          <w:szCs w:val="19"/>
          <w:lang w:val="en-US" w:eastAsia="zh-CN"/>
        </w:rPr>
        <w:t>中短债类产品</w:t>
      </w:r>
    </w:p>
    <w:p w14:paraId="666860E1">
      <w:pPr>
        <w:keepNext/>
        <w:spacing w:before="0" w:after="4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37"/>
          <w:szCs w:val="37"/>
          <w:lang w:val="zh-CN" w:eastAsia="zh-CN"/>
        </w:rPr>
        <w:t>中邮资管玖泰1号：稳健积累的实盘样本</w:t>
      </w:r>
    </w:p>
    <w:p w14:paraId="6D96268E">
      <w:pPr>
        <w:spacing w:before="0" w:after="12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8"/>
          <w:szCs w:val="18"/>
          <w:lang w:val="zh-CN" w:eastAsia="zh-CN"/>
        </w:rPr>
        <w:t xml:space="preserve">成立日期 2025-08-29  ·  Wind代码 ZY0001.OF  ·  数据日期 2026-08-24  ·  产品规模 24.20亿元</w:t>
      </w:r>
    </w:p>
    <w:tbl>
      <w:tblPr>
        <w:tblStyle w:val="33"/>
        <w:tblW w:w="947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2353"/>
        <w:gridCol w:w="15"/>
        <w:gridCol w:w="2338"/>
        <w:gridCol w:w="2353"/>
        <w:gridCol w:w="15"/>
      </w:tblGrid>
      <w:tr w14:paraId="1B287623">
        <w:trPr>
          <w:gridAfter w:val="1"/>
          <w:wAfter w:w="15" w:type="dxa"/>
        </w:trPr>
        <w:tc>
          <w:tcPr>
            <w:tcW w:w="9457" w:type="dxa"/>
            <w:gridSpan w:val="5"/>
            <w:shd w:val="clear" w:color="auto" w:fill="FAF7F0"/>
            <w:tcMar>
              <w:top w:w="100" w:type="dxa"/>
              <w:left w:w="150" w:type="dxa"/>
              <w:bottom w:w="105" w:type="dxa"/>
              <w:right w:w="150" w:type="dxa"/>
            </w:tcMar>
          </w:tcPr>
          <w:p w14:paraId="1579AA1F">
            <w:pPr>
              <w:spacing w:before="0" w:after="4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6"/>
                <w:szCs w:val="16"/>
                <w:lang w:val="zh-CN" w:eastAsia="zh-CN"/>
              </w:rPr>
              <w:t>核心结论</w:t>
            </w:r>
          </w:p>
          <w:p w14:paraId="409C0706">
            <w:pPr>
              <w:spacing w:before="0" w:after="0" w:line="26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8"/>
                <w:szCs w:val="18"/>
                <w:lang w:val="zh-CN" w:eastAsia="zh-CN"/>
              </w:rPr>
              <w:t xml:space="preserve">截至2026年8月24日，玖泰1号成立以来收益2.41%，同类排名20/78；成立以来年化收益率2.44%、年化波动率0.34%、最大回撤-0.10%，样本期内呈现较平稳的风险收益特征。</w:t>
            </w:r>
          </w:p>
        </w:tc>
      </w:tr>
      <w:tr w14:paraId="33D36919">
        <w:tblPrEx>
          <w:tblBorders>
            <w:top w:val="single" w:color="E2D6C2" w:sz="6" w:space="0"/>
            <w:left w:val="single" w:color="E2D6C2" w:sz="6" w:space="0"/>
            <w:bottom w:val="single" w:color="E2D6C2" w:sz="6" w:space="0"/>
            <w:right w:val="single" w:color="E2D6C2" w:sz="6" w:space="0"/>
            <w:insideH w:val="single" w:color="E2D6C2" w:sz="6" w:space="0"/>
            <w:insideV w:val="single" w:color="E2D6C2" w:sz="6" w:space="0"/>
          </w:tblBorders>
        </w:tblPrEx>
        <w:trPr>
          <w:gridAfter w:val="1"/>
          <w:wBefore w:w="0" w:type="auto"/>
          <w:wAfter w:w="15" w:type="dxa"/>
        </w:trPr>
        <w:tc>
          <w:tcPr>
            <w:tcW w:w="2398" w:type="dxa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6CF6EA0C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单位净值</w:t>
            </w:r>
          </w:p>
          <w:p w14:paraId="6B6452D6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 xml:space="preserve">1.0241</w:t>
            </w:r>
          </w:p>
          <w:p w14:paraId="24A9EB64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Wind Factsheet</w:t>
            </w:r>
          </w:p>
        </w:tc>
        <w:tc>
          <w:tcPr>
            <w:tcW w:w="2353" w:type="dxa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27A04C3F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成立以来收益</w:t>
            </w:r>
          </w:p>
          <w:p w14:paraId="6C4FB22B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 xml:space="preserve">2.41%</w:t>
            </w:r>
          </w:p>
          <w:p w14:paraId="0AEDEE14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同类基金 1.81%</w:t>
            </w:r>
          </w:p>
        </w:tc>
        <w:tc>
          <w:tcPr>
            <w:tcW w:w="2353" w:type="dxa"/>
            <w:gridSpan w:val="2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7283E32B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成立以来年化收益</w:t>
            </w:r>
          </w:p>
          <w:p w14:paraId="1686BF5C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 xml:space="preserve">2.44%</w:t>
            </w:r>
          </w:p>
          <w:p w14:paraId="3812F0A4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 xml:space="preserve">同类排名 20/78</w:t>
            </w:r>
          </w:p>
        </w:tc>
        <w:tc>
          <w:tcPr>
            <w:tcW w:w="2353" w:type="dxa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784E5F11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成立以来最大回撤</w:t>
            </w:r>
          </w:p>
          <w:p w14:paraId="3F9C9FD2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>-0.10%</w:t>
            </w:r>
          </w:p>
          <w:p w14:paraId="7F77E5DE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同类基金 -0.42%</w:t>
            </w:r>
          </w:p>
        </w:tc>
      </w:tr>
      <w:tr w14:paraId="6516D4C1">
        <w:tblPrEx>
          <w:tblBorders>
            <w:top w:val="single" w:color="E2D6C2" w:sz="6" w:space="0"/>
            <w:left w:val="single" w:color="E2D6C2" w:sz="6" w:space="0"/>
            <w:bottom w:val="single" w:color="E2D6C2" w:sz="6" w:space="0"/>
            <w:right w:val="single" w:color="E2D6C2" w:sz="6" w:space="0"/>
            <w:insideH w:val="single" w:color="E2D6C2" w:sz="6" w:space="0"/>
            <w:insideV w:val="single" w:color="E2D6C2" w:sz="6" w:space="0"/>
          </w:tblBorders>
        </w:tblPrEx>
        <w:trPr>
          <w:wBefore w:w="0" w:type="auto"/>
        </w:trPr>
        <w:tc>
          <w:tcPr>
            <w:tcW w:w="4766" w:type="dxa"/>
            <w:gridSpan w:val="3"/>
            <w:tcMar>
              <w:top w:w="75" w:type="dxa"/>
              <w:left w:w="90" w:type="dxa"/>
              <w:bottom w:w="60" w:type="dxa"/>
              <w:right w:w="90" w:type="dxa"/>
            </w:tcMar>
          </w:tcPr>
          <w:p w14:paraId="23F55A99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9"/>
                <w:szCs w:val="19"/>
                <w:lang w:val="zh-CN" w:eastAsia="zh-CN"/>
              </w:rPr>
              <w:t>业绩表现曲线</w:t>
            </w:r>
          </w:p>
          <w:p w14:paraId="222D8E55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成立以来累计收益率，单位：%</w:t>
            </w:r>
          </w:p>
          <w:p w14:paraId="6D362A6A"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749550" cy="1719580"/>
                  <wp:effectExtent l="0" t="0" r="0" b="0"/>
                  <wp:docPr id="19" name="Editable Chart 19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</w:tc>
        <w:tc>
          <w:tcPr>
            <w:tcW w:w="4706" w:type="dxa"/>
            <w:gridSpan w:val="3"/>
            <w:tcMar>
              <w:top w:w="75" w:type="dxa"/>
              <w:left w:w="90" w:type="dxa"/>
              <w:bottom w:w="60" w:type="dxa"/>
              <w:right w:w="90" w:type="dxa"/>
            </w:tcMar>
          </w:tcPr>
          <w:p w14:paraId="384AFB1E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9"/>
                <w:szCs w:val="19"/>
                <w:lang w:val="zh-CN" w:eastAsia="zh-CN"/>
              </w:rPr>
              <w:t>区间收益对比</w:t>
            </w:r>
          </w:p>
          <w:p w14:paraId="6D3816D9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产品与同类基金，非年化收益率，单位：%</w:t>
            </w:r>
          </w:p>
          <w:p w14:paraId="4CAA9145">
            <w:pPr>
              <w:spacing w:before="0" w:after="0" w:line="240" w:lineRule="auto"/>
              <w:jc w:val="center"/>
            </w:pPr>
            <w:r>
              <w:drawing>
                <wp:inline distT="0" distB="0" distL="0" distR="0">
                  <wp:extent cx="2749550" cy="1719580"/>
                  <wp:effectExtent l="0" t="0" r="0" b="0"/>
                  <wp:docPr id="20" name="Editable Chart 20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</w:tc>
      </w:tr>
    </w:tbl>
    <w:p w14:paraId="225C8C1E">
      <w:pPr>
        <w:keepNext/>
        <w:pBdr>
          <w:left w:val="single" w:color="C99A06" w:sz="18" w:space="7"/>
        </w:pBdr>
        <w:spacing w:before="100" w:after="4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多周期风险收益指标</w:t>
      </w:r>
    </w:p>
    <w:tbl>
      <w:tblPr>
        <w:tblStyle w:val="33"/>
        <w:tblW w:w="9522" w:type="dxa"/>
        <w:tblInd w:w="-110" w:type="dxa"/>
        <w:tblBorders>
          <w:top w:val="single" w:color="E2D6C2" w:sz="4" w:space="0"/>
          <w:left w:val="single" w:color="E2D6C2" w:sz="4" w:space="0"/>
          <w:bottom w:val="single" w:color="E2D6C2" w:sz="4" w:space="0"/>
          <w:right w:val="single" w:color="E2D6C2" w:sz="4" w:space="0"/>
          <w:insideH w:val="single" w:color="E2D6C2" w:sz="4" w:space="0"/>
          <w:insideV w:val="single" w:color="E2D6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15"/>
        <w:gridCol w:w="1680"/>
        <w:gridCol w:w="1620"/>
        <w:gridCol w:w="1570"/>
        <w:gridCol w:w="1600"/>
        <w:gridCol w:w="1722"/>
      </w:tblGrid>
      <w:tr w14:paraId="17DAFE1C">
        <w:tc>
          <w:tcPr>
            <w:tcW w:w="1330" w:type="dxa"/>
            <w:gridSpan w:val="2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DDEFC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 xml:space="preserve">观察区间</w:t>
            </w:r>
          </w:p>
        </w:tc>
        <w:tc>
          <w:tcPr>
            <w:tcW w:w="1680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EE7B9D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年化收益率</w:t>
            </w:r>
          </w:p>
        </w:tc>
        <w:tc>
          <w:tcPr>
            <w:tcW w:w="1620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A9E3C2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年化波动率</w:t>
            </w:r>
          </w:p>
        </w:tc>
        <w:tc>
          <w:tcPr>
            <w:tcW w:w="1570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9CF3A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最大回撤</w:t>
            </w:r>
          </w:p>
        </w:tc>
        <w:tc>
          <w:tcPr>
            <w:tcW w:w="1600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D26ACC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年化Sharpe</w:t>
            </w:r>
          </w:p>
        </w:tc>
        <w:tc>
          <w:tcPr>
            <w:tcW w:w="1722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D2AF0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同类收益排名</w:t>
            </w:r>
          </w:p>
        </w:tc>
      </w:tr>
      <w:tr w14:paraId="417B2CC5">
        <w:tc>
          <w:tcPr>
            <w:tcW w:w="1330" w:type="dxa"/>
            <w:gridSpan w:val="2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77D475C9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近3月</w:t>
            </w:r>
          </w:p>
        </w:tc>
        <w:tc>
          <w:tcPr>
            <w:tcW w:w="168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4EFEEBBB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1.88%</w:t>
            </w:r>
          </w:p>
        </w:tc>
        <w:tc>
          <w:tcPr>
            <w:tcW w:w="162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4294DCA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0.24%</w:t>
            </w:r>
          </w:p>
        </w:tc>
        <w:tc>
          <w:tcPr>
            <w:tcW w:w="157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95888D7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-0.07%</w:t>
            </w:r>
          </w:p>
        </w:tc>
        <w:tc>
          <w:tcPr>
            <w:tcW w:w="160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65B23FB9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3.75</w:t>
            </w:r>
          </w:p>
        </w:tc>
        <w:tc>
          <w:tcPr>
            <w:tcW w:w="1722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291BEC3F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34/81</w:t>
            </w:r>
          </w:p>
        </w:tc>
      </w:tr>
      <w:tr w14:paraId="75569448">
        <w:tc>
          <w:tcPr>
            <w:tcW w:w="1330" w:type="dxa"/>
            <w:gridSpan w:val="2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D6CDD7B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近6月</w:t>
            </w:r>
          </w:p>
        </w:tc>
        <w:tc>
          <w:tcPr>
            <w:tcW w:w="168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2C3EFBA4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2.42%</w:t>
            </w:r>
          </w:p>
        </w:tc>
        <w:tc>
          <w:tcPr>
            <w:tcW w:w="162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2F588B12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0.23%</w:t>
            </w:r>
          </w:p>
        </w:tc>
        <w:tc>
          <w:tcPr>
            <w:tcW w:w="157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0E5210AD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-0.07%</w:t>
            </w:r>
          </w:p>
        </w:tc>
        <w:tc>
          <w:tcPr>
            <w:tcW w:w="160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7AF97A5D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6.41</w:t>
            </w:r>
          </w:p>
        </w:tc>
        <w:tc>
          <w:tcPr>
            <w:tcW w:w="1722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03765BE8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29/80</w:t>
            </w:r>
          </w:p>
        </w:tc>
      </w:tr>
      <w:tr w14:paraId="1C6EBAB2">
        <w:tc>
          <w:tcPr>
            <w:tcW w:w="1330" w:type="dxa"/>
            <w:gridSpan w:val="2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40B3E830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YTD</w:t>
            </w:r>
          </w:p>
        </w:tc>
        <w:tc>
          <w:tcPr>
            <w:tcW w:w="168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57A25EFB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2.56%</w:t>
            </w:r>
          </w:p>
        </w:tc>
        <w:tc>
          <w:tcPr>
            <w:tcW w:w="162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0BD6DC4A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0.24%</w:t>
            </w:r>
          </w:p>
        </w:tc>
        <w:tc>
          <w:tcPr>
            <w:tcW w:w="157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1AF2A253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-0.07%</w:t>
            </w:r>
          </w:p>
        </w:tc>
        <w:tc>
          <w:tcPr>
            <w:tcW w:w="160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55826954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7.09</w:t>
            </w:r>
          </w:p>
        </w:tc>
        <w:tc>
          <w:tcPr>
            <w:tcW w:w="1722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251B9C9C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30/80</w:t>
            </w:r>
          </w:p>
        </w:tc>
      </w:tr>
      <w:tr w14:paraId="5F3FB2BB">
        <w:tc>
          <w:tcPr>
            <w:tcW w:w="1330" w:type="dxa"/>
            <w:gridSpan w:val="2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56A6C741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成立以来</w:t>
            </w:r>
          </w:p>
        </w:tc>
        <w:tc>
          <w:tcPr>
            <w:tcW w:w="168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6117BBFA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5"/>
                <w:szCs w:val="15"/>
                <w:lang w:val="zh-CN" w:eastAsia="zh-CN"/>
              </w:rPr>
              <w:t>2.45%</w:t>
            </w:r>
          </w:p>
        </w:tc>
        <w:tc>
          <w:tcPr>
            <w:tcW w:w="162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2AB6D066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0.34%</w:t>
            </w:r>
          </w:p>
        </w:tc>
        <w:tc>
          <w:tcPr>
            <w:tcW w:w="157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A7FC8EE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-0.10%</w:t>
            </w:r>
          </w:p>
        </w:tc>
        <w:tc>
          <w:tcPr>
            <w:tcW w:w="160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144289CD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4.52</w:t>
            </w:r>
          </w:p>
        </w:tc>
        <w:tc>
          <w:tcPr>
            <w:tcW w:w="1722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C1CE4F1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5"/>
                <w:szCs w:val="15"/>
                <w:lang w:val="zh-CN" w:eastAsia="zh-CN"/>
              </w:rPr>
              <w:t>21/78</w:t>
            </w:r>
          </w:p>
        </w:tc>
      </w:tr>
      <w:tr w14:paraId="5FFF9868">
        <w:tblPrEx>
          <w:tblBorders>
            <w:top w:val="single" w:color="E2D6C2" w:sz="6" w:space="0"/>
            <w:left w:val="single" w:color="E2D6C2" w:sz="6" w:space="0"/>
            <w:bottom w:val="single" w:color="E2D6C2" w:sz="6" w:space="0"/>
            <w:right w:val="single" w:color="E2D6C2" w:sz="6" w:space="0"/>
            <w:insideH w:val="single" w:color="E2D6C2" w:sz="6" w:space="0"/>
            <w:insideV w:val="single" w:color="E2D6C2" w:sz="6" w:space="0"/>
          </w:tblBorders>
        </w:tblPrEx>
        <w:tc>
          <w:tcPr>
            <w:tcW w:w="1315" w:type="dxa"/>
            <w:shd w:val="clear" w:color="auto" w:fill="FAF7F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22DE7BB7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7"/>
                <w:szCs w:val="17"/>
                <w:lang w:val="zh-CN" w:eastAsia="zh-CN"/>
              </w:rPr>
              <w:t>阅读结论</w:t>
            </w:r>
          </w:p>
        </w:tc>
        <w:tc>
          <w:tcPr>
            <w:tcW w:w="8207" w:type="dxa"/>
            <w:gridSpan w:val="6"/>
            <w:shd w:val="clear" w:color="auto" w:fill="FAF7F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C2774CA">
            <w:pPr>
              <w:spacing w:before="0" w:after="0" w:line="25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6"/>
                <w:lang w:val="zh-CN" w:eastAsia="zh-CN"/>
              </w:rPr>
              <w:t>已披露的12个月度回报均为正；近3月、近6月、YTD及成立以来区间收益均高于同类基金。成立以来年化波动率0.34%（同类0.56%），年化Sharpe为4.52（同类3.93）。</w:t>
            </w:r>
          </w:p>
        </w:tc>
      </w:tr>
    </w:tbl>
    <w:p w14:paraId="2697E755">
      <w:pPr>
        <w:spacing w:before="0" w:after="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4"/>
          <w:szCs w:val="14"/>
          <w:lang w:val="zh-CN" w:eastAsia="zh-CN"/>
        </w:rPr>
        <w:t xml:space="preserve">注：产品成立未满一年，“成立以来”为最长可得区间；短样本指标及过往业绩不代表未来表现。数据来源：核心指标取自Wind Factsheet（数据日期2026-08-24），多周期指标取自最新风险收益指标文件（数据日期2026-08-17）。仅供机构客户交流。</w:t>
      </w:r>
    </w:p>
    <w:p w14:paraId="C1864435">
      <w:r>
        <w:rPr>
          <w:rFonts w:hint="eastAsia" w:ascii="PingFang SC" w:hAnsi="PingFang SC" w:eastAsia="PingFang SC" w:cs="PingFang SC"/>
        </w:rPr>
        <w:br w:type="page"/>
      </w:r>
    </w:p>
    <w:p w14:paraId="062233BF">
      <w:pPr>
        <w:spacing w:before="0" w:after="2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A97800"/>
          <w:sz w:val="19"/>
          <w:szCs w:val="19"/>
          <w:lang w:val="zh-CN" w:eastAsia="zh-CN"/>
        </w:rPr>
        <w:t>产品线供给｜货币类产品</w:t>
      </w:r>
    </w:p>
    <w:p w14:paraId="0EDA5483">
      <w:pPr>
        <w:keepNext/>
        <w:spacing w:before="0" w:after="4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37"/>
          <w:szCs w:val="37"/>
          <w:lang w:val="zh-CN" w:eastAsia="zh-CN"/>
        </w:rPr>
        <w:t>中邮资管玖利系列产品</w:t>
      </w:r>
      <w:r>
        <w:rPr>
          <w:rFonts w:hint="eastAsia" w:cs="PingFang SC"/>
          <w:b/>
          <w:bCs/>
          <w:color w:val="261A16"/>
          <w:sz w:val="37"/>
          <w:szCs w:val="37"/>
          <w:lang w:val="en-US" w:eastAsia="zh-CN"/>
        </w:rPr>
        <w:t>要素</w:t>
      </w:r>
      <w:bookmarkStart w:id="0" w:name="_GoBack"/>
      <w:bookmarkEnd w:id="0"/>
    </w:p>
    <w:p w14:paraId="07D3BCA4">
      <w:pPr>
        <w:spacing w:before="0" w:after="12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8"/>
          <w:szCs w:val="18"/>
          <w:lang w:val="zh-CN" w:eastAsia="zh-CN"/>
        </w:rPr>
        <w:t>货币市场类组合类保险资产管理产品  ·  开放式  ·  风险等级 R1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54478F2">
        <w:tc>
          <w:tcPr>
            <w:tcW w:w="9412" w:type="dxa"/>
            <w:shd w:val="clear" w:color="auto" w:fill="FAF7F0"/>
            <w:tcMar>
              <w:top w:w="100" w:type="dxa"/>
              <w:left w:w="150" w:type="dxa"/>
              <w:bottom w:w="105" w:type="dxa"/>
              <w:right w:w="150" w:type="dxa"/>
            </w:tcMar>
          </w:tcPr>
          <w:p w14:paraId="E025B799">
            <w:pPr>
              <w:spacing w:before="0" w:after="4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6"/>
                <w:szCs w:val="16"/>
                <w:lang w:val="zh-CN" w:eastAsia="zh-CN"/>
              </w:rPr>
              <w:t>产品定位</w:t>
            </w:r>
          </w:p>
          <w:p w14:paraId="FBB7D8F3">
            <w:pPr>
              <w:spacing w:before="0" w:after="0" w:line="26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8"/>
                <w:szCs w:val="18"/>
                <w:lang w:val="zh-CN" w:eastAsia="zh-CN"/>
              </w:rPr>
              <w:t>面向非保险资金合格机构投资者的开放式流动性管理工具，在有效控制风险并保持良好流动性的前提下，力争实现产品资产持续稳定增值。</w:t>
            </w:r>
          </w:p>
        </w:tc>
      </w:tr>
    </w:tbl>
    <w:p w14:paraId="A171FADD">
      <w:pPr>
        <w:keepNext/>
        <w:pBdr>
          <w:left w:val="single" w:color="C99A06" w:sz="18" w:space="7"/>
        </w:pBdr>
        <w:spacing w:before="100" w:after="8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产品信息</w:t>
      </w:r>
    </w:p>
    <w:tbl>
      <w:tblPr>
        <w:tblStyle w:val="33"/>
        <w:tblW w:w="9385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single" w:color="E2D6C2" w:sz="6" w:space="0"/>
          <w:insideV w:val="single" w:color="E2D6C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3278"/>
        <w:gridCol w:w="1232"/>
        <w:gridCol w:w="3390"/>
      </w:tblGrid>
      <w:tr w14:paraId="08B5A528">
        <w:tc>
          <w:tcPr>
            <w:tcW w:w="1485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C97A2E21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产品名称</w:t>
            </w:r>
          </w:p>
        </w:tc>
        <w:tc>
          <w:tcPr>
            <w:tcW w:w="3278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8ED233E9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中邮资管玖利系列</w:t>
            </w:r>
          </w:p>
        </w:tc>
        <w:tc>
          <w:tcPr>
            <w:tcW w:w="123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5AC731AC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开放安排</w:t>
            </w:r>
          </w:p>
        </w:tc>
        <w:tc>
          <w:tcPr>
            <w:tcW w:w="339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A6E6DA6A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开放式；无固定存续期限</w:t>
            </w:r>
          </w:p>
        </w:tc>
      </w:tr>
      <w:tr w14:paraId="016561AE">
        <w:tc>
          <w:tcPr>
            <w:tcW w:w="1485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D8966DEB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产品类型</w:t>
            </w:r>
          </w:p>
        </w:tc>
        <w:tc>
          <w:tcPr>
            <w:tcW w:w="3278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415AD67B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货币市场类组合类保险资管产品</w:t>
            </w:r>
          </w:p>
        </w:tc>
        <w:tc>
          <w:tcPr>
            <w:tcW w:w="123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8B2F558B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策略类型</w:t>
            </w:r>
          </w:p>
        </w:tc>
        <w:tc>
          <w:tcPr>
            <w:tcW w:w="339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57837DE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现金管理 / 货币市场策略</w:t>
            </w:r>
          </w:p>
        </w:tc>
      </w:tr>
      <w:tr w14:paraId="3C37723F">
        <w:tc>
          <w:tcPr>
            <w:tcW w:w="1485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10C412A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风险等级</w:t>
            </w:r>
          </w:p>
        </w:tc>
        <w:tc>
          <w:tcPr>
            <w:tcW w:w="3278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6B94A59C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R1 / 低风险</w:t>
            </w:r>
          </w:p>
        </w:tc>
        <w:tc>
          <w:tcPr>
            <w:tcW w:w="123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76D8EA9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投资范围</w:t>
            </w:r>
          </w:p>
        </w:tc>
        <w:tc>
          <w:tcPr>
            <w:tcW w:w="339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868DDCA0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现金、1年内存款及同业存单、397天内债券等</w:t>
            </w:r>
          </w:p>
        </w:tc>
      </w:tr>
      <w:tr w14:paraId="5FDEE3E8">
        <w:tc>
          <w:tcPr>
            <w:tcW w:w="1485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CFAB6D24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业绩比较基准</w:t>
            </w:r>
          </w:p>
        </w:tc>
        <w:tc>
          <w:tcPr>
            <w:tcW w:w="7900" w:type="dxa"/>
            <w:gridSpan w:val="3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EA43BF98">
            <w:pPr>
              <w:spacing w:before="0" w:after="0" w:line="252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中证货币基金指数年化增长率或7天通知存款利率（税后），以具体产品合同为准</w:t>
            </w:r>
          </w:p>
        </w:tc>
      </w:tr>
      <w:tr w14:paraId="532370B6">
        <w:tc>
          <w:tcPr>
            <w:tcW w:w="1485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DC41C27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费用</w:t>
            </w:r>
          </w:p>
        </w:tc>
        <w:tc>
          <w:tcPr>
            <w:tcW w:w="3278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8B2F2896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管理费0.05%/年；托管费0.01%/年</w:t>
            </w:r>
          </w:p>
        </w:tc>
        <w:tc>
          <w:tcPr>
            <w:tcW w:w="1232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3FB9D4DD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业绩报酬</w:t>
            </w:r>
          </w:p>
        </w:tc>
        <w:tc>
          <w:tcPr>
            <w:tcW w:w="3390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059373CB">
            <w:pPr>
              <w:spacing w:before="0" w:after="0" w:line="247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6"/>
                <w:szCs w:val="17"/>
                <w:lang w:val="zh-CN" w:eastAsia="zh-CN"/>
              </w:rPr>
              <w:t>不收取</w:t>
            </w:r>
          </w:p>
        </w:tc>
      </w:tr>
      <w:tr w14:paraId="7BBC6904">
        <w:tc>
          <w:tcPr>
            <w:tcW w:w="1485" w:type="dxa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ACBFD105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A97800"/>
                <w:sz w:val="14"/>
                <w:szCs w:val="14"/>
                <w:lang w:val="zh-CN" w:eastAsia="zh-CN"/>
              </w:rPr>
              <w:t>募集对象</w:t>
            </w:r>
          </w:p>
        </w:tc>
        <w:tc>
          <w:tcPr>
            <w:tcW w:w="7900" w:type="dxa"/>
            <w:gridSpan w:val="3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DFBC479">
            <w:pPr>
              <w:spacing w:before="0" w:after="0" w:line="252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7"/>
                <w:szCs w:val="17"/>
                <w:lang w:val="zh-CN" w:eastAsia="zh-CN"/>
              </w:rPr>
              <w:t>面向非保险资金合格机构投资者非公开发行，不含自然人</w:t>
            </w:r>
          </w:p>
        </w:tc>
      </w:tr>
    </w:tbl>
    <w:p w14:paraId="4F8FDED0">
      <w:pPr>
        <w:keepNext/>
        <w:pBdr>
          <w:left w:val="single" w:color="C99A06" w:sz="18" w:space="7"/>
        </w:pBdr>
        <w:spacing w:before="100" w:after="8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投资管理框架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3BA7101">
        <w:tc>
          <w:tcPr>
            <w:tcW w:w="9412" w:type="dxa"/>
            <w:shd w:val="clear" w:color="auto" w:fill="FAF7F0"/>
            <w:tcMar>
              <w:top w:w="100" w:type="dxa"/>
              <w:left w:w="150" w:type="dxa"/>
              <w:bottom w:w="105" w:type="dxa"/>
              <w:right w:w="150" w:type="dxa"/>
            </w:tcMar>
          </w:tcPr>
          <w:p w14:paraId="6BA03552">
            <w:pPr>
              <w:spacing w:before="0" w:after="4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6"/>
                <w:szCs w:val="16"/>
                <w:lang w:val="zh-CN" w:eastAsia="zh-CN"/>
              </w:rPr>
              <w:t>策略说明</w:t>
            </w:r>
          </w:p>
          <w:p w14:paraId="0581AF84">
            <w:pPr>
              <w:spacing w:before="0" w:after="0" w:line="26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8"/>
                <w:szCs w:val="18"/>
                <w:lang w:val="zh-CN" w:eastAsia="zh-CN"/>
              </w:rPr>
              <w:t>通过宏观经济、货币政策和短期利率研究，动态确定组合久期与品种配置；综合运用久期管理、类属配置和现金流管理，兼顾收益、流动性与风险控制。</w:t>
            </w:r>
          </w:p>
        </w:tc>
      </w:tr>
    </w:tbl>
    <w:p w14:paraId="057E5B90">
      <w:pPr>
        <w:keepNext/>
        <w:pBdr>
          <w:left w:val="single" w:color="C99A06" w:sz="18" w:space="7"/>
        </w:pBdr>
        <w:spacing w:before="100" w:after="8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合同约定与关键约束</w:t>
      </w:r>
    </w:p>
    <w:tbl>
      <w:tblPr>
        <w:tblStyle w:val="33"/>
        <w:tblW w:w="941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single" w:color="E2D6C2" w:sz="6" w:space="0"/>
          <w:insideV w:val="single" w:color="E2D6C2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50"/>
        <w:gridCol w:w="3662"/>
      </w:tblGrid>
      <w:tr w14:paraId="7210C3DC">
        <w:tc>
          <w:tcPr>
            <w:tcW w:w="5750" w:type="dxa"/>
            <w:tcMar>
              <w:top w:w="95" w:type="dxa"/>
              <w:left w:w="125" w:type="dxa"/>
              <w:bottom w:w="95" w:type="dxa"/>
              <w:right w:w="125" w:type="dxa"/>
            </w:tcMar>
          </w:tcPr>
          <w:p w14:paraId="8C226D20">
            <w:pPr>
              <w:spacing w:before="0" w:after="6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9"/>
                <w:szCs w:val="19"/>
                <w:lang w:val="zh-CN" w:eastAsia="zh-CN"/>
              </w:rPr>
              <w:t>关键约束</w:t>
            </w:r>
          </w:p>
          <w:p w14:paraId="FF18DB2A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债权类资产占产品资产净值比例不低于80%；</w:t>
            </w:r>
          </w:p>
          <w:p w14:paraId="3AA4B820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现金等高流动性资产比例满足合同及监管要求；</w:t>
            </w:r>
          </w:p>
          <w:p w14:paraId="7BF279E7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平均剩余期限不超过240天，平均剩余存续期不超过360天；</w:t>
            </w:r>
          </w:p>
          <w:p w14:paraId="6B9DB600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杠杆原则上不超过120%。</w:t>
            </w:r>
          </w:p>
        </w:tc>
        <w:tc>
          <w:tcPr>
            <w:tcW w:w="3662" w:type="dxa"/>
            <w:tcMar>
              <w:top w:w="95" w:type="dxa"/>
              <w:left w:w="125" w:type="dxa"/>
              <w:bottom w:w="95" w:type="dxa"/>
              <w:right w:w="125" w:type="dxa"/>
            </w:tcMar>
          </w:tcPr>
          <w:p w14:paraId="7B755251">
            <w:pPr>
              <w:spacing w:before="0" w:after="6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9"/>
                <w:szCs w:val="19"/>
                <w:lang w:val="zh-CN" w:eastAsia="zh-CN"/>
              </w:rPr>
              <w:t>收益展示边界</w:t>
            </w:r>
          </w:p>
          <w:p w14:paraId="1240239E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以每万份产品净收益和7日年化收益率为核心业绩指标；</w:t>
            </w:r>
          </w:p>
          <w:p w14:paraId="01BE6E17">
            <w:pPr>
              <w:spacing w:before="0" w:after="24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C99A06"/>
                <w:sz w:val="17"/>
                <w:szCs w:val="17"/>
                <w:lang w:val="zh-CN" w:eastAsia="zh-CN"/>
              </w:rPr>
              <w:t xml:space="preserve">✓  </w:t>
            </w: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7"/>
                <w:lang w:val="zh-CN" w:eastAsia="zh-CN"/>
              </w:rPr>
              <w:t>业绩展示及比较基准不构成未来收益承诺。</w:t>
            </w:r>
          </w:p>
        </w:tc>
      </w:tr>
    </w:tbl>
    <w:p w14:paraId="CCCCECC4">
      <w:pPr>
        <w:spacing w:before="80" w:after="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4"/>
          <w:szCs w:val="14"/>
          <w:lang w:val="zh-CN" w:eastAsia="zh-CN"/>
        </w:rPr>
        <w:t>资料来源：玖利2号、5号、6号产品合同。产品要素以各产品最新生效合同及正式材料为准。</w:t>
      </w:r>
    </w:p>
    <w:p w14:paraId="C61AB1D2">
      <w:r>
        <w:rPr>
          <w:rFonts w:hint="eastAsia" w:ascii="PingFang SC" w:hAnsi="PingFang SC" w:eastAsia="PingFang SC" w:cs="PingFang SC"/>
        </w:rPr>
        <w:br w:type="page"/>
      </w:r>
    </w:p>
    <w:p w14:paraId="37EFBE5B">
      <w:pPr>
        <w:spacing w:before="0" w:after="2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A97800"/>
          <w:sz w:val="19"/>
          <w:szCs w:val="19"/>
          <w:lang w:val="zh-CN" w:eastAsia="zh-CN"/>
        </w:rPr>
        <w:t>产品线供给｜货币类产品实绩样本</w:t>
      </w:r>
    </w:p>
    <w:p w14:paraId="305ED131">
      <w:pPr>
        <w:keepNext/>
        <w:spacing w:before="0" w:after="4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37"/>
          <w:szCs w:val="37"/>
          <w:lang w:val="zh-CN" w:eastAsia="zh-CN"/>
        </w:rPr>
        <w:t>中邮资管玖利系列：流动性管理与收益表现</w:t>
      </w:r>
    </w:p>
    <w:p w14:paraId="F268D74C">
      <w:pPr>
        <w:spacing w:before="0" w:after="12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8"/>
          <w:szCs w:val="18"/>
          <w:lang w:val="zh-CN" w:eastAsia="zh-CN"/>
        </w:rPr>
        <w:t>代表产品：玖利2号、5号、6号  ·  观察区间 2026-07-09—2026-08-18  ·  数据日期 2026-08-18</w:t>
      </w:r>
    </w:p>
    <w:tbl>
      <w:tblPr>
        <w:tblStyle w:val="33"/>
        <w:tblW w:w="9472" w:type="dxa"/>
        <w:tblInd w:w="0" w:type="dxa"/>
        <w:tblBorders>
          <w:top w:val="single" w:color="E2D6C2" w:sz="6" w:space="0"/>
          <w:left w:val="single" w:color="E2D6C2" w:sz="6" w:space="0"/>
          <w:bottom w:val="single" w:color="E2D6C2" w:sz="6" w:space="0"/>
          <w:right w:val="single" w:color="E2D6C2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8"/>
        <w:gridCol w:w="2353"/>
        <w:gridCol w:w="15"/>
        <w:gridCol w:w="2338"/>
        <w:gridCol w:w="2353"/>
        <w:gridCol w:w="15"/>
      </w:tblGrid>
      <w:tr w14:paraId="0CB016FF">
        <w:trPr>
          <w:gridAfter w:val="1"/>
          <w:wAfter w:w="15" w:type="dxa"/>
        </w:trPr>
        <w:tc>
          <w:tcPr>
            <w:tcW w:w="9457" w:type="dxa"/>
            <w:gridSpan w:val="5"/>
            <w:shd w:val="clear" w:color="auto" w:fill="FAF7F0"/>
            <w:tcMar>
              <w:top w:w="100" w:type="dxa"/>
              <w:left w:w="150" w:type="dxa"/>
              <w:bottom w:w="105" w:type="dxa"/>
              <w:right w:w="150" w:type="dxa"/>
            </w:tcMar>
          </w:tcPr>
          <w:p w14:paraId="50D9CB50">
            <w:pPr>
              <w:spacing w:before="0" w:after="4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6"/>
                <w:szCs w:val="16"/>
                <w:lang w:val="zh-CN" w:eastAsia="zh-CN"/>
              </w:rPr>
              <w:t>核心结论</w:t>
            </w:r>
          </w:p>
          <w:p w14:paraId="E3138AA0">
            <w:pPr>
              <w:spacing w:before="0" w:after="0" w:line="26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8"/>
                <w:szCs w:val="18"/>
                <w:lang w:val="zh-CN" w:eastAsia="zh-CN"/>
              </w:rPr>
              <w:t>截至2026年8月18日，玖利2号、5号、6号7日年化收益率均为1.5095%；7月16日起三只产品收益率快速趋同并保持在约1.51%—1.57%区间，观察期累计收益约0.1675%，合计资产净值约30.05亿元。</w:t>
            </w:r>
          </w:p>
        </w:tc>
      </w:tr>
      <w:tr w14:paraId="4F619547">
        <w:tblPrEx>
          <w:tblBorders>
            <w:top w:val="single" w:color="E2D6C2" w:sz="6" w:space="0"/>
            <w:left w:val="single" w:color="E2D6C2" w:sz="6" w:space="0"/>
            <w:bottom w:val="single" w:color="E2D6C2" w:sz="6" w:space="0"/>
            <w:right w:val="single" w:color="E2D6C2" w:sz="6" w:space="0"/>
            <w:insideH w:val="single" w:color="E2D6C2" w:sz="6" w:space="0"/>
            <w:insideV w:val="single" w:color="E2D6C2" w:sz="6" w:space="0"/>
          </w:tblBorders>
        </w:tblPrEx>
        <w:trPr>
          <w:gridAfter w:val="1"/>
          <w:wBefore w:w="0" w:type="auto"/>
          <w:wAfter w:w="15" w:type="dxa"/>
        </w:trPr>
        <w:tc>
          <w:tcPr>
            <w:tcW w:w="2398" w:type="dxa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BCEAE4F4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7日年化收益率</w:t>
            </w:r>
          </w:p>
          <w:p w14:paraId="FA1CAA9A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>1.5095%</w:t>
            </w:r>
          </w:p>
          <w:p w14:paraId="04B55904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代表产品均值</w:t>
            </w:r>
          </w:p>
        </w:tc>
        <w:tc>
          <w:tcPr>
            <w:tcW w:w="2353" w:type="dxa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5FDBC0F7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每万份收益</w:t>
            </w:r>
          </w:p>
          <w:p w14:paraId="DFB1B403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>0.4104元</w:t>
            </w:r>
          </w:p>
          <w:p w14:paraId="A8B4D4C5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2026-08-18</w:t>
            </w:r>
          </w:p>
        </w:tc>
        <w:tc>
          <w:tcPr>
            <w:tcW w:w="2353" w:type="dxa"/>
            <w:gridSpan w:val="2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800C0254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同期累计收益</w:t>
            </w:r>
          </w:p>
          <w:p w14:paraId="447E19E1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>0.1675%</w:t>
            </w:r>
          </w:p>
          <w:p w14:paraId="F56BC1EA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41个自然日</w:t>
            </w:r>
          </w:p>
        </w:tc>
        <w:tc>
          <w:tcPr>
            <w:tcW w:w="2353" w:type="dxa"/>
            <w:shd w:val="clear" w:color="auto" w:fill="FAF7F0"/>
            <w:tcMar>
              <w:top w:w="80" w:type="dxa"/>
              <w:left w:w="105" w:type="dxa"/>
              <w:bottom w:w="75" w:type="dxa"/>
              <w:right w:w="105" w:type="dxa"/>
            </w:tcMar>
          </w:tcPr>
          <w:p w14:paraId="3A768338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5"/>
                <w:lang w:val="zh-CN" w:eastAsia="zh-CN"/>
              </w:rPr>
              <w:t>合计资产净值</w:t>
            </w:r>
          </w:p>
          <w:p w14:paraId="147628EB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31"/>
                <w:szCs w:val="31"/>
                <w:lang w:val="zh-CN" w:eastAsia="zh-CN"/>
              </w:rPr>
              <w:t>30.05亿元</w:t>
            </w:r>
          </w:p>
          <w:p w14:paraId="6C872CE6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玖利2号+5号+6号</w:t>
            </w:r>
          </w:p>
        </w:tc>
      </w:tr>
      <w:tr w14:paraId="37980EC4">
        <w:tblPrEx>
          <w:tblBorders>
            <w:top w:val="single" w:color="E2D6C2" w:sz="6" w:space="0"/>
            <w:left w:val="single" w:color="E2D6C2" w:sz="6" w:space="0"/>
            <w:bottom w:val="single" w:color="E2D6C2" w:sz="6" w:space="0"/>
            <w:right w:val="single" w:color="E2D6C2" w:sz="6" w:space="0"/>
            <w:insideH w:val="single" w:color="E2D6C2" w:sz="6" w:space="0"/>
            <w:insideV w:val="single" w:color="E2D6C2" w:sz="6" w:space="0"/>
          </w:tblBorders>
        </w:tblPrEx>
        <w:trPr>
          <w:wBefore w:w="0" w:type="auto"/>
        </w:trPr>
        <w:tc>
          <w:tcPr>
            <w:tcW w:w="4766" w:type="dxa"/>
            <w:gridSpan w:val="3"/>
            <w:tcMar>
              <w:top w:w="75" w:type="dxa"/>
              <w:left w:w="90" w:type="dxa"/>
              <w:bottom w:w="60" w:type="dxa"/>
              <w:right w:w="90" w:type="dxa"/>
            </w:tcMar>
          </w:tcPr>
          <w:p w14:paraId="1C031063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9"/>
                <w:szCs w:val="19"/>
                <w:lang w:val="zh-CN" w:eastAsia="zh-CN"/>
              </w:rPr>
              <w:t>三只产品7日年化收益率趋同表现</w:t>
            </w:r>
          </w:p>
          <w:p w14:paraId="118A0AE1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玖利2号、5号、6号，单位：%</w:t>
            </w:r>
          </w:p>
          <w:p w14:paraId="F164A478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</w:rPr>
              <w:drawing>
                <wp:inline distT="0" distB="0" distL="0" distR="0">
                  <wp:extent cx="2749550" cy="1719580"/>
                  <wp:effectExtent l="0" t="0" r="0" b="0"/>
                  <wp:docPr id="1001" name="玖利系列图表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7"/>
                    </a:graphicData>
                  </a:graphic>
                </wp:inline>
              </w:drawing>
            </w:r>
          </w:p>
        </w:tc>
        <w:tc>
          <w:tcPr>
            <w:tcW w:w="4706" w:type="dxa"/>
            <w:gridSpan w:val="3"/>
            <w:tcMar>
              <w:top w:w="75" w:type="dxa"/>
              <w:left w:w="90" w:type="dxa"/>
              <w:bottom w:w="60" w:type="dxa"/>
              <w:right w:w="90" w:type="dxa"/>
            </w:tcMar>
          </w:tcPr>
          <w:p w14:paraId="1967A738">
            <w:pPr>
              <w:spacing w:before="0" w:after="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9"/>
                <w:szCs w:val="19"/>
                <w:lang w:val="zh-CN" w:eastAsia="zh-CN"/>
              </w:rPr>
              <w:t>同类样本对比</w:t>
            </w:r>
          </w:p>
          <w:p w14:paraId="6B62732E">
            <w:pPr>
              <w:spacing w:before="0" w:after="20" w:line="240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766F69"/>
                <w:sz w:val="14"/>
                <w:szCs w:val="14"/>
                <w:lang w:val="zh-CN" w:eastAsia="zh-CN"/>
              </w:rPr>
              <w:t>截至2026年8月18日，单位：%</w:t>
            </w:r>
          </w:p>
          <w:p w14:paraId="A990CD7C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</w:rPr>
              <w:drawing>
                <wp:inline distT="0" distB="0" distL="0" distR="0">
                  <wp:extent cx="2749550" cy="1719580"/>
                  <wp:effectExtent l="0" t="0" r="0" b="0"/>
                  <wp:docPr id="1002" name="玖利系列图表2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8"/>
                    </a:graphicData>
                  </a:graphic>
                </wp:inline>
              </w:drawing>
            </w:r>
          </w:p>
        </w:tc>
      </w:tr>
    </w:tbl>
    <w:p w14:paraId="85A9A24E">
      <w:pPr>
        <w:keepNext/>
        <w:pBdr>
          <w:left w:val="single" w:color="C99A06" w:sz="18" w:space="7"/>
        </w:pBdr>
        <w:spacing w:before="100" w:after="40" w:line="240" w:lineRule="auto"/>
        <w:jc w:val="left"/>
      </w:pPr>
      <w:r>
        <w:rPr>
          <w:rFonts w:hint="eastAsia" w:ascii="PingFang SC" w:hAnsi="PingFang SC" w:eastAsia="PingFang SC" w:cs="PingFang SC"/>
          <w:b/>
          <w:bCs/>
          <w:color w:val="261A16"/>
          <w:sz w:val="23"/>
          <w:szCs w:val="23"/>
          <w:lang w:val="zh-CN" w:eastAsia="zh-CN"/>
        </w:rPr>
        <w:t>核心业绩与同类参照</w:t>
      </w:r>
    </w:p>
    <w:tbl>
      <w:tblPr>
        <w:tblStyle w:val="33"/>
        <w:tblW w:w="9412" w:type="dxa"/>
        <w:tblInd w:w="0" w:type="dxa"/>
        <w:tblBorders>
          <w:top w:val="single" w:color="E2D6C2" w:sz="4" w:space="0"/>
          <w:left w:val="single" w:color="E2D6C2" w:sz="4" w:space="0"/>
          <w:bottom w:val="single" w:color="E2D6C2" w:sz="4" w:space="0"/>
          <w:right w:val="single" w:color="E2D6C2" w:sz="4" w:space="0"/>
          <w:insideH w:val="single" w:color="E2D6C2" w:sz="4" w:space="0"/>
          <w:insideV w:val="single" w:color="E2D6C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278"/>
        <w:gridCol w:w="1620"/>
        <w:gridCol w:w="1570"/>
        <w:gridCol w:w="1765"/>
        <w:gridCol w:w="1557"/>
      </w:tblGrid>
      <w:tr w14:paraId="4EDD1E5C">
        <w:tc>
          <w:tcPr>
            <w:tcW w:w="1622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DF89C999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比较项目</w:t>
            </w:r>
          </w:p>
        </w:tc>
        <w:tc>
          <w:tcPr>
            <w:tcW w:w="1278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73D54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玖利系列代表值</w:t>
            </w:r>
          </w:p>
        </w:tc>
        <w:tc>
          <w:tcPr>
            <w:tcW w:w="1620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EDD8DE09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公募样本中位数</w:t>
            </w:r>
          </w:p>
        </w:tc>
        <w:tc>
          <w:tcPr>
            <w:tcW w:w="1570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F5E6D8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公募样本上四分位</w:t>
            </w:r>
          </w:p>
        </w:tc>
        <w:tc>
          <w:tcPr>
            <w:tcW w:w="1765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A23068A5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较中位数</w:t>
            </w:r>
          </w:p>
        </w:tc>
        <w:tc>
          <w:tcPr>
            <w:tcW w:w="1557" w:type="dxa"/>
            <w:shd w:val="clear" w:color="auto" w:fill="261A1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E81B99C1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FFFFFF"/>
                <w:sz w:val="14"/>
                <w:szCs w:val="14"/>
                <w:lang w:val="zh-CN" w:eastAsia="zh-CN"/>
              </w:rPr>
              <w:t>样本量</w:t>
            </w:r>
          </w:p>
        </w:tc>
      </w:tr>
      <w:tr w14:paraId="45DC5A05">
        <w:tc>
          <w:tcPr>
            <w:tcW w:w="1622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042E615E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7日年化收益率</w:t>
            </w:r>
          </w:p>
        </w:tc>
        <w:tc>
          <w:tcPr>
            <w:tcW w:w="1278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4C60FFFE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1.5095%</w:t>
            </w:r>
          </w:p>
        </w:tc>
        <w:tc>
          <w:tcPr>
            <w:tcW w:w="162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31968BF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1.0520%</w:t>
            </w:r>
          </w:p>
        </w:tc>
        <w:tc>
          <w:tcPr>
            <w:tcW w:w="157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D1A9A640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1.2115%</w:t>
            </w:r>
          </w:p>
        </w:tc>
        <w:tc>
          <w:tcPr>
            <w:tcW w:w="1765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CFB706B7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+0.4575个百分点</w:t>
            </w:r>
          </w:p>
        </w:tc>
        <w:tc>
          <w:tcPr>
            <w:tcW w:w="1557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FA76ECB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939</w:t>
            </w:r>
          </w:p>
        </w:tc>
      </w:tr>
      <w:tr w14:paraId="42751E14">
        <w:tc>
          <w:tcPr>
            <w:tcW w:w="1622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B32E983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同期累计收益</w:t>
            </w:r>
          </w:p>
        </w:tc>
        <w:tc>
          <w:tcPr>
            <w:tcW w:w="1278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8C6CCB5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0.1675%</w:t>
            </w:r>
          </w:p>
        </w:tc>
        <w:tc>
          <w:tcPr>
            <w:tcW w:w="162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0EE2F2C5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0.1190%</w:t>
            </w:r>
          </w:p>
        </w:tc>
        <w:tc>
          <w:tcPr>
            <w:tcW w:w="157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FD3FDB8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0.1342%</w:t>
            </w:r>
          </w:p>
        </w:tc>
        <w:tc>
          <w:tcPr>
            <w:tcW w:w="1765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6CE4C79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+0.0485个百分点</w:t>
            </w:r>
          </w:p>
        </w:tc>
        <w:tc>
          <w:tcPr>
            <w:tcW w:w="1557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9882A861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939</w:t>
            </w:r>
          </w:p>
        </w:tc>
      </w:tr>
      <w:tr w14:paraId="53A13278">
        <w:tc>
          <w:tcPr>
            <w:tcW w:w="1622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EFE4CF03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每万份收益</w:t>
            </w:r>
          </w:p>
        </w:tc>
        <w:tc>
          <w:tcPr>
            <w:tcW w:w="1278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D6063962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0.4104元</w:t>
            </w:r>
          </w:p>
        </w:tc>
        <w:tc>
          <w:tcPr>
            <w:tcW w:w="162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667D13C7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—</w:t>
            </w:r>
          </w:p>
        </w:tc>
        <w:tc>
          <w:tcPr>
            <w:tcW w:w="1570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1960437F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—</w:t>
            </w:r>
          </w:p>
        </w:tc>
        <w:tc>
          <w:tcPr>
            <w:tcW w:w="1765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E6F288ED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—</w:t>
            </w:r>
          </w:p>
        </w:tc>
        <w:tc>
          <w:tcPr>
            <w:tcW w:w="1557" w:type="dxa"/>
            <w:shd w:val="clear" w:color="auto" w:fill="FAF7F0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786FBD8B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5"/>
                <w:szCs w:val="15"/>
                <w:lang w:val="zh-CN" w:eastAsia="zh-CN"/>
              </w:rPr>
              <w:t>估值表</w:t>
            </w:r>
          </w:p>
        </w:tc>
      </w:tr>
      <w:tr w14:paraId="549412B5">
        <w:tc>
          <w:tcPr>
            <w:tcW w:w="1622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25C42DED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合计资产净值</w:t>
            </w:r>
          </w:p>
        </w:tc>
        <w:tc>
          <w:tcPr>
            <w:tcW w:w="1278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34CA8C9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5"/>
                <w:szCs w:val="15"/>
                <w:lang w:val="zh-CN" w:eastAsia="zh-CN"/>
              </w:rPr>
              <w:t>30.05亿元</w:t>
            </w:r>
          </w:p>
        </w:tc>
        <w:tc>
          <w:tcPr>
            <w:tcW w:w="162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B8683CDE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—</w:t>
            </w:r>
          </w:p>
        </w:tc>
        <w:tc>
          <w:tcPr>
            <w:tcW w:w="1570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00BD7EE6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—</w:t>
            </w:r>
          </w:p>
        </w:tc>
        <w:tc>
          <w:tcPr>
            <w:tcW w:w="1765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3B30DFE7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261A16"/>
                <w:sz w:val="15"/>
                <w:szCs w:val="15"/>
                <w:lang w:val="zh-CN" w:eastAsia="zh-CN"/>
              </w:rPr>
              <w:t>—</w:t>
            </w:r>
          </w:p>
        </w:tc>
        <w:tc>
          <w:tcPr>
            <w:tcW w:w="1557" w:type="dxa"/>
            <w:tcMar>
              <w:top w:w="52" w:type="dxa"/>
              <w:left w:w="55" w:type="dxa"/>
              <w:bottom w:w="52" w:type="dxa"/>
              <w:right w:w="55" w:type="dxa"/>
            </w:tcMar>
          </w:tcPr>
          <w:p w14:paraId="68846E02">
            <w:pPr>
              <w:spacing w:before="0" w:after="0" w:line="240" w:lineRule="auto"/>
              <w:jc w:val="center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5"/>
                <w:szCs w:val="15"/>
                <w:lang w:val="zh-CN" w:eastAsia="zh-CN"/>
              </w:rPr>
              <w:t>2号+5号+6号</w:t>
            </w:r>
          </w:p>
        </w:tc>
      </w:tr>
      <w:tr w14:paraId="36171FDF">
        <w:tblPrEx>
          <w:tblBorders>
            <w:top w:val="single" w:color="E2D6C2" w:sz="6" w:space="0"/>
            <w:left w:val="single" w:color="E2D6C2" w:sz="6" w:space="0"/>
            <w:bottom w:val="single" w:color="E2D6C2" w:sz="6" w:space="0"/>
            <w:right w:val="single" w:color="E2D6C2" w:sz="6" w:space="0"/>
            <w:insideH w:val="single" w:color="E2D6C2" w:sz="6" w:space="0"/>
            <w:insideV w:val="single" w:color="E2D6C2" w:sz="6" w:space="0"/>
          </w:tblBorders>
        </w:tblPrEx>
        <w:tc>
          <w:tcPr>
            <w:tcW w:w="1622" w:type="dxa"/>
            <w:shd w:val="clear" w:color="auto" w:fill="FAF7F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DF2A3BC">
            <w:pPr>
              <w:spacing w:before="0" w:after="0" w:line="240" w:lineRule="auto"/>
              <w:ind w:left="0" w:leftChars="0" w:firstLine="0" w:firstLineChars="0"/>
              <w:jc w:val="left"/>
            </w:pPr>
            <w:r>
              <w:rPr>
                <w:rFonts w:hint="eastAsia" w:ascii="PingFang SC" w:hAnsi="PingFang SC" w:eastAsia="PingFang SC" w:cs="PingFang SC"/>
                <w:b/>
                <w:bCs/>
                <w:color w:val="A97800"/>
                <w:sz w:val="17"/>
                <w:szCs w:val="17"/>
                <w:lang w:val="zh-CN" w:eastAsia="zh-CN"/>
              </w:rPr>
              <w:t>阅读结论</w:t>
            </w:r>
          </w:p>
        </w:tc>
        <w:tc>
          <w:tcPr>
            <w:tcW w:w="7790" w:type="dxa"/>
            <w:gridSpan w:val="5"/>
            <w:shd w:val="clear" w:color="auto" w:fill="FAF7F0"/>
            <w:tcMar>
              <w:top w:w="75" w:type="dxa"/>
              <w:left w:w="100" w:type="dxa"/>
              <w:bottom w:w="75" w:type="dxa"/>
              <w:right w:w="100" w:type="dxa"/>
            </w:tcMar>
          </w:tcPr>
          <w:p w14:paraId="53018932">
            <w:pPr>
              <w:spacing w:before="0" w:after="0" w:line="259" w:lineRule="auto"/>
              <w:jc w:val="left"/>
            </w:pPr>
            <w:r>
              <w:rPr>
                <w:rFonts w:hint="eastAsia" w:ascii="PingFang SC" w:hAnsi="PingFang SC" w:eastAsia="PingFang SC" w:cs="PingFang SC"/>
                <w:b w:val="0"/>
                <w:color w:val="261A16"/>
                <w:sz w:val="16"/>
                <w:szCs w:val="16"/>
                <w:lang w:val="zh-CN" w:eastAsia="zh-CN"/>
              </w:rPr>
              <w:t>玖利5号启动期指标由0.2705%快速抬升，7月16日起三只产品7日年化收益率基本趋同；截至8月18日均为1.5095%，高于公募样本中位数0.4575个百分点，观察期累计收益高于样本中位数0.0485个百分点。</w:t>
            </w:r>
          </w:p>
        </w:tc>
      </w:tr>
    </w:tbl>
    <w:p w14:paraId="A80DB301">
      <w:pPr>
        <w:spacing w:before="60" w:after="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4"/>
          <w:szCs w:val="14"/>
          <w:lang w:val="zh-CN" w:eastAsia="zh-CN"/>
        </w:rPr>
        <w:t>注：玖利系列代表值为玖利2号、5号、6号同期数据的简单算术平均；玖利5号观察期初资产规模较小，初期7日年化指标处于抬升阶段。公募样本为同花顺iFinD 939只货币市场型基金份额，含不同份额类别；样本对比仅作市场观察，不构成同业排名或未来收益承诺。</w:t>
      </w:r>
    </w:p>
    <w:p w14:paraId="B675F735">
      <w:pPr>
        <w:spacing w:before="0" w:after="0" w:line="240" w:lineRule="auto"/>
        <w:jc w:val="left"/>
      </w:pPr>
      <w:r>
        <w:rPr>
          <w:rFonts w:hint="eastAsia" w:ascii="PingFang SC" w:hAnsi="PingFang SC" w:eastAsia="PingFang SC" w:cs="PingFang SC"/>
          <w:b w:val="0"/>
          <w:color w:val="766F69"/>
          <w:sz w:val="14"/>
          <w:szCs w:val="14"/>
          <w:lang w:val="zh-CN" w:eastAsia="zh-CN"/>
        </w:rPr>
        <w:t>数据来源：玖利2号、5号、6号每日估值表；同花顺iFinD。仅供机构客户交流。</w:t>
      </w:r>
    </w:p>
    <w:p w14:paraId="36D4B564">
      <w:pPr>
        <w:spacing w:before="0" w:after="0"/>
      </w:pPr>
      <w:r>
        <w:br w:type="page"/>
      </w:r>
    </w:p>
    <w:p w14:paraId="375ACA5A">
      <w:pPr>
        <w:pStyle w:val="4"/>
        <w:ind w:firstLine="0"/>
      </w:pPr>
      <w:r>
        <w:t>（</w:t>
      </w:r>
      <w:r>
        <w:rPr>
          <w:rFonts w:hint="eastAsia"/>
          <w:lang w:val="en-US" w:eastAsia="zh-CN"/>
        </w:rPr>
        <w:t>二</w:t>
      </w:r>
      <w:r>
        <w:t>）产品创新</w:t>
      </w:r>
    </w:p>
    <w:p w14:paraId="6154E68B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公司将传统量化模型、专业投研判断及合规风控流程相结合，把研究成果转化为可发行、可运作的差异化产品。2026年6月和7月，公司先后发行价值策略1号和红利质量量化选股策略：前者突出“估值与现金流双重验证”，后者突出“先验证分红是否具备质量支撑”，在选股逻辑、调仓周期和机构配置用途上形成清晰区分。截至2026年9月11日，价值策略1号成立以来累计收益3.08%、最大回撤-8.71%；红利质量量化选股策略累计收益4.26%、最大回撤-4.25%。两只产品成立均未满一年，短样本业绩不代表未来表现。</w:t>
      </w:r>
    </w:p>
    <w:tbl>
      <w:tblPr>
        <w:tblStyle w:val="33"/>
        <w:tblW w:w="9412" w:type="dxa"/>
        <w:jc w:val="center"/>
        <w:tblBorders>
          <w:top w:val="single" w:color="D7CCBB" w:sz="4" w:space="0"/>
          <w:left w:val="single" w:color="D7CCBB" w:sz="4" w:space="0"/>
          <w:bottom w:val="single" w:color="D7CCBB" w:sz="4" w:space="0"/>
          <w:right w:val="single" w:color="D7CCBB" w:sz="4" w:space="0"/>
          <w:insideH w:val="single" w:color="D7CCBB" w:sz="4" w:space="0"/>
          <w:insideV w:val="single" w:color="D7CC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2300"/>
        <w:gridCol w:w="2920"/>
        <w:gridCol w:w="2742"/>
      </w:tblGrid>
      <w:tr w14:paraId="149336DD">
        <w:trPr>
          <w:cantSplit/>
          <w:trHeight w:val="0" w:hRule="atLeast"/>
          <w:tblHeader/>
          <w:jc w:val="center"/>
        </w:trPr>
        <w:tc>
          <w:tcPr>
            <w:tcW w:w="1450" w:type="dxa"/>
            <w:shd w:val="clear" w:color="auto" w:fill="23181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DA488A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6"/>
                <w:szCs w:val="16"/>
              </w:rPr>
              <w:t>产品</w:t>
            </w:r>
          </w:p>
        </w:tc>
        <w:tc>
          <w:tcPr>
            <w:tcW w:w="2300" w:type="dxa"/>
            <w:shd w:val="clear" w:color="auto" w:fill="23181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07EAE1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6"/>
                <w:szCs w:val="16"/>
              </w:rPr>
              <w:t>当前状态</w:t>
            </w:r>
          </w:p>
        </w:tc>
        <w:tc>
          <w:tcPr>
            <w:tcW w:w="2920" w:type="dxa"/>
            <w:shd w:val="clear" w:color="auto" w:fill="23181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7D98B6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6"/>
                <w:szCs w:val="16"/>
              </w:rPr>
              <w:t>差异化策略定位</w:t>
            </w:r>
          </w:p>
        </w:tc>
        <w:tc>
          <w:tcPr>
            <w:tcW w:w="2742" w:type="dxa"/>
            <w:shd w:val="clear" w:color="auto" w:fill="23181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45FDDF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/>
                <w:color w:val="FFFFFF"/>
                <w:sz w:val="16"/>
                <w:szCs w:val="16"/>
              </w:rPr>
              <w:t>落地进展及业务意义</w:t>
            </w:r>
          </w:p>
        </w:tc>
      </w:tr>
      <w:tr w14:paraId="59D0ED39">
        <w:trPr>
          <w:cantSplit/>
          <w:trHeight w:val="0" w:hRule="atLeast"/>
          <w:jc w:val="center"/>
        </w:trPr>
        <w:tc>
          <w:tcPr>
            <w:tcW w:w="1450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8586AB0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价值策略1号</w:t>
            </w:r>
          </w:p>
        </w:tc>
        <w:tc>
          <w:tcPr>
            <w:tcW w:w="2300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B3A70D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2026年6月10日成立</w:t>
            </w:r>
          </w:p>
        </w:tc>
        <w:tc>
          <w:tcPr>
            <w:tcW w:w="2920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0736B0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以盈利质量和自由现金流验证基本面，再以估值与现金流双因子优选50只股票，按季度调仓。</w:t>
            </w:r>
          </w:p>
        </w:tc>
        <w:tc>
          <w:tcPr>
            <w:tcW w:w="2742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36615B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 xml:space="preserve">已完成产品发行并进入实盘运作，形成公司自主量化价值策略产品样本；截至2026年9月11日累计收益3.08%，最大回撤-8.71%。</w:t>
            </w:r>
          </w:p>
        </w:tc>
      </w:tr>
      <w:tr w14:paraId="2F676174">
        <w:trPr>
          <w:cantSplit/>
          <w:trHeight w:val="0" w:hRule="atLeast"/>
          <w:jc w:val="center"/>
        </w:trPr>
        <w:tc>
          <w:tcPr>
            <w:tcW w:w="1450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CA7758F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红利质量量化选股策略</w:t>
            </w:r>
          </w:p>
        </w:tc>
        <w:tc>
          <w:tcPr>
            <w:tcW w:w="2300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B0B3E0C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2026年7月14日成立</w:t>
            </w:r>
          </w:p>
        </w:tc>
        <w:tc>
          <w:tcPr>
            <w:tcW w:w="2920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4D68A47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先验证分红的盈利和现金流支撑，再以前瞻股息率优选50只股票，每年5月、11月调仓。</w:t>
            </w:r>
          </w:p>
        </w:tc>
        <w:tc>
          <w:tcPr>
            <w:tcW w:w="2742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40D582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 xml:space="preserve">已完成产品发行并进入实盘运作，形成区别于单纯高股息筛选的质量红利产品；截至2026年9月11日累计收益4.26%，最大回撤-4.25%。</w:t>
            </w:r>
          </w:p>
        </w:tc>
      </w:tr>
      <w:tr w14:paraId="11A9090A">
        <w:trPr>
          <w:cantSplit/>
          <w:trHeight w:val="0" w:hRule="atLeast"/>
          <w:jc w:val="center"/>
        </w:trPr>
        <w:tc>
          <w:tcPr>
            <w:tcW w:w="1450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52B2200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价值添利量化配置</w:t>
            </w:r>
          </w:p>
        </w:tc>
        <w:tc>
          <w:tcPr>
            <w:tcW w:w="2300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948D3A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固收+产品发行准备阶段</w:t>
            </w:r>
          </w:p>
        </w:tc>
        <w:tc>
          <w:tcPr>
            <w:tcW w:w="2920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37DEDBB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当前策略测算以80%中证短债指数收益率模拟固收底仓，配置0%—20%价值策略权益敞口，并按量化信号动态管理仓位。</w:t>
            </w:r>
          </w:p>
        </w:tc>
        <w:tc>
          <w:tcPr>
            <w:tcW w:w="2742" w:type="dxa"/>
            <w:shd w:val="clear" w:color="auto" w:fill="FBF9F5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9386F9F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已完成立项，托管人已准入，开户申请及资产单元投资经理指定已提交，托管行审核中。</w:t>
            </w:r>
          </w:p>
        </w:tc>
      </w:tr>
      <w:tr w14:paraId="56DA04DA">
        <w:trPr>
          <w:cantSplit/>
          <w:trHeight w:val="0" w:hRule="atLeast"/>
          <w:jc w:val="center"/>
        </w:trPr>
        <w:tc>
          <w:tcPr>
            <w:tcW w:w="1450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28BA4F">
            <w:pPr>
              <w:keepNext/>
              <w:spacing w:before="0" w:after="0" w:line="264" w:lineRule="auto"/>
              <w:ind w:firstLine="0"/>
              <w:jc w:val="center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红利添利量化配置</w:t>
            </w:r>
          </w:p>
        </w:tc>
        <w:tc>
          <w:tcPr>
            <w:tcW w:w="2300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D135FF9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固收+产品发行准备阶段</w:t>
            </w:r>
          </w:p>
        </w:tc>
        <w:tc>
          <w:tcPr>
            <w:tcW w:w="2920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821250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当前策略测算以80%中证短债指数收益率模拟固收底仓，配置0%—20%红利质量策略权益敞口，并按量化信号动态管理仓位。</w:t>
            </w:r>
          </w:p>
        </w:tc>
        <w:tc>
          <w:tcPr>
            <w:tcW w:w="2742" w:type="dxa"/>
            <w:shd w:val="clear" w:color="auto" w:fill="F8F4EC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1F5ED2">
            <w:pPr>
              <w:keepNext/>
              <w:spacing w:before="0" w:after="0" w:line="264" w:lineRule="auto"/>
              <w:ind w:firstLine="0"/>
              <w:jc w:val="left"/>
            </w:pPr>
            <w:r>
              <w:rPr>
                <w:rFonts w:ascii="PingFang SC" w:hAnsi="PingFang SC" w:eastAsia="PingFang SC" w:cs="PingFang SC"/>
                <w:b w:val="0"/>
                <w:color w:val="3C3732"/>
                <w:sz w:val="15"/>
                <w:szCs w:val="15"/>
              </w:rPr>
              <w:t>已完成立项，托管人已准入，开户申请及资产单元投资经理指定已提交；托管行已审核，合同内部定稿中。</w:t>
            </w:r>
          </w:p>
        </w:tc>
      </w:tr>
    </w:tbl>
    <w:p w14:paraId="13660498">
      <w:pPr>
        <w:keepNext w:val="0"/>
        <w:keepLines/>
        <w:pStyle w:val="15"/>
      </w:pPr>
      <w:r>
        <w:t xml:space="preserve">表1  产品创新储备及落地进展</w:t>
      </w:r>
    </w:p>
    <w:p w14:paraId="7958D83D">
      <w:pPr>
        <w:pStyle w:val="3"/>
        <w:pBdr>
          <w:left w:val="single" w:color="C99A16" w:sz="18" w:space="8"/>
        </w:pBdr>
        <w:ind w:firstLine="0"/>
      </w:pPr>
      <w:r>
        <w:rPr>
          <w:rFonts w:hint="eastAsia"/>
          <w:lang w:val="en-US" w:eastAsia="zh-CN"/>
        </w:rPr>
        <w:t xml:space="preserve">三、运营服务能力</w:t>
      </w:r>
    </w:p>
    <w:p w14:paraId="52BC326F">
      <w:pPr>
        <w:pStyle w:val="4"/>
        <w:ind w:firstLine="0"/>
      </w:pPr>
      <w:r>
        <w:t>（一）全流程承接</w:t>
      </w:r>
    </w:p>
    <w:p w14:paraId="610D5C36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公司已形成从客户需求确认、产品方案设计、产委会审议、合同定稿、登记发行、募集开户、托管准入，到投资运作、估值核算、穿透披露和持续服务的完整流程，各环节依据《组合类保险资产管理产品业务管理办法》（中邮资管〔2024〕219号）、《产品销售业务管理办法》（中邮资管〔2024〕214号）、《产品份额登记及结算业务管理办法》（中邮资管〔2024〕135号）、《组合类保险资产管理产品估值核算实施细则》（中邮资管〔2024〕124号）等制度执行。华泰财险现金管理受托账户已完成托管行准入并投入运作，验证了受托账户从开户、募集到托管运营的全流程承接能力。</w:t>
      </w:r>
    </w:p>
    <w:p w14:paraId="101A3C03">
      <w:pPr>
        <w:pStyle w:val="4"/>
        <w:ind w:firstLine="0"/>
      </w:pPr>
      <w:r>
        <w:t>（二）结算能力</w:t>
      </w:r>
    </w:p>
    <w:p w14:paraId="7EA30D18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交易确认：参与、退出、分红或份额强制减少等业务，可在确认日17:00前提供加盖业务专用章的确认书。</w:t>
      </w:r>
    </w:p>
    <w:p w14:paraId="1EA1D8D8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估值提供：常规估值可于T+1日12:00前提供T日估值表；如约定T+0估值，可于当日20:00前提供。</w:t>
      </w:r>
    </w:p>
    <w:p w14:paraId="539340C8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持续服务：穿透字段、定期报告、异常事项联系人、数据传输方式和时效要求，可在产品合同或运营协议中逐项明确。</w:t>
      </w:r>
    </w:p>
    <w:p w14:paraId="509F9BC2">
      <w:pPr>
        <w:pStyle w:val="4"/>
        <w:ind w:firstLine="0"/>
      </w:pPr>
      <w:r>
        <w:t>（三）托管业务体系</w:t>
      </w:r>
    </w:p>
    <w:p w14:paraId="06E50BFE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公司已形成覆盖产品托管、经纪服务和直销开户的运营支撑体系，可承接新增产品、定制账户和多账户资金的持续接入；相关机构及账户信息可在产品合同、运营协议中逐项明确。</w:t>
      </w:r>
    </w:p>
    <w:p w14:paraId="159256F2">
      <w:pPr>
        <w:pStyle w:val="3"/>
        <w:numPr>
          <w:ilvl w:val="0"/>
          <w:numId w:val="0"/>
        </w:numPr>
        <w:pBdr>
          <w:left w:val="single" w:color="C99A16" w:sz="18" w:space="8"/>
        </w:pBdr>
      </w:pPr>
      <w:r>
        <w:rPr>
          <w:rFonts w:hint="eastAsia"/>
          <w:lang w:val="en-US" w:eastAsia="zh-CN"/>
        </w:rPr>
        <w:t xml:space="preserve">四、合作模式</w:t>
      </w:r>
    </w:p>
    <w:p w14:paraId="3899EE02">
      <w:pPr>
        <w:keepNext w:val="0"/>
        <w:keepLines w:val="0"/>
        <w:widowControl/>
        <w:suppressLineNumbers w:val="0"/>
        <w:ind w:left="0" w:leftChars="0" w:firstLine="0" w:firstLineChars="0"/>
        <w:jc w:val="center"/>
      </w:pPr>
      <w:r>
        <w:rPr>
          <w:rFonts w:ascii="宋体" w:hAnsi="宋体" w:eastAsia="宋体" w:cs="宋体"/>
          <w:color w:val="231815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505575" cy="3740150"/>
            <wp:effectExtent l="0" t="0" r="222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74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EB6B6">
      <w:pPr>
        <w:pStyle w:val="15"/>
      </w:pPr>
      <w:r>
        <w:t>图4  组合类产品双向业务协同闭环</w:t>
      </w:r>
    </w:p>
    <w:p w14:paraId="651AD33E">
      <w:pPr>
        <w:pStyle w:val="4"/>
        <w:ind w:firstLine="0"/>
      </w:pPr>
      <w:r>
        <w:t>（一）产品托管</w:t>
      </w:r>
    </w:p>
    <w:p w14:paraId="0A202EC9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依托现有托管、经纪服务和账户接入基础，公司可根据客户托管行选择、银行准入和产品发行节奏，推进新增产品托管、估值核算、资金清算、穿透报送及经纪服务。</w:t>
      </w:r>
    </w:p>
    <w:p w14:paraId="6E867F82">
      <w:pPr>
        <w:pStyle w:val="4"/>
        <w:ind w:firstLine="0"/>
      </w:pPr>
      <w:r>
        <w:t>（二）流动性管理合作</w:t>
      </w:r>
    </w:p>
    <w:p w14:paraId="2418A481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玖利系列货币市场产品、中短债产品和现金管理受托账户，可在合同投资范围内配置同业存单、银行存款等资产。业务可按“授信准入—询价比价—额度确认—交易执行—流动性监测”的路径推进，具体配置以届时市场报价、信用判断、产品久期和流动性要求为准。</w:t>
      </w:r>
    </w:p>
    <w:p w14:paraId="1B569652">
      <w:pPr>
        <w:pStyle w:val="4"/>
        <w:ind w:firstLine="0"/>
      </w:pPr>
      <w:r>
        <w:t xml:space="preserve">（三）定制受托专户</w:t>
      </w:r>
    </w:p>
    <w:p w14:paraId="1357AD74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可按照保险、银行和理财资金的久期、会计分类、流动性和波动约束，分别提供长期限摊余成本法产品、市值法利率债产品、货币市场产品及现金管理受托账户。前述银行、保险及财险合作案例已验证上述定制能力，后续可根据客户需求复制推广。</w:t>
      </w:r>
    </w:p>
    <w:p w14:paraId="14910BD3">
      <w:pPr>
        <w:pStyle w:val="4"/>
        <w:ind w:firstLine="0"/>
      </w:pPr>
      <w:r>
        <w:t xml:space="preserve">（四）运营服务标准化</w:t>
      </w:r>
    </w:p>
    <w:p w14:paraId="58E878E0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交易确认、估值提供、穿透披露、定期报告和异常事项联系人等运营要求，可按照本报告“运营服务能力”部分所列服务标准写入合同或运营协议，减少产品成立后因职责和时效不清造成的反复沟通。</w:t>
      </w:r>
    </w:p>
    <w:p w14:paraId="1790B329">
      <w:pPr>
        <w:pStyle w:val="3"/>
        <w:pBdr>
          <w:left w:val="single" w:color="C99A16" w:sz="18" w:space="8"/>
        </w:pBdr>
        <w:ind w:firstLine="0"/>
      </w:pPr>
      <w:r>
        <w:t>结语</w:t>
      </w:r>
    </w:p>
    <w:p w14:paraId="797F6D12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>中邮资管取得组合类保险资产管理产品发行资格以来，三方业务已初步完成从产品起步、客户开拓到规模化运作的阶段性跨越，逐步形成覆盖银行、理财、保险及保险资管机构的客户基础，以及固定收益、货币、混合和权益等多策略产品供给。与此同时，公司在产品设计、募集开户、托管准入、估值核算、穿透披露和持续服务等方面形成了较为完整的业务流程，为后续批量承接客户需求和复制成熟合作模式奠定了基础。</w:t>
      </w:r>
    </w:p>
    <w:p w14:paraId="4F71E925">
      <w:pPr>
        <w:keepLines/>
      </w:pPr>
      <w:r>
        <w:rPr>
          <w:rFonts w:ascii="PingFang SC" w:hAnsi="PingFang SC" w:eastAsia="PingFang SC" w:cs="PingFang SC"/>
          <w:color w:val="231815"/>
          <w:sz w:val="21"/>
          <w:szCs w:val="21"/>
        </w:rPr>
        <w:t xml:space="preserve">当前，公司三方业务仍处于持续拓展和能力完善阶段。下一步，公司将在巩固长期限摊余成本法、市值法纯债、保险机构拼单及理财资金多账户运营等成熟模式的基础上，加快推动储备客户向实际产品和资金转化；按照分梯队安排持续完善产品货架，推进短债、固收+及其他差异化策略产品落地；进一步固化交易确认、估值提供、穿透披露和定期报告等服务标准，提升多产品、多账户环境下的批量运营和持续服务能力。</w:t>
      </w:r>
    </w:p>
    <w:sectPr>
      <w:headerReference r:id="rId7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91" w:right="1247" w:bottom="1077" w:left="1247" w:header="0" w:footer="19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1D50A">
    <w:pPr>
      <w:pStyle w:val="24"/>
      <w:spacing w:before="0" w:after="0"/>
      <w:ind w:right="-567"/>
      <w:jc w:val="right"/>
    </w:pPr>
    <w:r>
      <w:rPr>
        <w:rFonts w:ascii="PingFang SC" w:hAnsi="PingFang SC" w:eastAsia="PingFang SC" w:cs="PingFang SC"/>
        <w:color w:val="231815"/>
        <w:sz w:val="12"/>
      </w:rPr>
      <w:fldChar w:fldCharType="begin"/>
    </w:r>
    <w:r>
      <w:rPr>
        <w:rFonts w:ascii="PingFang SC" w:hAnsi="PingFang SC" w:eastAsia="PingFang SC" w:cs="PingFang SC"/>
        <w:color w:val="231815"/>
        <w:sz w:val="12"/>
      </w:rPr>
      <w:instrText xml:space="preserve"> PAGE </w:instrText>
    </w:r>
    <w:r>
      <w:rPr>
        <w:rFonts w:ascii="PingFang SC" w:hAnsi="PingFang SC" w:eastAsia="PingFang SC" w:cs="PingFang SC"/>
        <w:color w:val="231815"/>
        <w:sz w:val="12"/>
      </w:rPr>
      <w:fldChar w:fldCharType="separate"/>
    </w:r>
    <w:r>
      <w:rPr>
        <w:rFonts w:ascii="PingFang SC" w:hAnsi="PingFang SC" w:eastAsia="PingFang SC" w:cs="PingFang SC"/>
        <w:color w:val="231815"/>
        <w:sz w:val="12"/>
      </w:rPr>
      <w:t>1</w:t>
    </w:r>
    <w:r>
      <w:rPr>
        <w:rFonts w:ascii="PingFang SC" w:hAnsi="PingFang SC" w:eastAsia="PingFang SC" w:cs="PingFang SC"/>
        <w:color w:val="231815"/>
        <w:sz w:val="12"/>
      </w:rPr>
      <w:fldChar w:fldCharType="end"/>
    </w:r>
    <w:r>
      <w:rPr>
        <w:rFonts w:ascii="PingFang SC" w:hAnsi="PingFang SC" w:eastAsia="PingFang SC" w:cs="PingFang SC"/>
        <w:color w:val="231815"/>
        <w:sz w:val="12"/>
      </w:rPr>
      <w:t xml:space="preserve"> / </w:t>
    </w:r>
    <w:r>
      <w:rPr>
        <w:rFonts w:ascii="PingFang SC" w:hAnsi="PingFang SC" w:eastAsia="PingFang SC" w:cs="PingFang SC"/>
        <w:color w:val="231815"/>
        <w:sz w:val="12"/>
      </w:rPr>
      <w:fldChar w:fldCharType="begin"/>
    </w:r>
    <w:r>
      <w:rPr>
        <w:rFonts w:ascii="PingFang SC" w:hAnsi="PingFang SC" w:eastAsia="PingFang SC" w:cs="PingFang SC"/>
        <w:color w:val="231815"/>
        <w:sz w:val="12"/>
      </w:rPr>
      <w:instrText xml:space="preserve"> NUMPAGES </w:instrText>
    </w:r>
    <w:r>
      <w:rPr>
        <w:rFonts w:ascii="PingFang SC" w:hAnsi="PingFang SC" w:eastAsia="PingFang SC" w:cs="PingFang SC"/>
        <w:color w:val="231815"/>
        <w:sz w:val="12"/>
      </w:rPr>
      <w:fldChar w:fldCharType="separate"/>
    </w:r>
    <w:r>
      <w:rPr>
        <w:rFonts w:ascii="PingFang SC" w:hAnsi="PingFang SC" w:eastAsia="PingFang SC" w:cs="PingFang SC"/>
        <w:color w:val="231815"/>
        <w:sz w:val="12"/>
      </w:rPr>
      <w:t>1</w:t>
    </w:r>
    <w:r>
      <w:rPr>
        <w:rFonts w:ascii="PingFang SC" w:hAnsi="PingFang SC" w:eastAsia="PingFang SC" w:cs="PingFang SC"/>
        <w:color w:val="231815"/>
        <w:sz w:val="1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FC826">
    <w:pPr>
      <w:pStyle w:val="24"/>
      <w:spacing w:before="0" w:after="0"/>
      <w:ind w:right="-567"/>
      <w:jc w:val="right"/>
    </w:pPr>
    <w:r>
      <w:rPr>
        <w:rFonts w:ascii="PingFang SC" w:hAnsi="PingFang SC" w:eastAsia="PingFang SC" w:cs="PingFang SC"/>
        <w:color w:val="231815"/>
        <w:sz w:val="12"/>
      </w:rPr>
      <w:fldChar w:fldCharType="begin"/>
    </w:r>
    <w:r>
      <w:rPr>
        <w:rFonts w:ascii="PingFang SC" w:hAnsi="PingFang SC" w:eastAsia="PingFang SC" w:cs="PingFang SC"/>
        <w:color w:val="231815"/>
        <w:sz w:val="12"/>
      </w:rPr>
      <w:instrText xml:space="preserve"> PAGE </w:instrText>
    </w:r>
    <w:r>
      <w:rPr>
        <w:rFonts w:ascii="PingFang SC" w:hAnsi="PingFang SC" w:eastAsia="PingFang SC" w:cs="PingFang SC"/>
        <w:color w:val="231815"/>
        <w:sz w:val="12"/>
      </w:rPr>
      <w:fldChar w:fldCharType="separate"/>
    </w:r>
    <w:r>
      <w:rPr>
        <w:rFonts w:ascii="PingFang SC" w:hAnsi="PingFang SC" w:eastAsia="PingFang SC" w:cs="PingFang SC"/>
        <w:color w:val="231815"/>
        <w:sz w:val="12"/>
      </w:rPr>
      <w:t>1</w:t>
    </w:r>
    <w:r>
      <w:rPr>
        <w:rFonts w:ascii="PingFang SC" w:hAnsi="PingFang SC" w:eastAsia="PingFang SC" w:cs="PingFang SC"/>
        <w:color w:val="231815"/>
        <w:sz w:val="12"/>
      </w:rPr>
      <w:fldChar w:fldCharType="end"/>
    </w:r>
    <w:r>
      <w:rPr>
        <w:rFonts w:ascii="PingFang SC" w:hAnsi="PingFang SC" w:eastAsia="PingFang SC" w:cs="PingFang SC"/>
        <w:color w:val="231815"/>
        <w:sz w:val="12"/>
      </w:rPr>
      <w:t xml:space="preserve"> / </w:t>
    </w:r>
    <w:r>
      <w:rPr>
        <w:rFonts w:ascii="PingFang SC" w:hAnsi="PingFang SC" w:eastAsia="PingFang SC" w:cs="PingFang SC"/>
        <w:color w:val="231815"/>
        <w:sz w:val="12"/>
      </w:rPr>
      <w:fldChar w:fldCharType="begin"/>
    </w:r>
    <w:r>
      <w:rPr>
        <w:rFonts w:ascii="PingFang SC" w:hAnsi="PingFang SC" w:eastAsia="PingFang SC" w:cs="PingFang SC"/>
        <w:color w:val="231815"/>
        <w:sz w:val="12"/>
      </w:rPr>
      <w:instrText xml:space="preserve"> NUMPAGES </w:instrText>
    </w:r>
    <w:r>
      <w:rPr>
        <w:rFonts w:ascii="PingFang SC" w:hAnsi="PingFang SC" w:eastAsia="PingFang SC" w:cs="PingFang SC"/>
        <w:color w:val="231815"/>
        <w:sz w:val="12"/>
      </w:rPr>
      <w:fldChar w:fldCharType="separate"/>
    </w:r>
    <w:r>
      <w:rPr>
        <w:rFonts w:ascii="PingFang SC" w:hAnsi="PingFang SC" w:eastAsia="PingFang SC" w:cs="PingFang SC"/>
        <w:color w:val="231815"/>
        <w:sz w:val="12"/>
      </w:rPr>
      <w:t>1</w:t>
    </w:r>
    <w:r>
      <w:rPr>
        <w:rFonts w:ascii="PingFang SC" w:hAnsi="PingFang SC" w:eastAsia="PingFang SC" w:cs="PingFang SC"/>
        <w:color w:val="231815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6F15A">
    <w:pPr>
      <w:pStyle w:val="25"/>
      <w:spacing w:before="0" w:after="0" w:line="240" w:lineRule="auto"/>
      <w:ind w:left="0" w:right="0"/>
      <w:jc w:val="left"/>
    </w:pP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8890" b="1270"/>
          <wp:wrapNone/>
          <wp:docPr id="9" name="正文页眉与背景母版" descr="正文页眉与背景母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正文页眉与背景母版" descr="正文页眉与背景母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63B915">
    <w:pPr>
      <w:pStyle w:val="25"/>
      <w:spacing w:before="0" w:after="0" w:line="240" w:lineRule="auto"/>
      <w:ind w:left="0" w:right="0"/>
      <w:jc w:val="left"/>
    </w:pP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8890" b="1270"/>
          <wp:wrapNone/>
          <wp:docPr id="10" name="正文页眉与背景母版" descr="正文页眉与背景母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正文页眉与背景母版" descr="正文页眉与背景母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C1EA06">
    <w:pPr>
      <w:pStyle w:val="25"/>
      <w:spacing w:before="0" w:after="0" w:line="240" w:lineRule="auto"/>
      <w:ind w:left="0" w:right="0"/>
      <w:jc w:val="left"/>
    </w:pPr>
    <w: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8890" b="1270"/>
          <wp:wrapNone/>
          <wp:docPr id="8" name="报告封面母版" descr="报告封面母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报告封面母版" descr="报告封面母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7B66"/>
    <w:multiLevelType w:val="singleLevel"/>
    <w:tmpl w:val="BFDE7B66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C72BA3E"/>
    <w:multiLevelType w:val="singleLevel"/>
    <w:tmpl w:val="7C72BA3E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DF913D"/>
    <w:rsid w:val="63AB309C"/>
    <w:rsid w:val="67DF5F52"/>
    <w:rsid w:val="73EFF359"/>
    <w:rsid w:val="766DB04C"/>
    <w:rsid w:val="7AC76ADE"/>
    <w:rsid w:val="7DF75684"/>
    <w:rsid w:val="7ED79A7B"/>
    <w:rsid w:val="7FDF5D78"/>
    <w:rsid w:val="9FADF245"/>
    <w:rsid w:val="A7EF7205"/>
    <w:rsid w:val="B29F74E2"/>
    <w:rsid w:val="BFB762D5"/>
    <w:rsid w:val="D7C5B767"/>
    <w:rsid w:val="DA7D9248"/>
    <w:rsid w:val="F37F2CC3"/>
    <w:rsid w:val="FA7F4BB1"/>
    <w:rsid w:val="FBFFA4F0"/>
    <w:rsid w:val="FCFFCB05"/>
    <w:rsid w:val="FE5B2065"/>
    <w:rsid w:val="FF8D8C20"/>
    <w:rsid w:val="FFFEB5E5"/>
    <w:rsid w:val="FFFEF4DC"/>
    <w:rsid w:val="FFFF6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48" w:lineRule="auto"/>
      <w:ind w:firstLine="420"/>
      <w:jc w:val="both"/>
    </w:pPr>
    <w:rPr>
      <w:rFonts w:ascii="PingFang SC" w:hAnsi="PingFang SC" w:eastAsia="PingFang SC" w:cs="PingFang SC"/>
      <w:color w:val="23181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pageBreakBefore w:val="0"/>
      <w:spacing w:before="320" w:after="180"/>
      <w:ind w:firstLine="0"/>
      <w:outlineLvl w:val="0"/>
    </w:pPr>
    <w:rPr>
      <w:rFonts w:ascii="PingFang SC" w:hAnsi="PingFang SC" w:eastAsia="PingFang SC" w:cs="PingFang SC"/>
      <w:b/>
      <w:bCs/>
      <w:color w:val="23181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pageBreakBefore w:val="0"/>
      <w:spacing w:before="240" w:after="120"/>
      <w:ind w:firstLine="0"/>
      <w:outlineLvl w:val="1"/>
    </w:pPr>
    <w:rPr>
      <w:rFonts w:ascii="PingFang SC" w:hAnsi="PingFang SC" w:eastAsia="PingFang SC" w:cs="PingFang SC"/>
      <w:b/>
      <w:bCs/>
      <w:color w:val="23181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pageBreakBefore w:val="0"/>
      <w:spacing w:before="180" w:after="80"/>
      <w:ind w:firstLine="0"/>
      <w:outlineLvl w:val="2"/>
    </w:pPr>
    <w:rPr>
      <w:rFonts w:ascii="PingFang SC" w:hAnsi="PingFang SC" w:eastAsia="PingFang SC" w:cs="PingFang SC"/>
      <w:b/>
      <w:bCs/>
      <w:color w:val="8B6814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80" w:after="40" w:line="240" w:lineRule="auto"/>
      <w:ind w:firstLine="0"/>
      <w:jc w:val="center"/>
    </w:pPr>
    <w:rPr>
      <w:rFonts w:ascii="PingFang SC" w:hAnsi="PingFang SC" w:eastAsia="PingFang SC" w:cs="PingFang SC"/>
      <w:b/>
      <w:bCs/>
      <w:color w:val="6F6860"/>
      <w:sz w:val="17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pPr>
      <w:keepNext/>
      <w:pageBreakBefore w:val="0"/>
      <w:spacing w:before="0" w:after="240"/>
      <w:ind w:firstLine="0"/>
    </w:pPr>
    <w:rPr>
      <w:rFonts w:ascii="PingFang SC" w:hAnsi="PingFang SC" w:eastAsia="PingFang SC" w:cs="PingFang SC"/>
      <w:b/>
      <w:i/>
      <w:iCs/>
      <w:color w:val="6F6860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pageBreakBefore w:val="0"/>
      <w:pBdr>
        <w:bottom w:val="single" w:color="4F81BD" w:themeColor="accent1" w:sz="8" w:space="4"/>
      </w:pBdr>
      <w:spacing w:before="0" w:after="240" w:line="240" w:lineRule="auto"/>
      <w:ind w:firstLine="0"/>
      <w:contextualSpacing/>
    </w:pPr>
    <w:rPr>
      <w:rFonts w:ascii="PingFang SC" w:hAnsi="PingFang SC" w:eastAsia="PingFang SC" w:cs="PingFang SC"/>
      <w:b/>
      <w:color w:val="231815"/>
      <w:spacing w:val="5"/>
      <w:kern w:val="28"/>
      <w:sz w:val="56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chart" Target="charts/chart4.xml"/><Relationship Id="rId17" Type="http://schemas.openxmlformats.org/officeDocument/2006/relationships/chart" Target="charts/chart3.xml"/><Relationship Id="rId16" Type="http://schemas.openxmlformats.org/officeDocument/2006/relationships/chart" Target="charts/chart2.xml"/><Relationship Id="rId15" Type="http://schemas.openxmlformats.org/officeDocument/2006/relationships/chart" Target="charts/chart1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3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2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Workbook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'业绩表现'!$B$1</c:f>
              <c:strCache>
                <c:ptCount val="1"/>
                <c:pt idx="0">
                  <c:v>玖泰1号</c:v>
                </c:pt>
              </c:strCache>
            </c:strRef>
          </c:tx>
          <c:spPr>
            <a:ln w="25400" cap="rnd" cmpd="sng" algn="ctr">
              <a:solidFill>
                <a:srgbClr val="2277A2"/>
              </a:solidFill>
              <a:prstDash val="solid"/>
              <a:round/>
            </a:ln>
          </c:spPr>
          <c:marker>
            <c:symbol val="none"/>
          </c:marker>
          <c:dLbls>
            <c:delete val="1"/>
          </c:dLbls>
          <c:cat>
            <c:strRef>
              <c:f>'业绩表现'!$A$2:$A$50</c:f>
              <c:strCache>
                <c:ptCount val="49"/>
                <c:pt idx="0">
                  <c:v>25-08-29</c:v>
                </c:pt>
                <c:pt idx="1">
                  <c:v>25-09-05</c:v>
                </c:pt>
                <c:pt idx="2">
                  <c:v>25-09-12</c:v>
                </c:pt>
                <c:pt idx="3">
                  <c:v>25-09-19</c:v>
                </c:pt>
                <c:pt idx="4">
                  <c:v>25-09-26</c:v>
                </c:pt>
                <c:pt idx="5">
                  <c:v>25-10-09</c:v>
                </c:pt>
                <c:pt idx="6">
                  <c:v>25-10-16</c:v>
                </c:pt>
                <c:pt idx="7">
                  <c:v>25-10-23</c:v>
                </c:pt>
                <c:pt idx="8">
                  <c:v>25-10-30</c:v>
                </c:pt>
                <c:pt idx="9">
                  <c:v>25-11-06</c:v>
                </c:pt>
                <c:pt idx="10">
                  <c:v>25-11-13</c:v>
                </c:pt>
                <c:pt idx="11">
                  <c:v>25-11-20</c:v>
                </c:pt>
                <c:pt idx="12">
                  <c:v>25-11-27</c:v>
                </c:pt>
                <c:pt idx="13">
                  <c:v>25-12-04</c:v>
                </c:pt>
                <c:pt idx="14">
                  <c:v>25-12-11</c:v>
                </c:pt>
                <c:pt idx="15">
                  <c:v>25-12-18</c:v>
                </c:pt>
                <c:pt idx="16">
                  <c:v>25-12-25</c:v>
                </c:pt>
                <c:pt idx="17">
                  <c:v>26-01-05</c:v>
                </c:pt>
                <c:pt idx="18">
                  <c:v>26-01-12</c:v>
                </c:pt>
                <c:pt idx="19">
                  <c:v>26-01-19</c:v>
                </c:pt>
                <c:pt idx="20">
                  <c:v>26-01-26</c:v>
                </c:pt>
                <c:pt idx="21">
                  <c:v>26-02-02</c:v>
                </c:pt>
                <c:pt idx="22">
                  <c:v>26-02-09</c:v>
                </c:pt>
                <c:pt idx="23">
                  <c:v>26-02-24</c:v>
                </c:pt>
                <c:pt idx="24">
                  <c:v>26-03-03</c:v>
                </c:pt>
                <c:pt idx="25">
                  <c:v>26-03-10</c:v>
                </c:pt>
                <c:pt idx="26">
                  <c:v>26-03-17</c:v>
                </c:pt>
                <c:pt idx="27">
                  <c:v>26-03-24</c:v>
                </c:pt>
                <c:pt idx="28">
                  <c:v>26-03-31</c:v>
                </c:pt>
                <c:pt idx="29">
                  <c:v>26-04-07</c:v>
                </c:pt>
                <c:pt idx="30">
                  <c:v>26-04-14</c:v>
                </c:pt>
                <c:pt idx="31">
                  <c:v>26-04-21</c:v>
                </c:pt>
                <c:pt idx="32">
                  <c:v>26-04-28</c:v>
                </c:pt>
                <c:pt idx="33">
                  <c:v>26-05-06</c:v>
                </c:pt>
                <c:pt idx="34">
                  <c:v>26-05-13</c:v>
                </c:pt>
                <c:pt idx="35">
                  <c:v>26-05-20</c:v>
                </c:pt>
                <c:pt idx="36">
                  <c:v>26-05-27</c:v>
                </c:pt>
                <c:pt idx="37">
                  <c:v>26-06-03</c:v>
                </c:pt>
                <c:pt idx="38">
                  <c:v>26-06-10</c:v>
                </c:pt>
                <c:pt idx="39">
                  <c:v>26-06-17</c:v>
                </c:pt>
                <c:pt idx="40">
                  <c:v>26-06-24</c:v>
                </c:pt>
                <c:pt idx="41">
                  <c:v>26-07-01</c:v>
                </c:pt>
                <c:pt idx="42">
                  <c:v>26-07-08</c:v>
                </c:pt>
                <c:pt idx="43">
                  <c:v>26-07-15</c:v>
                </c:pt>
                <c:pt idx="44">
                  <c:v>26-07-22</c:v>
                </c:pt>
                <c:pt idx="45">
                  <c:v>26-07-29</c:v>
                </c:pt>
                <c:pt idx="46">
                  <c:v>26-08-05</c:v>
                </c:pt>
                <c:pt idx="47">
                  <c:v>26-08-12</c:v>
                </c:pt>
                <c:pt idx="48">
                  <c:v>26-08-17</c:v>
                </c:pt>
              </c:strCache>
            </c:strRef>
          </c:cat>
          <c:val>
            <c:numRef>
              <c:f>'业绩表现'!$B$2:$B$50</c:f>
              <c:numCache>
                <c:formatCode>0.00%</c:formatCode>
                <c:ptCount val="49"/>
                <c:pt idx="0">
                  <c:v>0</c:v>
                </c:pt>
                <c:pt idx="1">
                  <c:v>0.0002998067</c:v>
                </c:pt>
                <c:pt idx="2">
                  <c:v>0.0004001556</c:v>
                </c:pt>
                <c:pt idx="3">
                  <c:v>0.0006999636</c:v>
                </c:pt>
                <c:pt idx="4">
                  <c:v>0.0005996147</c:v>
                </c:pt>
                <c:pt idx="5">
                  <c:v>0.001500276</c:v>
                </c:pt>
                <c:pt idx="6">
                  <c:v>0.0019995419</c:v>
                </c:pt>
                <c:pt idx="7">
                  <c:v>0.003099661</c:v>
                </c:pt>
                <c:pt idx="8">
                  <c:v>0.0051995517</c:v>
                </c:pt>
                <c:pt idx="9">
                  <c:v>0.0062996722</c:v>
                </c:pt>
                <c:pt idx="10">
                  <c:v>0.006400021</c:v>
                </c:pt>
                <c:pt idx="11">
                  <c:v>0.0070999846</c:v>
                </c:pt>
                <c:pt idx="12">
                  <c:v>0.0062996722</c:v>
                </c:pt>
                <c:pt idx="13">
                  <c:v>0.0061993233</c:v>
                </c:pt>
                <c:pt idx="14">
                  <c:v>0.0065003698</c:v>
                </c:pt>
                <c:pt idx="15">
                  <c:v>0.0070999846</c:v>
                </c:pt>
                <c:pt idx="16">
                  <c:v>0.007600489</c:v>
                </c:pt>
                <c:pt idx="17">
                  <c:v>0.0080997549</c:v>
                </c:pt>
                <c:pt idx="18">
                  <c:v>0.0083004525</c:v>
                </c:pt>
                <c:pt idx="19">
                  <c:v>0.0090004161</c:v>
                </c:pt>
                <c:pt idx="20">
                  <c:v>0.0101005353</c:v>
                </c:pt>
                <c:pt idx="21">
                  <c:v>0.0102999944</c:v>
                </c:pt>
                <c:pt idx="22">
                  <c:v>0.0108996092</c:v>
                </c:pt>
                <c:pt idx="23">
                  <c:v>0.0123998852</c:v>
                </c:pt>
                <c:pt idx="24">
                  <c:v>0.0126996919</c:v>
                </c:pt>
                <c:pt idx="25">
                  <c:v>0.0133005464</c:v>
                </c:pt>
                <c:pt idx="26">
                  <c:v>0.0136994635</c:v>
                </c:pt>
                <c:pt idx="27">
                  <c:v>0.0147995826</c:v>
                </c:pt>
                <c:pt idx="28">
                  <c:v>0.015599895</c:v>
                </c:pt>
                <c:pt idx="29">
                  <c:v>0.0162998586</c:v>
                </c:pt>
                <c:pt idx="30">
                  <c:v>0.0168003643</c:v>
                </c:pt>
                <c:pt idx="31">
                  <c:v>0.0172996302</c:v>
                </c:pt>
                <c:pt idx="32">
                  <c:v>0.0176006767</c:v>
                </c:pt>
                <c:pt idx="33">
                  <c:v>0.0179004834</c:v>
                </c:pt>
                <c:pt idx="34">
                  <c:v>0.0187999061</c:v>
                </c:pt>
                <c:pt idx="35">
                  <c:v>0.0194998697</c:v>
                </c:pt>
                <c:pt idx="36">
                  <c:v>0.0201998333</c:v>
                </c:pt>
                <c:pt idx="37">
                  <c:v>0.0211004945</c:v>
                </c:pt>
                <c:pt idx="38">
                  <c:v>0.0208997969</c:v>
                </c:pt>
                <c:pt idx="39">
                  <c:v>0.0208006865</c:v>
                </c:pt>
                <c:pt idx="40">
                  <c:v>0.0212008421</c:v>
                </c:pt>
                <c:pt idx="41">
                  <c:v>0.0215997604</c:v>
                </c:pt>
                <c:pt idx="42">
                  <c:v>0.021999916</c:v>
                </c:pt>
                <c:pt idx="43">
                  <c:v>0.022299724</c:v>
                </c:pt>
                <c:pt idx="44">
                  <c:v>0.0226007692</c:v>
                </c:pt>
                <c:pt idx="45">
                  <c:v>0.0229005773</c:v>
                </c:pt>
                <c:pt idx="46">
                  <c:v>0.0232003853</c:v>
                </c:pt>
                <c:pt idx="47">
                  <c:v>0.0236005408</c:v>
                </c:pt>
                <c:pt idx="48">
                  <c:v>0.0238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'业绩表现'!$C$1</c:f>
              <c:strCache>
                <c:ptCount val="1"/>
                <c:pt idx="0">
                  <c:v>同类基金</c:v>
                </c:pt>
              </c:strCache>
            </c:strRef>
          </c:tx>
          <c:spPr>
            <a:ln w="25400" cap="rnd" cmpd="sng" algn="ctr">
              <a:solidFill>
                <a:srgbClr val="F68717"/>
              </a:solidFill>
              <a:prstDash val="solid"/>
              <a:round/>
            </a:ln>
          </c:spPr>
          <c:marker>
            <c:symbol val="none"/>
          </c:marker>
          <c:dLbls>
            <c:delete val="1"/>
          </c:dLbls>
          <c:cat>
            <c:strRef>
              <c:f>'业绩表现'!$A$2:$A$50</c:f>
              <c:strCache>
                <c:ptCount val="49"/>
                <c:pt idx="0">
                  <c:v>25-08-29</c:v>
                </c:pt>
                <c:pt idx="1">
                  <c:v>25-09-05</c:v>
                </c:pt>
                <c:pt idx="2">
                  <c:v>25-09-12</c:v>
                </c:pt>
                <c:pt idx="3">
                  <c:v>25-09-19</c:v>
                </c:pt>
                <c:pt idx="4">
                  <c:v>25-09-26</c:v>
                </c:pt>
                <c:pt idx="5">
                  <c:v>25-10-09</c:v>
                </c:pt>
                <c:pt idx="6">
                  <c:v>25-10-16</c:v>
                </c:pt>
                <c:pt idx="7">
                  <c:v>25-10-23</c:v>
                </c:pt>
                <c:pt idx="8">
                  <c:v>25-10-30</c:v>
                </c:pt>
                <c:pt idx="9">
                  <c:v>25-11-06</c:v>
                </c:pt>
                <c:pt idx="10">
                  <c:v>25-11-13</c:v>
                </c:pt>
                <c:pt idx="11">
                  <c:v>25-11-20</c:v>
                </c:pt>
                <c:pt idx="12">
                  <c:v>25-11-27</c:v>
                </c:pt>
                <c:pt idx="13">
                  <c:v>25-12-04</c:v>
                </c:pt>
                <c:pt idx="14">
                  <c:v>25-12-11</c:v>
                </c:pt>
                <c:pt idx="15">
                  <c:v>25-12-18</c:v>
                </c:pt>
                <c:pt idx="16">
                  <c:v>25-12-25</c:v>
                </c:pt>
                <c:pt idx="17">
                  <c:v>26-01-05</c:v>
                </c:pt>
                <c:pt idx="18">
                  <c:v>26-01-12</c:v>
                </c:pt>
                <c:pt idx="19">
                  <c:v>26-01-19</c:v>
                </c:pt>
                <c:pt idx="20">
                  <c:v>26-01-26</c:v>
                </c:pt>
                <c:pt idx="21">
                  <c:v>26-02-02</c:v>
                </c:pt>
                <c:pt idx="22">
                  <c:v>26-02-09</c:v>
                </c:pt>
                <c:pt idx="23">
                  <c:v>26-02-24</c:v>
                </c:pt>
                <c:pt idx="24">
                  <c:v>26-03-03</c:v>
                </c:pt>
                <c:pt idx="25">
                  <c:v>26-03-10</c:v>
                </c:pt>
                <c:pt idx="26">
                  <c:v>26-03-17</c:v>
                </c:pt>
                <c:pt idx="27">
                  <c:v>26-03-24</c:v>
                </c:pt>
                <c:pt idx="28">
                  <c:v>26-03-31</c:v>
                </c:pt>
                <c:pt idx="29">
                  <c:v>26-04-07</c:v>
                </c:pt>
                <c:pt idx="30">
                  <c:v>26-04-14</c:v>
                </c:pt>
                <c:pt idx="31">
                  <c:v>26-04-21</c:v>
                </c:pt>
                <c:pt idx="32">
                  <c:v>26-04-28</c:v>
                </c:pt>
                <c:pt idx="33">
                  <c:v>26-05-06</c:v>
                </c:pt>
                <c:pt idx="34">
                  <c:v>26-05-13</c:v>
                </c:pt>
                <c:pt idx="35">
                  <c:v>26-05-20</c:v>
                </c:pt>
                <c:pt idx="36">
                  <c:v>26-05-27</c:v>
                </c:pt>
                <c:pt idx="37">
                  <c:v>26-06-03</c:v>
                </c:pt>
                <c:pt idx="38">
                  <c:v>26-06-10</c:v>
                </c:pt>
                <c:pt idx="39">
                  <c:v>26-06-17</c:v>
                </c:pt>
                <c:pt idx="40">
                  <c:v>26-06-24</c:v>
                </c:pt>
                <c:pt idx="41">
                  <c:v>26-07-01</c:v>
                </c:pt>
                <c:pt idx="42">
                  <c:v>26-07-08</c:v>
                </c:pt>
                <c:pt idx="43">
                  <c:v>26-07-15</c:v>
                </c:pt>
                <c:pt idx="44">
                  <c:v>26-07-22</c:v>
                </c:pt>
                <c:pt idx="45">
                  <c:v>26-07-29</c:v>
                </c:pt>
                <c:pt idx="46">
                  <c:v>26-08-05</c:v>
                </c:pt>
                <c:pt idx="47">
                  <c:v>26-08-12</c:v>
                </c:pt>
                <c:pt idx="48">
                  <c:v>26-08-17</c:v>
                </c:pt>
              </c:strCache>
            </c:strRef>
          </c:cat>
          <c:val>
            <c:numRef>
              <c:f>'业绩表现'!$C$2:$C$50</c:f>
              <c:numCache>
                <c:formatCode>0.00%</c:formatCode>
                <c:ptCount val="49"/>
                <c:pt idx="0">
                  <c:v>0</c:v>
                </c:pt>
                <c:pt idx="1">
                  <c:v>0.0006262804</c:v>
                </c:pt>
                <c:pt idx="2">
                  <c:v>-8.8226e-5</c:v>
                </c:pt>
                <c:pt idx="3">
                  <c:v>0.0001478715</c:v>
                </c:pt>
                <c:pt idx="4">
                  <c:v>-0.0005517229</c:v>
                </c:pt>
                <c:pt idx="5">
                  <c:v>0.0006598312</c:v>
                </c:pt>
                <c:pt idx="6">
                  <c:v>0.001559488</c:v>
                </c:pt>
                <c:pt idx="7">
                  <c:v>0.0022615682</c:v>
                </c:pt>
                <c:pt idx="8">
                  <c:v>0.0034818205</c:v>
                </c:pt>
                <c:pt idx="9">
                  <c:v>0.0040994027</c:v>
                </c:pt>
                <c:pt idx="10">
                  <c:v>0.004422484</c:v>
                </c:pt>
                <c:pt idx="11">
                  <c:v>0.0045715978</c:v>
                </c:pt>
                <c:pt idx="12">
                  <c:v>0.0038583349</c:v>
                </c:pt>
                <c:pt idx="13">
                  <c:v>0.0035924133</c:v>
                </c:pt>
                <c:pt idx="14">
                  <c:v>0.004288281</c:v>
                </c:pt>
                <c:pt idx="15">
                  <c:v>0.0045517155</c:v>
                </c:pt>
                <c:pt idx="16">
                  <c:v>0.005231429</c:v>
                </c:pt>
                <c:pt idx="17">
                  <c:v>0.0056588906</c:v>
                </c:pt>
                <c:pt idx="18">
                  <c:v>0.0061074768</c:v>
                </c:pt>
                <c:pt idx="19">
                  <c:v>0.0065138126</c:v>
                </c:pt>
                <c:pt idx="20">
                  <c:v>0.0073998009</c:v>
                </c:pt>
                <c:pt idx="21">
                  <c:v>0.0075041812</c:v>
                </c:pt>
                <c:pt idx="22">
                  <c:v>0.0082062614</c:v>
                </c:pt>
                <c:pt idx="23">
                  <c:v>0.0091009466</c:v>
                </c:pt>
                <c:pt idx="24">
                  <c:v>0.009343258</c:v>
                </c:pt>
                <c:pt idx="25">
                  <c:v>0.0097756898</c:v>
                </c:pt>
                <c:pt idx="26">
                  <c:v>0.0100440959</c:v>
                </c:pt>
                <c:pt idx="27">
                  <c:v>0.010485226</c:v>
                </c:pt>
                <c:pt idx="28">
                  <c:v>0.0109959422</c:v>
                </c:pt>
                <c:pt idx="29">
                  <c:v>0.0116756556</c:v>
                </c:pt>
                <c:pt idx="30">
                  <c:v>0.0122298643</c:v>
                </c:pt>
                <c:pt idx="31">
                  <c:v>0.0126983314</c:v>
                </c:pt>
                <c:pt idx="32">
                  <c:v>0.0129157902</c:v>
                </c:pt>
                <c:pt idx="33">
                  <c:v>0.0133134278</c:v>
                </c:pt>
                <c:pt idx="34">
                  <c:v>0.0139173415</c:v>
                </c:pt>
                <c:pt idx="35">
                  <c:v>0.0143696557</c:v>
                </c:pt>
                <c:pt idx="36">
                  <c:v>0.014843093</c:v>
                </c:pt>
                <c:pt idx="37">
                  <c:v>0.0154109702</c:v>
                </c:pt>
                <c:pt idx="38">
                  <c:v>0.0149835099</c:v>
                </c:pt>
                <c:pt idx="39">
                  <c:v>0.0153065899</c:v>
                </c:pt>
                <c:pt idx="40">
                  <c:v>0.0155998485</c:v>
                </c:pt>
                <c:pt idx="41">
                  <c:v>0.0159527526</c:v>
                </c:pt>
                <c:pt idx="42">
                  <c:v>0.0162050044</c:v>
                </c:pt>
                <c:pt idx="43">
                  <c:v>0.016241041</c:v>
                </c:pt>
                <c:pt idx="44">
                  <c:v>0.0164286757</c:v>
                </c:pt>
                <c:pt idx="45">
                  <c:v>0.0164286757</c:v>
                </c:pt>
                <c:pt idx="46">
                  <c:v>0.0170897505</c:v>
                </c:pt>
                <c:pt idx="47">
                  <c:v>0.0176203489</c:v>
                </c:pt>
                <c:pt idx="48">
                  <c:v>0.0181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8432101"/>
        <c:axId val="68432102"/>
      </c:lineChart>
      <c:catAx>
        <c:axId val="684321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 cap="flat" cmpd="sng" algn="ctr">
            <a:solidFill>
              <a:srgbClr val="D8D0C4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65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68432102"/>
        <c:crosses val="autoZero"/>
        <c:auto val="1"/>
        <c:lblAlgn val="ctr"/>
        <c:lblOffset val="100"/>
        <c:noMultiLvlLbl val="0"/>
      </c:catAx>
      <c:valAx>
        <c:axId val="68432102"/>
        <c:scaling>
          <c:orientation val="minMax"/>
          <c:max val="0.025"/>
          <c:min val="-0.005"/>
        </c:scaling>
        <c:delete val="0"/>
        <c:axPos val="l"/>
        <c:majorGridlines>
          <c:spPr>
            <a:ln w="9525" cap="flat" cmpd="sng" algn="ctr">
              <a:solidFill>
                <a:srgbClr val="E2D6C2"/>
              </a:solidFill>
              <a:prstDash val="solid"/>
              <a:round/>
            </a:ln>
          </c:spPr>
        </c:majorGridlines>
        <c:numFmt formatCode="0.0%" sourceLinked="0"/>
        <c:majorTickMark val="none"/>
        <c:minorTickMark val="none"/>
        <c:tickLblPos val="nextTo"/>
        <c:spPr>
          <a:ln w="9525" cap="flat" cmpd="sng" algn="ctr">
            <a:noFill/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65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68432101"/>
        <c:crosses val="autoZero"/>
        <c:crossBetween val="between"/>
      </c:valAx>
    </c:plotArea>
    <c:legend>
      <c:legendPos val="b"/>
      <c:layout/>
      <c:overlay val="0"/>
      <c:txPr>
        <a:bodyPr rot="0" spcFirstLastPara="0" vertOverflow="ellipsis" vert="horz" wrap="square" anchor="ctr" anchorCtr="1"/>
        <a:lstStyle/>
        <a:p>
          <a:pPr>
            <a:defRPr lang="zh-CN" sz="650" b="0" i="0" u="none" strike="noStrike" kern="1200" baseline="0">
              <a:solidFill>
                <a:srgbClr val="766F69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4d4bf6e-1ada-4292-ac95-b83f04d09dff}"/>
      </c:ext>
    </c:extLst>
  </c:chart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'区间对比'!$B$1</c:f>
              <c:strCache>
                <c:ptCount val="1"/>
                <c:pt idx="0">
                  <c:v>玖泰1号</c:v>
                </c:pt>
              </c:strCache>
            </c:strRef>
          </c:tx>
          <c:spPr>
            <a:solidFill>
              <a:srgbClr val="C99A06"/>
            </a:solidFill>
            <a:ln w="9525" cap="flat" cmpd="sng" algn="ctr">
              <a:noFill/>
              <a:prstDash val="solid"/>
              <a:round/>
            </a:ln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65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/>
              </c:ext>
            </c:extLst>
          </c:dLbls>
          <c:cat>
            <c:strRef>
              <c:f>'区间对比'!$A$2:$A$5</c:f>
              <c:strCache>
                <c:ptCount val="4"/>
                <c:pt idx="0">
                  <c:v>近3月</c:v>
                </c:pt>
                <c:pt idx="1">
                  <c:v>近6月</c:v>
                </c:pt>
                <c:pt idx="2">
                  <c:v>YTD</c:v>
                </c:pt>
                <c:pt idx="3">
                  <c:v>成立以来</c:v>
                </c:pt>
              </c:strCache>
            </c:strRef>
          </c:cat>
          <c:val>
            <c:numRef>
              <c:f>'区间对比'!$B$2:$B$5</c:f>
              <c:numCache>
                <c:formatCode>0.00%</c:formatCode>
                <c:ptCount val="4"/>
                <c:pt idx="0">
                  <c:v>0.0047</c:v>
                </c:pt>
                <c:pt idx="1">
                  <c:v>0.0119</c:v>
                </c:pt>
                <c:pt idx="2">
                  <c:v>0.016</c:v>
                </c:pt>
                <c:pt idx="3">
                  <c:v>0.0238</c:v>
                </c:pt>
              </c:numCache>
            </c:numRef>
          </c:val>
        </c:ser>
        <c:ser>
          <c:idx val="1"/>
          <c:order val="1"/>
          <c:tx>
            <c:strRef>
              <c:f>'区间对比'!$C$1</c:f>
              <c:strCache>
                <c:ptCount val="1"/>
                <c:pt idx="0">
                  <c:v>同类基金</c:v>
                </c:pt>
              </c:strCache>
            </c:strRef>
          </c:tx>
          <c:spPr>
            <a:solidFill>
              <a:srgbClr val="9C9C98"/>
            </a:solidFill>
            <a:ln w="9525" cap="flat" cmpd="sng" algn="ctr">
              <a:noFill/>
              <a:prstDash val="solid"/>
              <a:round/>
            </a:ln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55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/>
              </c:ext>
            </c:extLst>
          </c:dLbls>
          <c:cat>
            <c:strRef>
              <c:f>'区间对比'!$A$2:$A$5</c:f>
              <c:strCache>
                <c:ptCount val="4"/>
                <c:pt idx="0">
                  <c:v>近3月</c:v>
                </c:pt>
                <c:pt idx="1">
                  <c:v>近6月</c:v>
                </c:pt>
                <c:pt idx="2">
                  <c:v>YTD</c:v>
                </c:pt>
                <c:pt idx="3">
                  <c:v>成立以来</c:v>
                </c:pt>
              </c:strCache>
            </c:strRef>
          </c:cat>
          <c:val>
            <c:numRef>
              <c:f>'区间对比'!$C$2:$C$5</c:f>
              <c:numCache>
                <c:formatCode>0.00%</c:formatCode>
                <c:ptCount val="4"/>
                <c:pt idx="0">
                  <c:v>0.0041</c:v>
                </c:pt>
                <c:pt idx="1">
                  <c:v>0.0096</c:v>
                </c:pt>
                <c:pt idx="2">
                  <c:v>0.013</c:v>
                </c:pt>
                <c:pt idx="3">
                  <c:v>0.0181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90"/>
        <c:overlap val="0"/>
        <c:axId val="79432101"/>
        <c:axId val="79432102"/>
      </c:barChart>
      <c:catAx>
        <c:axId val="7943210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ln w="9525" cap="flat" cmpd="sng" algn="ctr">
            <a:solidFill>
              <a:srgbClr val="D8D0C4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70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79432102"/>
        <c:crosses val="autoZero"/>
        <c:auto val="1"/>
        <c:lblAlgn val="ctr"/>
        <c:lblOffset val="100"/>
        <c:noMultiLvlLbl val="0"/>
      </c:catAx>
      <c:valAx>
        <c:axId val="79432102"/>
        <c:scaling>
          <c:orientation val="minMax"/>
          <c:max val="0.026"/>
          <c:min val="0"/>
        </c:scaling>
        <c:delete val="0"/>
        <c:axPos val="l"/>
        <c:majorGridlines>
          <c:spPr>
            <a:ln w="9525" cap="flat" cmpd="sng" algn="ctr">
              <a:solidFill>
                <a:srgbClr val="E2D6C2"/>
              </a:solidFill>
              <a:prstDash val="solid"/>
              <a:round/>
            </a:ln>
          </c:spPr>
        </c:majorGridlines>
        <c:numFmt formatCode="0.0%" sourceLinked="0"/>
        <c:majorTickMark val="none"/>
        <c:minorTickMark val="none"/>
        <c:tickLblPos val="nextTo"/>
        <c:spPr>
          <a:ln w="9525" cap="flat" cmpd="sng" algn="ctr">
            <a:noFill/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70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79432101"/>
        <c:crosses val="autoZero"/>
        <c:crossBetween val="between"/>
      </c:valAx>
    </c:plotArea>
    <c:legend>
      <c:legendPos val="b"/>
      <c:layout/>
      <c:overlay val="0"/>
      <c:txPr>
        <a:bodyPr rot="0" spcFirstLastPara="0" vertOverflow="ellipsis" vert="horz" wrap="square" anchor="ctr" anchorCtr="1"/>
        <a:lstStyle/>
        <a:p>
          <a:pPr>
            <a:defRPr lang="zh-CN" sz="700" b="0" i="0" u="none" strike="noStrike" kern="1200" baseline="0">
              <a:solidFill>
                <a:srgbClr val="766F69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cff2299b-5a3f-428c-b75f-19f9be49bf14}"/>
      </c:ext>
    </c:extLst>
  </c:chart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'7日年化'!$B$1</c:f>
              <c:strCache>
                <c:ptCount val="1"/>
                <c:pt idx="0">
                  <c:v>玖利2号</c:v>
                </c:pt>
              </c:strCache>
            </c:strRef>
          </c:tx>
          <c:spPr>
            <a:ln w="25400" cap="rnd" cmpd="sng" algn="ctr">
              <a:solidFill>
                <a:srgbClr val="C99A06"/>
              </a:solidFill>
              <a:prstDash val="solid"/>
              <a:round/>
            </a:ln>
          </c:spPr>
          <c:marker>
            <c:symbol val="none"/>
          </c:marker>
          <c:dLbls>
            <c:delete val="1"/>
          </c:dLbls>
          <c:cat>
            <c:strRef>
              <c:f>'7日年化'!$A$2:$A$42</c:f>
              <c:strCache>
                <c:ptCount val="41"/>
                <c:pt idx="0">
                  <c:v>07-09</c:v>
                </c:pt>
                <c:pt idx="1">
                  <c:v>07-10</c:v>
                </c:pt>
                <c:pt idx="2">
                  <c:v>07-11</c:v>
                </c:pt>
                <c:pt idx="3">
                  <c:v>07-12</c:v>
                </c:pt>
                <c:pt idx="4">
                  <c:v>07-13</c:v>
                </c:pt>
                <c:pt idx="5">
                  <c:v>07-14</c:v>
                </c:pt>
                <c:pt idx="6">
                  <c:v>07-15</c:v>
                </c:pt>
                <c:pt idx="7">
                  <c:v>07-16</c:v>
                </c:pt>
                <c:pt idx="8">
                  <c:v>07-17</c:v>
                </c:pt>
                <c:pt idx="9">
                  <c:v>07-18</c:v>
                </c:pt>
                <c:pt idx="10">
                  <c:v>07-19</c:v>
                </c:pt>
                <c:pt idx="11">
                  <c:v>07-20</c:v>
                </c:pt>
                <c:pt idx="12">
                  <c:v>07-21</c:v>
                </c:pt>
                <c:pt idx="13">
                  <c:v>07-22</c:v>
                </c:pt>
                <c:pt idx="14">
                  <c:v>07-23</c:v>
                </c:pt>
                <c:pt idx="15">
                  <c:v>07-24</c:v>
                </c:pt>
                <c:pt idx="16">
                  <c:v>07-25</c:v>
                </c:pt>
                <c:pt idx="17">
                  <c:v>07-26</c:v>
                </c:pt>
                <c:pt idx="18">
                  <c:v>07-27</c:v>
                </c:pt>
                <c:pt idx="19">
                  <c:v>07-28</c:v>
                </c:pt>
                <c:pt idx="20">
                  <c:v>07-29</c:v>
                </c:pt>
                <c:pt idx="21">
                  <c:v>07-30</c:v>
                </c:pt>
                <c:pt idx="22">
                  <c:v>07-31</c:v>
                </c:pt>
                <c:pt idx="23">
                  <c:v>08-01</c:v>
                </c:pt>
                <c:pt idx="24">
                  <c:v>08-02</c:v>
                </c:pt>
                <c:pt idx="25">
                  <c:v>08-03</c:v>
                </c:pt>
                <c:pt idx="26">
                  <c:v>08-04</c:v>
                </c:pt>
                <c:pt idx="27">
                  <c:v>08-05</c:v>
                </c:pt>
                <c:pt idx="28">
                  <c:v>08-06</c:v>
                </c:pt>
                <c:pt idx="29">
                  <c:v>08-07</c:v>
                </c:pt>
                <c:pt idx="30">
                  <c:v>08-08</c:v>
                </c:pt>
                <c:pt idx="31">
                  <c:v>08-09</c:v>
                </c:pt>
                <c:pt idx="32">
                  <c:v>08-10</c:v>
                </c:pt>
                <c:pt idx="33">
                  <c:v>08-11</c:v>
                </c:pt>
                <c:pt idx="34">
                  <c:v>08-12</c:v>
                </c:pt>
                <c:pt idx="35">
                  <c:v>08-13</c:v>
                </c:pt>
                <c:pt idx="36">
                  <c:v>08-14</c:v>
                </c:pt>
                <c:pt idx="37">
                  <c:v>08-15</c:v>
                </c:pt>
                <c:pt idx="38">
                  <c:v>08-16</c:v>
                </c:pt>
                <c:pt idx="39">
                  <c:v>08-17</c:v>
                </c:pt>
                <c:pt idx="40">
                  <c:v>08-18</c:v>
                </c:pt>
              </c:strCache>
            </c:strRef>
          </c:cat>
          <c:val>
            <c:numRef>
              <c:f>'7日年化'!$B$2:$B$42</c:f>
              <c:numCache>
                <c:formatCode>0.0000%</c:formatCode>
                <c:ptCount val="41"/>
                <c:pt idx="0">
                  <c:v>0.016241</c:v>
                </c:pt>
                <c:pt idx="1">
                  <c:v>0.015937</c:v>
                </c:pt>
                <c:pt idx="2">
                  <c:v>0.015836</c:v>
                </c:pt>
                <c:pt idx="3">
                  <c:v>0.015785</c:v>
                </c:pt>
                <c:pt idx="4">
                  <c:v>0.015754</c:v>
                </c:pt>
                <c:pt idx="5">
                  <c:v>0.015733</c:v>
                </c:pt>
                <c:pt idx="6">
                  <c:v>0.015718</c:v>
                </c:pt>
                <c:pt idx="7">
                  <c:v>0.015631</c:v>
                </c:pt>
                <c:pt idx="8">
                  <c:v>0.01563</c:v>
                </c:pt>
                <c:pt idx="9">
                  <c:v>0.01563</c:v>
                </c:pt>
                <c:pt idx="10">
                  <c:v>0.015629</c:v>
                </c:pt>
                <c:pt idx="11">
                  <c:v>0.015608</c:v>
                </c:pt>
                <c:pt idx="12">
                  <c:v>0.015607</c:v>
                </c:pt>
                <c:pt idx="13">
                  <c:v>0.015607</c:v>
                </c:pt>
                <c:pt idx="14">
                  <c:v>0.015606</c:v>
                </c:pt>
                <c:pt idx="15">
                  <c:v>0.015605</c:v>
                </c:pt>
                <c:pt idx="16">
                  <c:v>0.015603</c:v>
                </c:pt>
                <c:pt idx="17">
                  <c:v>0.015602</c:v>
                </c:pt>
                <c:pt idx="18">
                  <c:v>0.015623</c:v>
                </c:pt>
                <c:pt idx="19">
                  <c:v>0.015623</c:v>
                </c:pt>
                <c:pt idx="20">
                  <c:v>0.015621</c:v>
                </c:pt>
                <c:pt idx="21">
                  <c:v>0.015621</c:v>
                </c:pt>
                <c:pt idx="22">
                  <c:v>0.01562</c:v>
                </c:pt>
                <c:pt idx="23">
                  <c:v>0.01562</c:v>
                </c:pt>
                <c:pt idx="24">
                  <c:v>0.015546</c:v>
                </c:pt>
                <c:pt idx="25">
                  <c:v>0.015472</c:v>
                </c:pt>
                <c:pt idx="26">
                  <c:v>0.015397</c:v>
                </c:pt>
                <c:pt idx="27">
                  <c:v>0.015323</c:v>
                </c:pt>
                <c:pt idx="28">
                  <c:v>0.015249</c:v>
                </c:pt>
                <c:pt idx="29">
                  <c:v>0.015175</c:v>
                </c:pt>
                <c:pt idx="30">
                  <c:v>0.015101</c:v>
                </c:pt>
                <c:pt idx="31">
                  <c:v>0.0151</c:v>
                </c:pt>
                <c:pt idx="32">
                  <c:v>0.015099</c:v>
                </c:pt>
                <c:pt idx="33">
                  <c:v>0.015098</c:v>
                </c:pt>
                <c:pt idx="34">
                  <c:v>0.015098</c:v>
                </c:pt>
                <c:pt idx="35">
                  <c:v>0.015097</c:v>
                </c:pt>
                <c:pt idx="36">
                  <c:v>0.015097</c:v>
                </c:pt>
                <c:pt idx="37">
                  <c:v>0.015096</c:v>
                </c:pt>
                <c:pt idx="38">
                  <c:v>0.015096</c:v>
                </c:pt>
                <c:pt idx="39">
                  <c:v>0.015095</c:v>
                </c:pt>
                <c:pt idx="40">
                  <c:v>0.015095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'7日年化'!$C$1</c:f>
              <c:strCache>
                <c:ptCount val="1"/>
                <c:pt idx="0">
                  <c:v>玖利5号</c:v>
                </c:pt>
              </c:strCache>
            </c:strRef>
          </c:tx>
          <c:spPr>
            <a:ln w="25400" cap="rnd" cmpd="sng" algn="ctr">
              <a:solidFill>
                <a:srgbClr val="B61F3A"/>
              </a:solidFill>
              <a:prstDash val="solid"/>
              <a:round/>
            </a:ln>
          </c:spPr>
          <c:marker>
            <c:symbol val="none"/>
          </c:marker>
          <c:dLbls>
            <c:delete val="1"/>
          </c:dLbls>
          <c:cat>
            <c:strRef>
              <c:f>'7日年化'!$A$2:$A$42</c:f>
              <c:strCache>
                <c:ptCount val="41"/>
                <c:pt idx="0">
                  <c:v>07-09</c:v>
                </c:pt>
                <c:pt idx="1">
                  <c:v>07-10</c:v>
                </c:pt>
                <c:pt idx="2">
                  <c:v>07-11</c:v>
                </c:pt>
                <c:pt idx="3">
                  <c:v>07-12</c:v>
                </c:pt>
                <c:pt idx="4">
                  <c:v>07-13</c:v>
                </c:pt>
                <c:pt idx="5">
                  <c:v>07-14</c:v>
                </c:pt>
                <c:pt idx="6">
                  <c:v>07-15</c:v>
                </c:pt>
                <c:pt idx="7">
                  <c:v>07-16</c:v>
                </c:pt>
                <c:pt idx="8">
                  <c:v>07-17</c:v>
                </c:pt>
                <c:pt idx="9">
                  <c:v>07-18</c:v>
                </c:pt>
                <c:pt idx="10">
                  <c:v>07-19</c:v>
                </c:pt>
                <c:pt idx="11">
                  <c:v>07-20</c:v>
                </c:pt>
                <c:pt idx="12">
                  <c:v>07-21</c:v>
                </c:pt>
                <c:pt idx="13">
                  <c:v>07-22</c:v>
                </c:pt>
                <c:pt idx="14">
                  <c:v>07-23</c:v>
                </c:pt>
                <c:pt idx="15">
                  <c:v>07-24</c:v>
                </c:pt>
                <c:pt idx="16">
                  <c:v>07-25</c:v>
                </c:pt>
                <c:pt idx="17">
                  <c:v>07-26</c:v>
                </c:pt>
                <c:pt idx="18">
                  <c:v>07-27</c:v>
                </c:pt>
                <c:pt idx="19">
                  <c:v>07-28</c:v>
                </c:pt>
                <c:pt idx="20">
                  <c:v>07-29</c:v>
                </c:pt>
                <c:pt idx="21">
                  <c:v>07-30</c:v>
                </c:pt>
                <c:pt idx="22">
                  <c:v>07-31</c:v>
                </c:pt>
                <c:pt idx="23">
                  <c:v>08-01</c:v>
                </c:pt>
                <c:pt idx="24">
                  <c:v>08-02</c:v>
                </c:pt>
                <c:pt idx="25">
                  <c:v>08-03</c:v>
                </c:pt>
                <c:pt idx="26">
                  <c:v>08-04</c:v>
                </c:pt>
                <c:pt idx="27">
                  <c:v>08-05</c:v>
                </c:pt>
                <c:pt idx="28">
                  <c:v>08-06</c:v>
                </c:pt>
                <c:pt idx="29">
                  <c:v>08-07</c:v>
                </c:pt>
                <c:pt idx="30">
                  <c:v>08-08</c:v>
                </c:pt>
                <c:pt idx="31">
                  <c:v>08-09</c:v>
                </c:pt>
                <c:pt idx="32">
                  <c:v>08-10</c:v>
                </c:pt>
                <c:pt idx="33">
                  <c:v>08-11</c:v>
                </c:pt>
                <c:pt idx="34">
                  <c:v>08-12</c:v>
                </c:pt>
                <c:pt idx="35">
                  <c:v>08-13</c:v>
                </c:pt>
                <c:pt idx="36">
                  <c:v>08-14</c:v>
                </c:pt>
                <c:pt idx="37">
                  <c:v>08-15</c:v>
                </c:pt>
                <c:pt idx="38">
                  <c:v>08-16</c:v>
                </c:pt>
                <c:pt idx="39">
                  <c:v>08-17</c:v>
                </c:pt>
                <c:pt idx="40">
                  <c:v>08-18</c:v>
                </c:pt>
              </c:strCache>
            </c:strRef>
          </c:cat>
          <c:val>
            <c:numRef>
              <c:f>'7日年化'!$C$2:$C$42</c:f>
              <c:numCache>
                <c:formatCode>0.0000%</c:formatCode>
                <c:ptCount val="41"/>
                <c:pt idx="0">
                  <c:v>0.002705</c:v>
                </c:pt>
                <c:pt idx="1">
                  <c:v>0.004627</c:v>
                </c:pt>
                <c:pt idx="2">
                  <c:v>0.006468</c:v>
                </c:pt>
                <c:pt idx="3">
                  <c:v>0.008311</c:v>
                </c:pt>
                <c:pt idx="4">
                  <c:v>0.010158</c:v>
                </c:pt>
                <c:pt idx="5">
                  <c:v>0.012008</c:v>
                </c:pt>
                <c:pt idx="6">
                  <c:v>0.013862</c:v>
                </c:pt>
                <c:pt idx="7">
                  <c:v>0.015718</c:v>
                </c:pt>
                <c:pt idx="8">
                  <c:v>0.015631</c:v>
                </c:pt>
                <c:pt idx="9">
                  <c:v>0.01563</c:v>
                </c:pt>
                <c:pt idx="10">
                  <c:v>0.01563</c:v>
                </c:pt>
                <c:pt idx="11">
                  <c:v>0.015608</c:v>
                </c:pt>
                <c:pt idx="12">
                  <c:v>0.015607</c:v>
                </c:pt>
                <c:pt idx="13">
                  <c:v>0.015607</c:v>
                </c:pt>
                <c:pt idx="14">
                  <c:v>0.015606</c:v>
                </c:pt>
                <c:pt idx="15">
                  <c:v>0.015606</c:v>
                </c:pt>
                <c:pt idx="16">
                  <c:v>0.015605</c:v>
                </c:pt>
                <c:pt idx="17">
                  <c:v>0.015605</c:v>
                </c:pt>
                <c:pt idx="18">
                  <c:v>0.015625</c:v>
                </c:pt>
                <c:pt idx="19">
                  <c:v>0.015625</c:v>
                </c:pt>
                <c:pt idx="20">
                  <c:v>0.015624</c:v>
                </c:pt>
                <c:pt idx="21">
                  <c:v>0.015623</c:v>
                </c:pt>
                <c:pt idx="22">
                  <c:v>0.015622</c:v>
                </c:pt>
                <c:pt idx="23">
                  <c:v>0.015621</c:v>
                </c:pt>
                <c:pt idx="24">
                  <c:v>0.015546</c:v>
                </c:pt>
                <c:pt idx="25">
                  <c:v>0.015472</c:v>
                </c:pt>
                <c:pt idx="26">
                  <c:v>0.015398</c:v>
                </c:pt>
                <c:pt idx="27">
                  <c:v>0.015324</c:v>
                </c:pt>
                <c:pt idx="28">
                  <c:v>0.01525</c:v>
                </c:pt>
                <c:pt idx="29">
                  <c:v>0.015176</c:v>
                </c:pt>
                <c:pt idx="30">
                  <c:v>0.015102</c:v>
                </c:pt>
                <c:pt idx="31">
                  <c:v>0.015101</c:v>
                </c:pt>
                <c:pt idx="32">
                  <c:v>0.015101</c:v>
                </c:pt>
                <c:pt idx="33">
                  <c:v>0.0151</c:v>
                </c:pt>
                <c:pt idx="34">
                  <c:v>0.015099</c:v>
                </c:pt>
                <c:pt idx="35">
                  <c:v>0.015098</c:v>
                </c:pt>
                <c:pt idx="36">
                  <c:v>0.015098</c:v>
                </c:pt>
                <c:pt idx="37">
                  <c:v>0.015097</c:v>
                </c:pt>
                <c:pt idx="38">
                  <c:v>0.015097</c:v>
                </c:pt>
                <c:pt idx="39">
                  <c:v>0.015096</c:v>
                </c:pt>
                <c:pt idx="40">
                  <c:v>0.015095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'7日年化'!$D$1</c:f>
              <c:strCache>
                <c:ptCount val="1"/>
                <c:pt idx="0">
                  <c:v>玖利6号</c:v>
                </c:pt>
              </c:strCache>
            </c:strRef>
          </c:tx>
          <c:spPr>
            <a:ln w="25400" cap="rnd" cmpd="sng" algn="ctr">
              <a:solidFill>
                <a:srgbClr val="6F6F6B"/>
              </a:solidFill>
              <a:prstDash val="solid"/>
              <a:round/>
            </a:ln>
          </c:spPr>
          <c:marker>
            <c:symbol val="none"/>
          </c:marker>
          <c:dLbls>
            <c:delete val="1"/>
          </c:dLbls>
          <c:cat>
            <c:strRef>
              <c:f>'7日年化'!$A$2:$A$42</c:f>
              <c:strCache>
                <c:ptCount val="41"/>
                <c:pt idx="0">
                  <c:v>07-09</c:v>
                </c:pt>
                <c:pt idx="1">
                  <c:v>07-10</c:v>
                </c:pt>
                <c:pt idx="2">
                  <c:v>07-11</c:v>
                </c:pt>
                <c:pt idx="3">
                  <c:v>07-12</c:v>
                </c:pt>
                <c:pt idx="4">
                  <c:v>07-13</c:v>
                </c:pt>
                <c:pt idx="5">
                  <c:v>07-14</c:v>
                </c:pt>
                <c:pt idx="6">
                  <c:v>07-15</c:v>
                </c:pt>
                <c:pt idx="7">
                  <c:v>07-16</c:v>
                </c:pt>
                <c:pt idx="8">
                  <c:v>07-17</c:v>
                </c:pt>
                <c:pt idx="9">
                  <c:v>07-18</c:v>
                </c:pt>
                <c:pt idx="10">
                  <c:v>07-19</c:v>
                </c:pt>
                <c:pt idx="11">
                  <c:v>07-20</c:v>
                </c:pt>
                <c:pt idx="12">
                  <c:v>07-21</c:v>
                </c:pt>
                <c:pt idx="13">
                  <c:v>07-22</c:v>
                </c:pt>
                <c:pt idx="14">
                  <c:v>07-23</c:v>
                </c:pt>
                <c:pt idx="15">
                  <c:v>07-24</c:v>
                </c:pt>
                <c:pt idx="16">
                  <c:v>07-25</c:v>
                </c:pt>
                <c:pt idx="17">
                  <c:v>07-26</c:v>
                </c:pt>
                <c:pt idx="18">
                  <c:v>07-27</c:v>
                </c:pt>
                <c:pt idx="19">
                  <c:v>07-28</c:v>
                </c:pt>
                <c:pt idx="20">
                  <c:v>07-29</c:v>
                </c:pt>
                <c:pt idx="21">
                  <c:v>07-30</c:v>
                </c:pt>
                <c:pt idx="22">
                  <c:v>07-31</c:v>
                </c:pt>
                <c:pt idx="23">
                  <c:v>08-01</c:v>
                </c:pt>
                <c:pt idx="24">
                  <c:v>08-02</c:v>
                </c:pt>
                <c:pt idx="25">
                  <c:v>08-03</c:v>
                </c:pt>
                <c:pt idx="26">
                  <c:v>08-04</c:v>
                </c:pt>
                <c:pt idx="27">
                  <c:v>08-05</c:v>
                </c:pt>
                <c:pt idx="28">
                  <c:v>08-06</c:v>
                </c:pt>
                <c:pt idx="29">
                  <c:v>08-07</c:v>
                </c:pt>
                <c:pt idx="30">
                  <c:v>08-08</c:v>
                </c:pt>
                <c:pt idx="31">
                  <c:v>08-09</c:v>
                </c:pt>
                <c:pt idx="32">
                  <c:v>08-10</c:v>
                </c:pt>
                <c:pt idx="33">
                  <c:v>08-11</c:v>
                </c:pt>
                <c:pt idx="34">
                  <c:v>08-12</c:v>
                </c:pt>
                <c:pt idx="35">
                  <c:v>08-13</c:v>
                </c:pt>
                <c:pt idx="36">
                  <c:v>08-14</c:v>
                </c:pt>
                <c:pt idx="37">
                  <c:v>08-15</c:v>
                </c:pt>
                <c:pt idx="38">
                  <c:v>08-16</c:v>
                </c:pt>
                <c:pt idx="39">
                  <c:v>08-17</c:v>
                </c:pt>
                <c:pt idx="40">
                  <c:v>08-18</c:v>
                </c:pt>
              </c:strCache>
            </c:strRef>
          </c:cat>
          <c:val>
            <c:numRef>
              <c:f>'7日年化'!$D$2:$D$42</c:f>
              <c:numCache>
                <c:formatCode>0.0000%</c:formatCode>
                <c:ptCount val="41"/>
                <c:pt idx="0">
                  <c:v>0.016238</c:v>
                </c:pt>
                <c:pt idx="1">
                  <c:v>0.016043</c:v>
                </c:pt>
                <c:pt idx="2">
                  <c:v>0.015906</c:v>
                </c:pt>
                <c:pt idx="3">
                  <c:v>0.015838</c:v>
                </c:pt>
                <c:pt idx="4">
                  <c:v>0.015796</c:v>
                </c:pt>
                <c:pt idx="5">
                  <c:v>0.015781</c:v>
                </c:pt>
                <c:pt idx="6">
                  <c:v>0.01576</c:v>
                </c:pt>
                <c:pt idx="7">
                  <c:v>0.015673</c:v>
                </c:pt>
                <c:pt idx="8">
                  <c:v>0.015642</c:v>
                </c:pt>
                <c:pt idx="9">
                  <c:v>0.015641</c:v>
                </c:pt>
                <c:pt idx="10">
                  <c:v>0.015641</c:v>
                </c:pt>
                <c:pt idx="11">
                  <c:v>0.015619</c:v>
                </c:pt>
                <c:pt idx="12">
                  <c:v>0.015607</c:v>
                </c:pt>
                <c:pt idx="13">
                  <c:v>0.015607</c:v>
                </c:pt>
                <c:pt idx="14">
                  <c:v>0.015606</c:v>
                </c:pt>
                <c:pt idx="15">
                  <c:v>0.015605</c:v>
                </c:pt>
                <c:pt idx="16">
                  <c:v>0.015604</c:v>
                </c:pt>
                <c:pt idx="17">
                  <c:v>0.015603</c:v>
                </c:pt>
                <c:pt idx="18">
                  <c:v>0.015624</c:v>
                </c:pt>
                <c:pt idx="19">
                  <c:v>0.015623</c:v>
                </c:pt>
                <c:pt idx="20">
                  <c:v>0.015622</c:v>
                </c:pt>
                <c:pt idx="21">
                  <c:v>0.015621</c:v>
                </c:pt>
                <c:pt idx="22">
                  <c:v>0.01562</c:v>
                </c:pt>
                <c:pt idx="23">
                  <c:v>0.01562</c:v>
                </c:pt>
                <c:pt idx="24">
                  <c:v>0.015546</c:v>
                </c:pt>
                <c:pt idx="25">
                  <c:v>0.015472</c:v>
                </c:pt>
                <c:pt idx="26">
                  <c:v>0.015397</c:v>
                </c:pt>
                <c:pt idx="27">
                  <c:v>0.015323</c:v>
                </c:pt>
                <c:pt idx="28">
                  <c:v>0.015249</c:v>
                </c:pt>
                <c:pt idx="29">
                  <c:v>0.015175</c:v>
                </c:pt>
                <c:pt idx="30">
                  <c:v>0.015101</c:v>
                </c:pt>
                <c:pt idx="31">
                  <c:v>0.015101</c:v>
                </c:pt>
                <c:pt idx="32">
                  <c:v>0.0151</c:v>
                </c:pt>
                <c:pt idx="33">
                  <c:v>0.015099</c:v>
                </c:pt>
                <c:pt idx="34">
                  <c:v>0.015098</c:v>
                </c:pt>
                <c:pt idx="35">
                  <c:v>0.015098</c:v>
                </c:pt>
                <c:pt idx="36">
                  <c:v>0.015097</c:v>
                </c:pt>
                <c:pt idx="37">
                  <c:v>0.015097</c:v>
                </c:pt>
                <c:pt idx="38">
                  <c:v>0.015096</c:v>
                </c:pt>
                <c:pt idx="39">
                  <c:v>0.015095</c:v>
                </c:pt>
                <c:pt idx="40">
                  <c:v>0.015095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0"/>
        <c:smooth val="0"/>
        <c:axId val="68432101"/>
        <c:axId val="68432102"/>
      </c:lineChart>
      <c:catAx>
        <c:axId val="684321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ln w="9525" cap="flat" cmpd="sng" algn="ctr">
            <a:solidFill>
              <a:srgbClr val="D8D0C4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65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68432102"/>
        <c:crosses val="autoZero"/>
        <c:auto val="1"/>
        <c:lblAlgn val="ctr"/>
        <c:lblOffset val="100"/>
        <c:tickLblSkip val="5"/>
        <c:tickMarkSkip val="5"/>
        <c:noMultiLvlLbl val="0"/>
      </c:catAx>
      <c:valAx>
        <c:axId val="68432102"/>
        <c:scaling>
          <c:orientation val="minMax"/>
          <c:max val="0.017"/>
          <c:min val="0.002"/>
        </c:scaling>
        <c:delete val="0"/>
        <c:axPos val="l"/>
        <c:majorGridlines>
          <c:spPr>
            <a:ln w="9525" cap="flat" cmpd="sng" algn="ctr">
              <a:solidFill>
                <a:srgbClr val="E2D6C2"/>
              </a:solidFill>
              <a:prstDash val="solid"/>
              <a:round/>
            </a:ln>
          </c:spPr>
        </c:majorGridlines>
        <c:numFmt formatCode="0.00%" sourceLinked="0"/>
        <c:majorTickMark val="none"/>
        <c:minorTickMark val="none"/>
        <c:tickLblPos val="nextTo"/>
        <c:spPr>
          <a:ln w="9525" cap="flat" cmpd="sng" algn="ctr">
            <a:noFill/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65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68432101"/>
        <c:crosses val="autoZero"/>
        <c:crossBetween val="between"/>
      </c:valAx>
    </c:plotArea>
    <c:legend>
      <c:legendPos val="b"/>
      <c:layout/>
      <c:overlay val="0"/>
      <c:txPr>
        <a:bodyPr rot="0" spcFirstLastPara="0" vertOverflow="ellipsis" vert="horz" wrap="square" anchor="ctr" anchorCtr="1"/>
        <a:lstStyle/>
        <a:p>
          <a:pPr>
            <a:defRPr lang="zh-CN" sz="650" b="0" i="0" u="none" strike="noStrike" kern="1200" baseline="0">
              <a:solidFill>
                <a:srgbClr val="766F69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7754680c-e9c1-42e2-8575-99777811e316}"/>
      </c:ext>
    </c:extLst>
  </c:chart>
  <c:txPr>
    <a:bodyPr/>
    <a:lstStyle/>
    <a:p>
      <a:pPr>
        <a:defRPr lang="zh-CN"/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'同类对比'!$B$1</c:f>
              <c:strCache>
                <c:ptCount val="1"/>
                <c:pt idx="0">
                  <c:v>7日年化收益率</c:v>
                </c:pt>
              </c:strCache>
            </c:strRef>
          </c:tx>
          <c:spPr>
            <a:solidFill>
              <a:srgbClr val="C99A06"/>
            </a:solidFill>
            <a:ln w="9525" cap="flat" cmpd="sng" algn="ctr">
              <a:noFill/>
              <a:prstDash val="solid"/>
              <a:round/>
            </a:ln>
          </c:spPr>
          <c:invertIfNegative val="0"/>
          <c:dPt>
            <c:idx val="0"/>
            <c:invertIfNegative val="0"/>
            <c:bubble3D val="0"/>
            <c:spPr>
              <a:solidFill>
                <a:srgbClr val="C99A06"/>
              </a:solidFill>
            </c:spPr>
          </c:dPt>
          <c:dPt>
            <c:idx val="1"/>
            <c:invertIfNegative val="0"/>
            <c:bubble3D val="0"/>
            <c:spPr>
              <a:solidFill>
                <a:srgbClr val="D5B65E"/>
              </a:solidFill>
            </c:spPr>
          </c:dPt>
          <c:dPt>
            <c:idx val="2"/>
            <c:invertIfNegative val="0"/>
            <c:bubble3D val="0"/>
            <c:spPr>
              <a:solidFill>
                <a:srgbClr val="9C9C98"/>
              </a:solidFill>
            </c:spPr>
          </c:dPt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/>
              </c:ext>
            </c:extLst>
          </c:dLbls>
          <c:cat>
            <c:strRef>
              <c:f>'同类对比'!$A$2:$A$4</c:f>
              <c:strCache>
                <c:ptCount val="3"/>
                <c:pt idx="0">
                  <c:v>玖利系列代表业绩</c:v>
                </c:pt>
                <c:pt idx="1">
                  <c:v>公募样本上四分位</c:v>
                </c:pt>
                <c:pt idx="2">
                  <c:v>公募样本中位数</c:v>
                </c:pt>
              </c:strCache>
            </c:strRef>
          </c:cat>
          <c:val>
            <c:numRef>
              <c:f>'同类对比'!$B$2:$B$4</c:f>
              <c:numCache>
                <c:formatCode>0.0000%</c:formatCode>
                <c:ptCount val="3"/>
                <c:pt idx="0">
                  <c:v>0.015095</c:v>
                </c:pt>
                <c:pt idx="1">
                  <c:v>0.012115</c:v>
                </c:pt>
                <c:pt idx="2">
                  <c:v>0.01052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90"/>
        <c:overlap val="0"/>
        <c:axId val="79432101"/>
        <c:axId val="79432102"/>
      </c:barChart>
      <c:catAx>
        <c:axId val="7943210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ln w="9525" cap="flat" cmpd="sng" algn="ctr">
            <a:solidFill>
              <a:srgbClr val="D8D0C4"/>
            </a:solidFill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70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79432102"/>
        <c:crosses val="autoZero"/>
        <c:auto val="1"/>
        <c:lblAlgn val="ctr"/>
        <c:lblOffset val="100"/>
        <c:noMultiLvlLbl val="0"/>
      </c:catAx>
      <c:valAx>
        <c:axId val="79432102"/>
        <c:scaling>
          <c:orientation val="minMax"/>
          <c:max val="0.017"/>
          <c:min val="0"/>
        </c:scaling>
        <c:delete val="0"/>
        <c:axPos val="l"/>
        <c:majorGridlines>
          <c:spPr>
            <a:ln w="9525" cap="flat" cmpd="sng" algn="ctr">
              <a:solidFill>
                <a:srgbClr val="E2D6C2"/>
              </a:solidFill>
              <a:prstDash val="solid"/>
              <a:round/>
            </a:ln>
          </c:spPr>
        </c:majorGridlines>
        <c:numFmt formatCode="0.00%" sourceLinked="0"/>
        <c:majorTickMark val="none"/>
        <c:minorTickMark val="none"/>
        <c:tickLblPos val="nextTo"/>
        <c:spPr>
          <a:ln w="9525" cap="flat" cmpd="sng" algn="ctr">
            <a:noFill/>
            <a:prstDash val="solid"/>
            <a:round/>
          </a:ln>
        </c:spPr>
        <c:txPr>
          <a:bodyPr rot="-60000000" spcFirstLastPara="0" vertOverflow="ellipsis" vert="horz" wrap="square" anchor="ctr" anchorCtr="1"/>
          <a:lstStyle/>
          <a:p>
            <a:pPr>
              <a:defRPr lang="zh-CN" sz="700" b="0" i="0" u="none" strike="noStrike" kern="1200" baseline="0">
                <a:solidFill>
                  <a:srgbClr val="766F69"/>
                </a:solidFill>
                <a:latin typeface="+mn-lt"/>
                <a:ea typeface="+mn-ea"/>
                <a:cs typeface="+mn-cs"/>
              </a:defRPr>
            </a:pPr>
          </a:p>
        </c:txPr>
        <c:crossAx val="79432101"/>
        <c:crosses val="autoZero"/>
        <c:crossBetween val="between"/>
      </c:valAx>
    </c:plotArea>
    <c:plotVisOnly val="1"/>
    <c:dispBlanksAs val="gap"/>
    <c:showDLblsOverMax val="0"/>
    <c:extLst>
      <c:ext uri="{0b15fc19-7d7d-44ad-8c2d-2c3a37ce22c3}">
        <chartProps xmlns="https://web.wps.cn/et/2018/main" chartId="{68a71fe7-a01c-4385-aa0b-11aa8f0afb2c}"/>
      </c:ext>
    </c:extLst>
  </c:chart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8422</Words>
  <Characters>8834</Characters>
  <Lines>0</Lines>
  <Paragraphs>0</Paragraphs>
  <TotalTime>0</TotalTime>
  <ScaleCrop>false</ScaleCrop>
  <LinksUpToDate>false</LinksUpToDate>
  <CharactersWithSpaces>8856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2013-12-27T23:15:00Z</dcterms:created>
  <dc:creator>中邮保险资产管理有限公司 金融市场中心</dc:creator>
  <dc:description>基于正式材料、项目案例和内部原型整理，数据日期见正文说明。</dc:description>
  <cp:keywords>保险资管, 大模型, 投资人服务, 固收+, 估值跟踪, 业绩归因</cp:keywords>
  <cp:lastModifiedBy>Jon</cp:lastModifiedBy>
  <dcterms:modified xsi:type="dcterms:W3CDTF">2026-08-19T14:10:07Z</dcterms:modified>
  <dc:subject>经营数据、落地案例、产品表现及可执行合作成果</dc:subject>
  <dc:title>中邮资管组合类产品业务发展报告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227C55727C72F6004AF6836A682D2900_43</vt:lpwstr>
  </property>
</Properties>
</file>