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Morphosphere v36.7.5 上下文压缩与发布候选摘要</w:t>
      </w:r>
    </w:p>
    <w:p>
      <w:pPr>
        <w:jc w:val="center"/>
      </w:pPr>
      <w:r>
        <w:rPr>
          <w:i/>
        </w:rPr>
        <w:t>用于节省上下文并交给其他 AI/开发环境继续理解</w:t>
      </w:r>
    </w:p>
    <w:p>
      <w:pPr>
        <w:pStyle w:val="Heading1"/>
      </w:pPr>
      <w:r>
        <w:t>1. 当前阶段</w:t>
      </w:r>
    </w:p>
    <w:p>
      <w:r>
        <w:t>项目已从 v36.6 全链路物化整合与 Pass15–21 压力/硬化，收束到 v36.7 工程硬化线。v36.7.5 是非破坏性 Consolidated Release Candidate，不宣称 Online Native Runtime。</w:t>
      </w:r>
    </w:p>
    <w:p>
      <w:pPr>
        <w:pStyle w:val="Heading1"/>
      </w:pPr>
      <w:r>
        <w:t>2. v36.7.1–v36.7.4 硬化成果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版本</w:t>
            </w:r>
          </w:p>
        </w:tc>
        <w:tc>
          <w:tcPr>
            <w:tcW w:type="dxa" w:w="3360"/>
            <w:shd w:fill="D9EAF7"/>
          </w:tcPr>
          <w:p>
            <w:r>
              <w:t>主题</w:t>
            </w:r>
          </w:p>
        </w:tc>
        <w:tc>
          <w:tcPr>
            <w:tcW w:type="dxa" w:w="3360"/>
            <w:shd w:fill="D9EAF7"/>
          </w:tcPr>
          <w:p>
            <w:r>
              <w:t>当前结果</w:t>
            </w:r>
          </w:p>
        </w:tc>
      </w:tr>
      <w:tr>
        <w:tc>
          <w:tcPr>
            <w:tcW w:type="dxa" w:w="3360"/>
            <w:vAlign w:val="top"/>
          </w:tcPr>
          <w:p>
            <w:r>
              <w:t>v36.7.1</w:t>
            </w:r>
          </w:p>
        </w:tc>
        <w:tc>
          <w:tcPr>
            <w:tcW w:type="dxa" w:w="3360"/>
            <w:vAlign w:val="top"/>
          </w:tcPr>
          <w:p>
            <w:r>
              <w:t>Native Anchor Hardening</w:t>
            </w:r>
          </w:p>
        </w:tc>
        <w:tc>
          <w:tcPr>
            <w:tcW w:type="dxa" w:w="3360"/>
            <w:vAlign w:val="top"/>
          </w:tcPr>
          <w:p>
            <w:r>
              <w:t>855/855 native anchor facts；旧 direct_fk=0 保持历史诚实</w:t>
            </w:r>
          </w:p>
        </w:tc>
      </w:tr>
      <w:tr>
        <w:tc>
          <w:tcPr>
            <w:tcW w:type="dxa" w:w="3360"/>
            <w:vAlign w:val="top"/>
          </w:tcPr>
          <w:p>
            <w:r>
              <w:t>v36.7.2</w:t>
            </w:r>
          </w:p>
        </w:tc>
        <w:tc>
          <w:tcPr>
            <w:tcW w:type="dxa" w:w="3360"/>
            <w:vAlign w:val="top"/>
          </w:tcPr>
          <w:p>
            <w:r>
              <w:t>Safe Stress Guard Config</w:t>
            </w:r>
          </w:p>
        </w:tc>
        <w:tc>
          <w:tcPr>
            <w:tcW w:type="dxa" w:w="3360"/>
            <w:vAlign w:val="top"/>
          </w:tcPr>
          <w:p>
            <w:r>
              <w:t>27/27 guard rules；回归匹配 27/27</w:t>
            </w:r>
          </w:p>
        </w:tc>
      </w:tr>
      <w:tr>
        <w:tc>
          <w:tcPr>
            <w:tcW w:type="dxa" w:w="3360"/>
            <w:vAlign w:val="top"/>
          </w:tcPr>
          <w:p>
            <w:r>
              <w:t>v36.7.3</w:t>
            </w:r>
          </w:p>
        </w:tc>
        <w:tc>
          <w:tcPr>
            <w:tcW w:type="dxa" w:w="3360"/>
            <w:vAlign w:val="top"/>
          </w:tcPr>
          <w:p>
            <w:r>
              <w:t>Semantic Quarantine Migration</w:t>
            </w:r>
          </w:p>
        </w:tc>
        <w:tc>
          <w:tcPr>
            <w:tcW w:type="dxa" w:w="3360"/>
            <w:vAlign w:val="top"/>
          </w:tcPr>
          <w:p>
            <w:r>
              <w:t>36 sidecar rows；3/3 semantic regression PASS</w:t>
            </w:r>
          </w:p>
        </w:tc>
      </w:tr>
      <w:tr>
        <w:tc>
          <w:tcPr>
            <w:tcW w:type="dxa" w:w="3360"/>
            <w:vAlign w:val="top"/>
          </w:tcPr>
          <w:p>
            <w:r>
              <w:t>v36.7.4</w:t>
            </w:r>
          </w:p>
        </w:tc>
        <w:tc>
          <w:tcPr>
            <w:tcW w:type="dxa" w:w="3360"/>
            <w:vAlign w:val="top"/>
          </w:tcPr>
          <w:p>
            <w:r>
              <w:t>RMI Default Index + Regression</w:t>
            </w:r>
          </w:p>
        </w:tc>
        <w:tc>
          <w:tcPr>
            <w:tcW w:type="dxa" w:w="3360"/>
            <w:vAlign w:val="top"/>
          </w:tcPr>
          <w:p>
            <w:r>
              <w:t>H2/H3 默认索引共 11530 rows；false-neighbor=0</w:t>
            </w:r>
          </w:p>
        </w:tc>
      </w:tr>
      <w:tr>
        <w:tc>
          <w:tcPr>
            <w:tcW w:type="dxa" w:w="3360"/>
            <w:vAlign w:val="top"/>
          </w:tcPr>
          <w:p>
            <w:r>
              <w:t>v36.7.5</w:t>
            </w:r>
          </w:p>
        </w:tc>
        <w:tc>
          <w:tcPr>
            <w:tcW w:type="dxa" w:w="3360"/>
            <w:vAlign w:val="top"/>
          </w:tcPr>
          <w:p>
            <w:r>
              <w:t>Consolidated RC</w:t>
            </w:r>
          </w:p>
        </w:tc>
        <w:tc>
          <w:tcPr>
            <w:tcW w:type="dxa" w:w="3360"/>
            <w:vAlign w:val="top"/>
          </w:tcPr>
          <w:p>
            <w:r>
              <w:t>统一 release gates、warnings、artifact manifest、boundary contract</w:t>
            </w:r>
          </w:p>
        </w:tc>
      </w:tr>
    </w:tbl>
    <w:p>
      <w:pPr>
        <w:pStyle w:val="Heading1"/>
      </w:pPr>
      <w:r>
        <w:t>3. v36.7.5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Gate</w:t>
            </w:r>
          </w:p>
        </w:tc>
        <w:tc>
          <w:tcPr>
            <w:tcW w:type="dxa" w:w="2520"/>
            <w:shd w:fill="D9EAF7"/>
          </w:tcPr>
          <w:p>
            <w:r>
              <w:t>Observed</w:t>
            </w:r>
          </w:p>
        </w:tc>
        <w:tc>
          <w:tcPr>
            <w:tcW w:type="dxa" w:w="2520"/>
            <w:shd w:fill="D9EAF7"/>
          </w:tcPr>
          <w:p>
            <w:r>
              <w:t>Required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>
              <w:t>native anchor facts</w:t>
            </w:r>
          </w:p>
        </w:tc>
        <w:tc>
          <w:tcPr>
            <w:tcW w:type="dxa" w:w="2520"/>
            <w:vAlign w:val="top"/>
          </w:tcPr>
          <w:p>
            <w:r>
              <w:t>855</w:t>
            </w:r>
          </w:p>
        </w:tc>
        <w:tc>
          <w:tcPr>
            <w:tcW w:type="dxa" w:w="2520"/>
            <w:vAlign w:val="top"/>
          </w:tcPr>
          <w:p>
            <w:r>
              <w:t>855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native anchor validation</w:t>
            </w:r>
          </w:p>
        </w:tc>
        <w:tc>
          <w:tcPr>
            <w:tcW w:type="dxa" w:w="2520"/>
            <w:vAlign w:val="top"/>
          </w:tcPr>
          <w:p>
            <w:r>
              <w:t>855</w:t>
            </w:r>
          </w:p>
        </w:tc>
        <w:tc>
          <w:tcPr>
            <w:tcW w:type="dxa" w:w="2520"/>
            <w:vAlign w:val="top"/>
          </w:tcPr>
          <w:p>
            <w:r>
              <w:t>855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strict external entropy hits</w:t>
            </w:r>
          </w:p>
        </w:tc>
        <w:tc>
          <w:tcPr>
            <w:tcW w:type="dxa" w:w="2520"/>
            <w:vAlign w:val="top"/>
          </w:tcPr>
          <w:p>
            <w:r>
              <w:t>848</w:t>
            </w:r>
          </w:p>
        </w:tc>
        <w:tc>
          <w:tcPr>
            <w:tcW w:type="dxa" w:w="2520"/>
            <w:vAlign w:val="top"/>
          </w:tcPr>
          <w:p>
            <w:r>
              <w:t>855</w:t>
            </w:r>
          </w:p>
        </w:tc>
        <w:tc>
          <w:tcPr>
            <w:tcW w:type="dxa" w:w="2520"/>
            <w:vAlign w:val="top"/>
          </w:tcPr>
          <w:p>
            <w:r>
              <w:t>WARN</w:t>
            </w:r>
          </w:p>
        </w:tc>
      </w:tr>
      <w:tr>
        <w:tc>
          <w:tcPr>
            <w:tcW w:type="dxa" w:w="2520"/>
            <w:vAlign w:val="top"/>
          </w:tcPr>
          <w:p>
            <w:r>
              <w:t>guard rules</w:t>
            </w:r>
          </w:p>
        </w:tc>
        <w:tc>
          <w:tcPr>
            <w:tcW w:type="dxa" w:w="2520"/>
            <w:vAlign w:val="top"/>
          </w:tcPr>
          <w:p>
            <w:r>
              <w:t>27</w:t>
            </w:r>
          </w:p>
        </w:tc>
        <w:tc>
          <w:tcPr>
            <w:tcW w:type="dxa" w:w="2520"/>
            <w:vAlign w:val="top"/>
          </w:tcPr>
          <w:p>
            <w:r>
              <w:t>27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guard regression</w:t>
            </w:r>
          </w:p>
        </w:tc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27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semantic quarantine rows</w:t>
            </w:r>
          </w:p>
        </w:tc>
        <w:tc>
          <w:tcPr>
            <w:tcW w:type="dxa" w:w="2520"/>
            <w:vAlign w:val="top"/>
          </w:tcPr>
          <w:p>
            <w:r>
              <w:t>36</w:t>
            </w:r>
          </w:p>
        </w:tc>
        <w:tc>
          <w:tcPr>
            <w:tcW w:type="dxa" w:w="2520"/>
            <w:vAlign w:val="top"/>
          </w:tcPr>
          <w:p>
            <w:r>
              <w:t>&gt;=36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semantic regression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RMI default rows</w:t>
            </w:r>
          </w:p>
        </w:tc>
        <w:tc>
          <w:tcPr>
            <w:tcW w:type="dxa" w:w="2520"/>
            <w:vAlign w:val="top"/>
          </w:tcPr>
          <w:p>
            <w:r>
              <w:t>11530</w:t>
            </w:r>
          </w:p>
        </w:tc>
        <w:tc>
          <w:tcPr>
            <w:tcW w:type="dxa" w:w="2520"/>
            <w:vAlign w:val="top"/>
          </w:tcPr>
          <w:p>
            <w:r>
              <w:t>11530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RMI H2/H3 false-neighbor groups</w:t>
            </w:r>
          </w:p>
        </w:tc>
        <w:tc>
          <w:tcPr>
            <w:tcW w:type="dxa" w:w="2520"/>
            <w:vAlign w:val="top"/>
          </w:tcPr>
          <w:p>
            <w:r>
              <w:t>H2=0; H3=0</w:t>
            </w:r>
          </w:p>
        </w:tc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  <w:tr>
        <w:tc>
          <w:tcPr>
            <w:tcW w:type="dxa" w:w="2520"/>
            <w:vAlign w:val="top"/>
          </w:tcPr>
          <w:p>
            <w:r>
              <w:t>coordinate invariance CI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  <w:tc>
          <w:tcPr>
            <w:tcW w:type="dxa" w:w="2520"/>
            <w:vAlign w:val="top"/>
          </w:tcPr>
          <w:p>
            <w:r>
              <w:t>PASS</w:t>
            </w:r>
          </w:p>
        </w:tc>
      </w:tr>
    </w:tbl>
    <w:p>
      <w:pPr>
        <w:pStyle w:val="Heading1"/>
      </w:pPr>
      <w:r>
        <w:t>4. 关键边界</w:t>
      </w:r>
    </w:p>
    <w:p>
      <w:r>
        <w:t>旧 DB 不做破坏性迁移；legacy direct_fk_available = 0 不被篡改。</w:t>
      </w:r>
    </w:p>
    <w:p>
      <w:r>
        <w:t>v36.7 native anchor facts 是新的非破坏性基线，不等于改写历史 FK。</w:t>
      </w:r>
    </w:p>
    <w:p>
      <w:r>
        <w:t>H1 measure-only RMI hash 只保留为审计对照；H2/H3 是默认索引。</w:t>
      </w:r>
    </w:p>
    <w:p>
      <w:r>
        <w:t>semantic text 放入 sidecar / semantic-free view；不允许写入主线 truth。</w:t>
      </w:r>
    </w:p>
    <w:p>
      <w:r>
        <w:t>当前不是 Online Native Runtime，也不声明 100ms coordinate audit、Faiss/vector DB runtime 或 async complex recursion。</w:t>
      </w:r>
    </w:p>
    <w:p>
      <w:pPr>
        <w:pStyle w:val="Heading1"/>
      </w:pPr>
      <w:r>
        <w:t>5. 已知警告</w:t>
      </w:r>
    </w:p>
    <w:p>
      <w:r>
        <w:t>7 operational ledger refs are not strict historical external entropy event hits; preserved as WARN boundary.</w:t>
      </w:r>
    </w:p>
    <w:p>
      <w:r>
        <w:t>Legacy direct_fk_available remains 0; v36.7 native anchor baseline is non-destructive overlay.</w:t>
      </w:r>
    </w:p>
    <w:p>
      <w:pPr>
        <w:pStyle w:val="Heading1"/>
      </w:pPr>
      <w:r>
        <w:t>6. 推荐下一步</w:t>
      </w:r>
    </w:p>
    <w:p>
      <w:r>
        <w:t>建议 v36.7.6 聚焦最终发布打磨：strict ledger gap resolution plan、单一 morphosphere status 命令、release notes、最终包 QA。不要在 RC gates 稳定前启动 v37 Online Native Runtime。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