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747A3" w14:textId="4010315E" w:rsidR="00611505" w:rsidRPr="0025769C" w:rsidRDefault="00611505" w:rsidP="00C269DB">
      <w:pPr>
        <w:adjustRightInd w:val="0"/>
        <w:snapToGrid w:val="0"/>
        <w:spacing w:before="120" w:after="360"/>
        <w:ind w:firstLine="420"/>
        <w:jc w:val="center"/>
        <w:rPr>
          <w:rFonts w:ascii="Cambria" w:hAnsi="Cambria"/>
          <w:b/>
          <w:bCs/>
          <w:kern w:val="28"/>
          <w:sz w:val="28"/>
          <w:szCs w:val="28"/>
        </w:rPr>
      </w:pPr>
      <w:r w:rsidRPr="0025769C">
        <w:rPr>
          <w:rFonts w:ascii="Cambria" w:hAnsi="Cambria"/>
          <w:b/>
          <w:bCs/>
          <w:kern w:val="28"/>
          <w:sz w:val="28"/>
          <w:szCs w:val="28"/>
        </w:rPr>
        <w:t>Machine</w:t>
      </w:r>
      <w:r w:rsidR="003D4348" w:rsidRPr="0025769C">
        <w:rPr>
          <w:rFonts w:ascii="Cambria" w:hAnsi="Cambria"/>
          <w:b/>
          <w:bCs/>
          <w:kern w:val="28"/>
          <w:sz w:val="28"/>
          <w:szCs w:val="28"/>
        </w:rPr>
        <w:t>-</w:t>
      </w:r>
      <w:r w:rsidRPr="0025769C">
        <w:rPr>
          <w:rFonts w:ascii="Cambria" w:hAnsi="Cambria"/>
          <w:b/>
          <w:bCs/>
          <w:kern w:val="28"/>
          <w:sz w:val="28"/>
          <w:szCs w:val="28"/>
        </w:rPr>
        <w:t xml:space="preserve">Learning </w:t>
      </w:r>
      <w:proofErr w:type="spellStart"/>
      <w:r w:rsidRPr="0025769C">
        <w:rPr>
          <w:rFonts w:ascii="Cambria" w:hAnsi="Cambria"/>
          <w:b/>
          <w:bCs/>
          <w:kern w:val="28"/>
          <w:sz w:val="28"/>
          <w:szCs w:val="28"/>
        </w:rPr>
        <w:t>Oxybarometer</w:t>
      </w:r>
      <w:proofErr w:type="spellEnd"/>
      <w:r w:rsidRPr="0025769C">
        <w:rPr>
          <w:rFonts w:ascii="Cambria" w:hAnsi="Cambria"/>
          <w:b/>
          <w:bCs/>
          <w:kern w:val="28"/>
          <w:sz w:val="28"/>
          <w:szCs w:val="28"/>
        </w:rPr>
        <w:t xml:space="preserve"> Developed Using </w:t>
      </w:r>
      <w:r w:rsidR="00E6682C" w:rsidRPr="0025769C">
        <w:rPr>
          <w:rFonts w:ascii="Cambria" w:hAnsi="Cambria"/>
          <w:b/>
          <w:bCs/>
          <w:kern w:val="28"/>
          <w:sz w:val="28"/>
          <w:szCs w:val="28"/>
        </w:rPr>
        <w:t>Zircon Trace-element Chemistry</w:t>
      </w:r>
      <w:r w:rsidRPr="0025769C">
        <w:rPr>
          <w:rFonts w:ascii="Cambria" w:hAnsi="Cambria"/>
          <w:b/>
          <w:bCs/>
          <w:kern w:val="28"/>
          <w:sz w:val="28"/>
          <w:szCs w:val="28"/>
        </w:rPr>
        <w:t xml:space="preserve"> and Its Applications</w:t>
      </w:r>
    </w:p>
    <w:p w14:paraId="4F0D6EC2" w14:textId="0BCCA94B" w:rsidR="00C269DB" w:rsidRPr="0012523B" w:rsidRDefault="00C269DB" w:rsidP="00C269DB">
      <w:pPr>
        <w:adjustRightInd w:val="0"/>
        <w:snapToGrid w:val="0"/>
        <w:spacing w:before="120" w:after="360"/>
        <w:ind w:firstLine="420"/>
        <w:jc w:val="center"/>
        <w:rPr>
          <w:b/>
          <w:color w:val="000000" w:themeColor="text1"/>
          <w:szCs w:val="24"/>
        </w:rPr>
      </w:pPr>
      <w:r w:rsidRPr="0012523B">
        <w:rPr>
          <w:b/>
          <w:color w:val="000000" w:themeColor="text1"/>
          <w:szCs w:val="24"/>
        </w:rPr>
        <w:t>Shaohao Zou</w:t>
      </w:r>
      <w:r w:rsidRPr="0012523B">
        <w:rPr>
          <w:b/>
          <w:color w:val="000000" w:themeColor="text1"/>
          <w:szCs w:val="24"/>
          <w:vertAlign w:val="superscript"/>
        </w:rPr>
        <w:t>1</w:t>
      </w:r>
      <w:r w:rsidRPr="00517670">
        <w:rPr>
          <w:b/>
          <w:color w:val="0000FF"/>
          <w:szCs w:val="24"/>
          <w:vertAlign w:val="superscript"/>
        </w:rPr>
        <w:t>*</w:t>
      </w:r>
      <w:r w:rsidRPr="0012523B">
        <w:rPr>
          <w:b/>
          <w:color w:val="000000" w:themeColor="text1"/>
          <w:szCs w:val="24"/>
        </w:rPr>
        <w:t xml:space="preserve">, </w:t>
      </w:r>
      <w:r w:rsidR="001D06EC" w:rsidRPr="007A34E4">
        <w:rPr>
          <w:b/>
          <w:color w:val="000000" w:themeColor="text1"/>
          <w:szCs w:val="24"/>
        </w:rPr>
        <w:t>Matthew J. Brzozowski</w:t>
      </w:r>
      <w:r w:rsidR="001D06EC">
        <w:rPr>
          <w:b/>
          <w:color w:val="000000" w:themeColor="text1"/>
          <w:szCs w:val="24"/>
          <w:vertAlign w:val="superscript"/>
        </w:rPr>
        <w:t>2</w:t>
      </w:r>
      <w:r w:rsidR="001D06EC" w:rsidRPr="007A34E4">
        <w:rPr>
          <w:b/>
          <w:color w:val="000000" w:themeColor="text1"/>
          <w:szCs w:val="24"/>
        </w:rPr>
        <w:t>,</w:t>
      </w:r>
      <w:r w:rsidR="001D06EC">
        <w:rPr>
          <w:b/>
          <w:color w:val="000000" w:themeColor="text1"/>
          <w:szCs w:val="24"/>
        </w:rPr>
        <w:t xml:space="preserve"> </w:t>
      </w:r>
      <w:proofErr w:type="spellStart"/>
      <w:r w:rsidRPr="0012523B">
        <w:rPr>
          <w:b/>
          <w:color w:val="000000" w:themeColor="text1"/>
          <w:szCs w:val="24"/>
        </w:rPr>
        <w:t>Xilian</w:t>
      </w:r>
      <w:proofErr w:type="spellEnd"/>
      <w:r w:rsidRPr="0012523B">
        <w:rPr>
          <w:b/>
          <w:color w:val="000000" w:themeColor="text1"/>
          <w:szCs w:val="24"/>
        </w:rPr>
        <w:t xml:space="preserve"> Chen</w:t>
      </w:r>
      <w:r w:rsidRPr="0012523B">
        <w:rPr>
          <w:b/>
          <w:color w:val="000000" w:themeColor="text1"/>
          <w:szCs w:val="24"/>
          <w:vertAlign w:val="superscript"/>
        </w:rPr>
        <w:t>1</w:t>
      </w:r>
      <w:r w:rsidRPr="0012523B">
        <w:rPr>
          <w:b/>
          <w:color w:val="000000" w:themeColor="text1"/>
          <w:szCs w:val="24"/>
        </w:rPr>
        <w:t>,</w:t>
      </w:r>
      <w:r>
        <w:rPr>
          <w:b/>
          <w:color w:val="000000" w:themeColor="text1"/>
          <w:szCs w:val="24"/>
        </w:rPr>
        <w:t xml:space="preserve"> </w:t>
      </w:r>
      <w:r w:rsidRPr="000C213C">
        <w:rPr>
          <w:b/>
          <w:color w:val="000000" w:themeColor="text1"/>
          <w:szCs w:val="24"/>
        </w:rPr>
        <w:t>Cheng-Biao Leng</w:t>
      </w:r>
      <w:r w:rsidRPr="000C213C">
        <w:rPr>
          <w:b/>
          <w:color w:val="000000" w:themeColor="text1"/>
          <w:szCs w:val="24"/>
          <w:vertAlign w:val="superscript"/>
        </w:rPr>
        <w:t>1</w:t>
      </w:r>
      <w:r w:rsidRPr="000C213C">
        <w:rPr>
          <w:b/>
          <w:color w:val="000000" w:themeColor="text1"/>
          <w:szCs w:val="24"/>
        </w:rPr>
        <w:t>,</w:t>
      </w:r>
      <w:r>
        <w:rPr>
          <w:b/>
          <w:color w:val="000000" w:themeColor="text1"/>
          <w:szCs w:val="24"/>
        </w:rPr>
        <w:t xml:space="preserve"> </w:t>
      </w:r>
      <w:proofErr w:type="spellStart"/>
      <w:r>
        <w:rPr>
          <w:b/>
          <w:color w:val="000000" w:themeColor="text1"/>
          <w:szCs w:val="24"/>
        </w:rPr>
        <w:t>Deru</w:t>
      </w:r>
      <w:proofErr w:type="spellEnd"/>
      <w:r w:rsidRPr="0012523B">
        <w:rPr>
          <w:b/>
          <w:color w:val="000000" w:themeColor="text1"/>
          <w:szCs w:val="24"/>
        </w:rPr>
        <w:t xml:space="preserve"> </w:t>
      </w:r>
      <w:r>
        <w:rPr>
          <w:b/>
          <w:color w:val="000000" w:themeColor="text1"/>
          <w:szCs w:val="24"/>
        </w:rPr>
        <w:t>Xu</w:t>
      </w:r>
      <w:r>
        <w:rPr>
          <w:b/>
          <w:color w:val="000000" w:themeColor="text1"/>
          <w:szCs w:val="24"/>
          <w:vertAlign w:val="superscript"/>
        </w:rPr>
        <w:t>1</w:t>
      </w:r>
    </w:p>
    <w:p w14:paraId="515EDEF1" w14:textId="77777777" w:rsidR="00C269DB" w:rsidRPr="000E5EDC" w:rsidRDefault="00C269DB" w:rsidP="00C269DB">
      <w:pPr>
        <w:spacing w:line="360" w:lineRule="auto"/>
        <w:rPr>
          <w:color w:val="000000" w:themeColor="text1"/>
          <w:szCs w:val="24"/>
        </w:rPr>
      </w:pPr>
      <w:r w:rsidRPr="000E5EDC">
        <w:rPr>
          <w:color w:val="000000" w:themeColor="text1"/>
          <w:szCs w:val="24"/>
          <w:vertAlign w:val="superscript"/>
        </w:rPr>
        <w:t>1</w:t>
      </w:r>
      <w:r w:rsidRPr="000E5EDC">
        <w:rPr>
          <w:color w:val="000000" w:themeColor="text1"/>
          <w:szCs w:val="24"/>
        </w:rPr>
        <w:t>State Key Laboratory of Nuclear Resources and Environment, East China University of Technology, Nanchang 330013, China</w:t>
      </w:r>
    </w:p>
    <w:p w14:paraId="3F9BB4EB" w14:textId="77777777" w:rsidR="00C269DB" w:rsidRPr="000E5EDC" w:rsidRDefault="00C269DB" w:rsidP="00C269DB">
      <w:pPr>
        <w:spacing w:line="360" w:lineRule="auto"/>
        <w:rPr>
          <w:color w:val="000000" w:themeColor="text1"/>
          <w:szCs w:val="24"/>
        </w:rPr>
      </w:pPr>
      <w:r w:rsidRPr="000E5EDC">
        <w:rPr>
          <w:color w:val="000000" w:themeColor="text1"/>
          <w:szCs w:val="24"/>
          <w:vertAlign w:val="superscript"/>
        </w:rPr>
        <w:t>2</w:t>
      </w:r>
      <w:r w:rsidRPr="000E5EDC">
        <w:rPr>
          <w:color w:val="000000" w:themeColor="text1"/>
          <w:szCs w:val="24"/>
        </w:rPr>
        <w:t>Department of Geology, Lakehead University, Thunder Bay, Ontario P7B 5E1, Canada</w:t>
      </w:r>
    </w:p>
    <w:p w14:paraId="53786E64" w14:textId="77777777" w:rsidR="00C269DB" w:rsidRDefault="00C269DB" w:rsidP="00C269DB">
      <w:pPr>
        <w:rPr>
          <w:color w:val="000000" w:themeColor="text1"/>
          <w:szCs w:val="24"/>
        </w:rPr>
      </w:pPr>
      <w:r>
        <w:rPr>
          <w:color w:val="000000" w:themeColor="text1"/>
          <w:szCs w:val="24"/>
        </w:rPr>
        <w:t xml:space="preserve">Corresponding author: </w:t>
      </w:r>
      <w:r w:rsidRPr="000E5EDC">
        <w:rPr>
          <w:color w:val="000000" w:themeColor="text1"/>
          <w:szCs w:val="24"/>
        </w:rPr>
        <w:t>Shaohao Zou (shaohaozou@hotmail.com)</w:t>
      </w:r>
      <w:r>
        <w:rPr>
          <w:rFonts w:hint="eastAsia"/>
          <w:color w:val="000000" w:themeColor="text1"/>
          <w:szCs w:val="24"/>
        </w:rPr>
        <w:t xml:space="preserve"> </w:t>
      </w:r>
    </w:p>
    <w:p w14:paraId="4E5EC737" w14:textId="77777777" w:rsidR="00D76807" w:rsidRDefault="00D76807" w:rsidP="00C269DB">
      <w:pPr>
        <w:rPr>
          <w:color w:val="000000" w:themeColor="text1"/>
          <w:szCs w:val="24"/>
        </w:rPr>
      </w:pPr>
    </w:p>
    <w:p w14:paraId="3E94C67A" w14:textId="77777777" w:rsidR="00D76807" w:rsidRDefault="00D76807" w:rsidP="00C269DB">
      <w:pPr>
        <w:rPr>
          <w:color w:val="000000" w:themeColor="text1"/>
          <w:szCs w:val="24"/>
        </w:rPr>
      </w:pPr>
    </w:p>
    <w:p w14:paraId="3330BE51" w14:textId="77777777" w:rsidR="00D76807" w:rsidRDefault="00D76807" w:rsidP="00C269DB">
      <w:pPr>
        <w:rPr>
          <w:color w:val="000000" w:themeColor="text1"/>
          <w:szCs w:val="24"/>
        </w:rPr>
      </w:pPr>
    </w:p>
    <w:p w14:paraId="07AD5314" w14:textId="77777777" w:rsidR="00D76807" w:rsidRDefault="00D76807" w:rsidP="00C269DB">
      <w:pPr>
        <w:rPr>
          <w:color w:val="000000" w:themeColor="text1"/>
          <w:szCs w:val="24"/>
        </w:rPr>
      </w:pPr>
    </w:p>
    <w:p w14:paraId="709FA474" w14:textId="45B3C9A1" w:rsidR="00854FDC" w:rsidRDefault="00352FC9" w:rsidP="00C67B39">
      <w:pPr>
        <w:rPr>
          <w:lang w:eastAsia="zh-CN"/>
        </w:rPr>
      </w:pPr>
      <w:r>
        <w:rPr>
          <w:noProof/>
        </w:rPr>
        <w:drawing>
          <wp:inline distT="0" distB="0" distL="0" distR="0" wp14:anchorId="1D4B0746" wp14:editId="6A62BB63">
            <wp:extent cx="5274310" cy="19526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52625"/>
                    </a:xfrm>
                    <a:prstGeom prst="rect">
                      <a:avLst/>
                    </a:prstGeom>
                  </pic:spPr>
                </pic:pic>
              </a:graphicData>
            </a:graphic>
          </wp:inline>
        </w:drawing>
      </w:r>
    </w:p>
    <w:p w14:paraId="49B0D124" w14:textId="4F9B635E" w:rsidR="000A1918" w:rsidRPr="00854FDC" w:rsidRDefault="000A1918" w:rsidP="00F76AA0">
      <w:pPr>
        <w:ind w:left="0" w:firstLine="0"/>
        <w:jc w:val="both"/>
        <w:rPr>
          <w:b/>
          <w:bCs/>
          <w:lang w:eastAsia="zh-CN"/>
        </w:rPr>
      </w:pPr>
      <w:r w:rsidRPr="00854FDC">
        <w:rPr>
          <w:b/>
          <w:bCs/>
          <w:lang w:eastAsia="zh-CN"/>
        </w:rPr>
        <w:t>Figure S1.</w:t>
      </w:r>
      <w:r w:rsidRPr="00854FDC">
        <w:rPr>
          <w:lang w:eastAsia="zh-CN"/>
        </w:rPr>
        <w:t xml:space="preserve"> The </w:t>
      </w:r>
      <w:r w:rsidRPr="00854FDC">
        <w:rPr>
          <w:i/>
          <w:iCs/>
          <w:lang w:eastAsia="zh-CN"/>
        </w:rPr>
        <w:t>f</w:t>
      </w:r>
      <w:r w:rsidRPr="00854FDC">
        <w:rPr>
          <w:lang w:eastAsia="zh-CN"/>
        </w:rPr>
        <w:t>O</w:t>
      </w:r>
      <w:r w:rsidRPr="00854FDC">
        <w:rPr>
          <w:vertAlign w:val="subscript"/>
          <w:lang w:eastAsia="zh-CN"/>
        </w:rPr>
        <w:t>2</w:t>
      </w:r>
      <w:r w:rsidRPr="00854FDC">
        <w:rPr>
          <w:lang w:eastAsia="zh-CN"/>
        </w:rPr>
        <w:t xml:space="preserve"> values versus age diagram. The </w:t>
      </w:r>
      <w:r w:rsidRPr="00854FDC">
        <w:rPr>
          <w:i/>
          <w:iCs/>
          <w:lang w:eastAsia="zh-CN"/>
        </w:rPr>
        <w:t>f</w:t>
      </w:r>
      <w:r w:rsidRPr="00854FDC">
        <w:rPr>
          <w:lang w:eastAsia="zh-CN"/>
        </w:rPr>
        <w:t>O</w:t>
      </w:r>
      <w:r w:rsidRPr="00854FDC">
        <w:rPr>
          <w:vertAlign w:val="subscript"/>
          <w:lang w:eastAsia="zh-CN"/>
        </w:rPr>
        <w:t>2</w:t>
      </w:r>
      <w:r w:rsidRPr="00854FDC">
        <w:rPr>
          <w:lang w:eastAsia="zh-CN"/>
        </w:rPr>
        <w:t xml:space="preserve"> values are calculated by the </w:t>
      </w:r>
      <w:r w:rsidR="000A1469" w:rsidRPr="009F2F88">
        <w:t>U</w:t>
      </w:r>
      <w:r w:rsidR="000A1469" w:rsidRPr="009F2F88">
        <w:rPr>
          <w:szCs w:val="24"/>
        </w:rPr>
        <w:t>–</w:t>
      </w:r>
      <w:proofErr w:type="spellStart"/>
      <w:r w:rsidR="000A1469" w:rsidRPr="009F2F88">
        <w:t>Ti</w:t>
      </w:r>
      <w:proofErr w:type="spellEnd"/>
      <w:r w:rsidR="000A1469" w:rsidRPr="009F2F88">
        <w:rPr>
          <w:szCs w:val="24"/>
        </w:rPr>
        <w:t>–</w:t>
      </w:r>
      <w:r w:rsidR="000A1469" w:rsidRPr="009F2F88">
        <w:t>Ce equation</w:t>
      </w:r>
      <w:r w:rsidRPr="00854FDC">
        <w:rPr>
          <w:lang w:eastAsia="zh-CN"/>
        </w:rPr>
        <w:t xml:space="preserve"> using trace elements of global detrital zircon database from </w:t>
      </w:r>
      <w:r w:rsidRPr="00854FDC">
        <w:rPr>
          <w:lang w:eastAsia="zh-CN"/>
        </w:rPr>
        <w:fldChar w:fldCharType="begin"/>
      </w:r>
      <w:r w:rsidR="002B6AF7">
        <w:rPr>
          <w:lang w:eastAsia="zh-CN"/>
        </w:rPr>
        <w:instrText xml:space="preserve"> ADDIN ZOTERO_ITEM CSL_CITATION {"citationID":"s8s4uPmF","properties":{"formattedCitation":"(Tang et al., 2021)","plainCitation":"(Tang et al., 2021)","dontUpdate":true,"noteIndex":0},"citationItems":[{"id":2536,"uris":["http://zotero.org/users/6458931/items/9TVSN9KV"],"itemData":{"id":2536,"type":"article-journal","abstract":"Mountain belts modulate denudation flux and hydrologic processes and are thus fundamental to nutrient cycling on Earth’s surface. We used europium anomalies in detrital zircons to track mountain-building processes over Earth’s history. We show that the average thickness of active continental crust varied on billion-year time scales, with the thickest crust formed in the Archean and Phanerozoic. By contrast, the Proterozoic witnessed continuously decreasing crustal thickness, leaving the continents devoid of high mountains until the end of the eon. We link this gradually diminished orogenesis to the long-lived Nuna-Rodinia supercontinent, which altered the mantle thermal structure and weakened the continental lithosphere. This prolonged orogenic quiescence may have resulted in a persistent famine in the oceans and stalled life’s evolution in Earth’s middle age.","container-title":"Science","DOI":"10.1126/science.abf1876","ISSN":"0036-8075, 1095-9203","issue":"6530","journalAbbreviation":"Science","language":"en","page":"728-731","source":"DOI.org (Crossref)","title":"Orogenic quiescence in Earth’s middle age","volume":"371","author":[{"family":"Tang","given":"Ming"},{"family":"Chu","given":"Xu"},{"family":"Hao","given":"Jihua"},{"family":"Shen","given":"Bing"}],"issued":{"date-parts":[["2021",2,12]]}}}],"schema":"https://github.com/citation-style-language/schema/raw/master/csl-citation.json"} </w:instrText>
      </w:r>
      <w:r w:rsidRPr="00854FDC">
        <w:rPr>
          <w:lang w:eastAsia="zh-CN"/>
        </w:rPr>
        <w:fldChar w:fldCharType="separate"/>
      </w:r>
      <w:r w:rsidRPr="00854FDC">
        <w:rPr>
          <w:lang w:eastAsia="zh-CN"/>
        </w:rPr>
        <w:t>Tang et al. (2021)</w:t>
      </w:r>
      <w:r w:rsidRPr="00854FDC">
        <w:rPr>
          <w:lang w:eastAsia="zh-CN"/>
        </w:rPr>
        <w:fldChar w:fldCharType="end"/>
      </w:r>
      <w:r w:rsidRPr="00854FDC">
        <w:rPr>
          <w:lang w:eastAsia="zh-CN"/>
        </w:rPr>
        <w:t xml:space="preserve"> </w:t>
      </w:r>
      <w:r w:rsidR="00E83440">
        <w:rPr>
          <w:rFonts w:hint="eastAsia"/>
          <w:lang w:eastAsia="zh-CN"/>
        </w:rPr>
        <w:t>and</w:t>
      </w:r>
      <w:r w:rsidR="00E83440">
        <w:rPr>
          <w:lang w:eastAsia="zh-CN"/>
        </w:rPr>
        <w:t xml:space="preserve"> </w:t>
      </w:r>
      <w:r w:rsidR="002B6AF7">
        <w:rPr>
          <w:lang w:eastAsia="zh-CN"/>
        </w:rPr>
        <w:fldChar w:fldCharType="begin"/>
      </w:r>
      <w:r w:rsidR="002B6AF7">
        <w:rPr>
          <w:lang w:eastAsia="zh-CN"/>
        </w:rPr>
        <w:instrText xml:space="preserve"> ADDIN ZOTERO_ITEM CSL_CITATION {"citationID":"2Actx21O","properties":{"formattedCitation":"(Verdel et al., 2021)","plainCitation":"(Verdel et al., 2021)","noteIndex":0},"citationItems":[{"id":2537,"uris":["http://zotero.org/users/6458931/items/KS3IZA3U"],"itemData":{"id":2537,"type":"article-journal","abstract":"Abstract\n            Hafnium (Hf) isotope composition of zircon has been integrated with U-Pb age to form a long-term (&amp;gt;4 b.y.) record of the evolution of the crust. In contrast, trace element compositions of zircon are most commonly utilized in local- or regional-scale petrological studies, and the most noteworthy applications of trace element studies of detrital zircon have been in “fingerprinting” potential source lithologies. The extent to which zircon trace element compositions varied globally over geological time scales (as, for example, zircon U-Pb age abundance, O isotope composition, and Hf isotope composition seem to have varied) has been little explored, and it is a topic that is well suited to the large data sets produced by detrital zircon studies. In this study we present new detrital zircon U-Pb ages and trace element compositions from a continent-scale basin system in Australia (the Centralian Superbasin) that bear directly on the Proterozoic history of Australia and which may be applicable to broader interpretations of plate-tectonic processes in other regions. U-Pb ages of detrital zircon in the Centralian Superbasin are dominated by populations of ca. 1800, 1600, 1200, and 600 Ma, and secular variations of zircon Hf isotope ratios are correlated with some trace element parameters between these major age populations. In particular, elevated εHf(i) (i.e., radiogenic “juvenile” Hf isotope composition) of detrital zircon in the Centralian Superbasin tends to correspond with relatively high values of Yb/U, Ce anomaly, and Lu/Nd (i.e., depletion of light rare earth elements). These correlations seem to be fundamentally governed by three related factors: elemental compatibility in the continental crust versus mantle, the thickness of continental crust, and the contributions of sediment to magmas. Similar trace element versus εHf(i) patterns among a global zircon data set suggest broad applicability. One particularly intriguing aspect of the global zircon data set is a late Neoproterozoic to Cambrian period during which both zircon εHf(i) and Yb/U reached minima, marking an era of anomalous zircon geochemistry that was related to significant contributions from old continental crust.","container-title":"Geosphere","DOI":"10.1130/GES02300.1","ISSN":"1553-040X","issue":"2","language":"en","page":"538-560","source":"DOI.org (Crossref)","title":"Detrital zircon petrochronology of central Australia, and implications for the secular record of zircon trace element composition","volume":"17","author":[{"family":"Verdel","given":"Charles"},{"family":"Campbell","given":"Matthew J."},{"family":"Allen","given":"Charlotte M."}],"issued":{"date-parts":[["2021",4,1]]}}}],"schema":"https://github.com/citation-style-language/schema/raw/master/csl-citation.json"} </w:instrText>
      </w:r>
      <w:r w:rsidR="002B6AF7">
        <w:rPr>
          <w:lang w:eastAsia="zh-CN"/>
        </w:rPr>
        <w:fldChar w:fldCharType="separate"/>
      </w:r>
      <w:r w:rsidR="002B6AF7" w:rsidRPr="002B6AF7">
        <w:t>Verdel et al. (2021)</w:t>
      </w:r>
      <w:r w:rsidR="002B6AF7">
        <w:rPr>
          <w:lang w:eastAsia="zh-CN"/>
        </w:rPr>
        <w:fldChar w:fldCharType="end"/>
      </w:r>
      <w:r w:rsidR="004D1FEC">
        <w:rPr>
          <w:lang w:eastAsia="zh-CN"/>
        </w:rPr>
        <w:t xml:space="preserve"> </w:t>
      </w:r>
      <w:r w:rsidRPr="00854FDC">
        <w:rPr>
          <w:lang w:eastAsia="zh-CN"/>
        </w:rPr>
        <w:t>and reference therein.</w:t>
      </w:r>
    </w:p>
    <w:p w14:paraId="3EF4B34D" w14:textId="77777777" w:rsidR="00C67B39" w:rsidRPr="00C67B39" w:rsidRDefault="00C67B39" w:rsidP="00C67B39">
      <w:pPr>
        <w:rPr>
          <w:lang w:eastAsia="zh-CN"/>
        </w:rPr>
      </w:pPr>
    </w:p>
    <w:p w14:paraId="1D0A73ED" w14:textId="6DD96B95" w:rsidR="00813882" w:rsidRDefault="00691BFF">
      <w:r>
        <w:rPr>
          <w:noProof/>
        </w:rPr>
        <w:lastRenderedPageBreak/>
        <w:drawing>
          <wp:inline distT="0" distB="0" distL="0" distR="0" wp14:anchorId="49012C70" wp14:editId="00EAC4AF">
            <wp:extent cx="5273806" cy="4448003"/>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46" b="3895"/>
                    <a:stretch/>
                  </pic:blipFill>
                  <pic:spPr bwMode="auto">
                    <a:xfrm>
                      <a:off x="0" y="0"/>
                      <a:ext cx="5274310" cy="4448428"/>
                    </a:xfrm>
                    <a:prstGeom prst="rect">
                      <a:avLst/>
                    </a:prstGeom>
                    <a:ln>
                      <a:noFill/>
                    </a:ln>
                    <a:extLst>
                      <a:ext uri="{53640926-AAD7-44D8-BBD7-CCE9431645EC}">
                        <a14:shadowObscured xmlns:a14="http://schemas.microsoft.com/office/drawing/2010/main"/>
                      </a:ext>
                    </a:extLst>
                  </pic:spPr>
                </pic:pic>
              </a:graphicData>
            </a:graphic>
          </wp:inline>
        </w:drawing>
      </w:r>
    </w:p>
    <w:p w14:paraId="2DF2BA0D" w14:textId="4844B8E8" w:rsidR="00390137" w:rsidRDefault="007054D7" w:rsidP="002F1C43">
      <w:pPr>
        <w:ind w:left="0" w:firstLine="0"/>
        <w:jc w:val="both"/>
        <w:rPr>
          <w:lang w:eastAsia="zh-CN"/>
        </w:rPr>
      </w:pPr>
      <w:r w:rsidRPr="00813882">
        <w:rPr>
          <w:rFonts w:hint="eastAsia"/>
          <w:b/>
          <w:bCs/>
          <w:lang w:eastAsia="zh-CN"/>
        </w:rPr>
        <w:t>F</w:t>
      </w:r>
      <w:r w:rsidRPr="00813882">
        <w:rPr>
          <w:b/>
          <w:bCs/>
          <w:lang w:eastAsia="zh-CN"/>
        </w:rPr>
        <w:t>igure S</w:t>
      </w:r>
      <w:r w:rsidR="000A1918">
        <w:rPr>
          <w:b/>
          <w:bCs/>
          <w:lang w:eastAsia="zh-CN"/>
        </w:rPr>
        <w:t>2</w:t>
      </w:r>
      <w:r w:rsidRPr="00813882">
        <w:rPr>
          <w:b/>
          <w:bCs/>
          <w:lang w:eastAsia="zh-CN"/>
        </w:rPr>
        <w:t xml:space="preserve">. </w:t>
      </w:r>
      <w:r w:rsidR="008C7245" w:rsidRPr="008C7245">
        <w:rPr>
          <w:lang w:eastAsia="zh-CN"/>
        </w:rPr>
        <w:t xml:space="preserve">Histograms diagrams showing </w:t>
      </w:r>
      <w:r w:rsidR="00406FD7" w:rsidRPr="008C7245">
        <w:rPr>
          <w:rFonts w:hint="eastAsia"/>
          <w:lang w:eastAsia="zh-CN"/>
        </w:rPr>
        <w:t>eleme</w:t>
      </w:r>
      <w:r w:rsidR="00406FD7" w:rsidRPr="008C7245">
        <w:rPr>
          <w:lang w:eastAsia="zh-CN"/>
        </w:rPr>
        <w:t>nts</w:t>
      </w:r>
      <w:r w:rsidR="00924EC1" w:rsidRPr="008C7245">
        <w:rPr>
          <w:lang w:eastAsia="zh-CN"/>
        </w:rPr>
        <w:t xml:space="preserve"> distribution </w:t>
      </w:r>
      <w:r w:rsidR="00691BFF">
        <w:rPr>
          <w:lang w:eastAsia="zh-CN"/>
        </w:rPr>
        <w:t xml:space="preserve">(a) </w:t>
      </w:r>
      <w:r w:rsidR="00924EC1" w:rsidRPr="008C7245">
        <w:rPr>
          <w:lang w:eastAsia="zh-CN"/>
        </w:rPr>
        <w:t>b</w:t>
      </w:r>
      <w:r w:rsidR="000243BB" w:rsidRPr="008C7245">
        <w:rPr>
          <w:lang w:eastAsia="zh-CN"/>
        </w:rPr>
        <w:t>efore</w:t>
      </w:r>
      <w:r w:rsidR="008C7245">
        <w:rPr>
          <w:lang w:eastAsia="zh-CN"/>
        </w:rPr>
        <w:t xml:space="preserve"> (in </w:t>
      </w:r>
      <w:r w:rsidR="006C1D7A">
        <w:rPr>
          <w:rFonts w:hint="eastAsia"/>
          <w:lang w:eastAsia="zh-CN"/>
        </w:rPr>
        <w:t>blue</w:t>
      </w:r>
      <w:r w:rsidR="008C7245">
        <w:rPr>
          <w:lang w:eastAsia="zh-CN"/>
        </w:rPr>
        <w:t xml:space="preserve"> color)</w:t>
      </w:r>
      <w:r w:rsidR="000243BB" w:rsidRPr="008C7245">
        <w:rPr>
          <w:lang w:eastAsia="zh-CN"/>
        </w:rPr>
        <w:t xml:space="preserve"> and </w:t>
      </w:r>
      <w:r w:rsidR="00691BFF">
        <w:rPr>
          <w:lang w:eastAsia="zh-CN"/>
        </w:rPr>
        <w:t xml:space="preserve">(b) </w:t>
      </w:r>
      <w:r w:rsidR="000243BB" w:rsidRPr="008C7245">
        <w:rPr>
          <w:lang w:eastAsia="zh-CN"/>
        </w:rPr>
        <w:t xml:space="preserve">after </w:t>
      </w:r>
      <w:r w:rsidR="00A038CD">
        <w:rPr>
          <w:lang w:eastAsia="zh-CN"/>
        </w:rPr>
        <w:t xml:space="preserve">(in </w:t>
      </w:r>
      <w:r w:rsidR="006C1D7A">
        <w:rPr>
          <w:lang w:eastAsia="zh-CN"/>
        </w:rPr>
        <w:t>red</w:t>
      </w:r>
      <w:r w:rsidR="00A038CD">
        <w:rPr>
          <w:lang w:eastAsia="zh-CN"/>
        </w:rPr>
        <w:t xml:space="preserve"> color) </w:t>
      </w:r>
      <w:r w:rsidR="000243BB" w:rsidRPr="008C7245">
        <w:rPr>
          <w:lang w:eastAsia="zh-CN"/>
        </w:rPr>
        <w:t>log-transform</w:t>
      </w:r>
      <w:r w:rsidR="00924EC1" w:rsidRPr="008C7245">
        <w:rPr>
          <w:lang w:eastAsia="zh-CN"/>
        </w:rPr>
        <w:t>ation</w:t>
      </w:r>
      <w:r w:rsidR="00406FD7" w:rsidRPr="008C7245">
        <w:rPr>
          <w:lang w:eastAsia="zh-CN"/>
        </w:rPr>
        <w:t>.</w:t>
      </w:r>
      <w:r w:rsidR="00A038CD">
        <w:rPr>
          <w:lang w:eastAsia="zh-CN"/>
        </w:rPr>
        <w:t xml:space="preserve"> </w:t>
      </w:r>
    </w:p>
    <w:p w14:paraId="2A553E2A" w14:textId="7ECB165B" w:rsidR="00390137" w:rsidRDefault="00877BE9">
      <w:pPr>
        <w:rPr>
          <w:lang w:eastAsia="zh-CN"/>
        </w:rPr>
      </w:pPr>
      <w:r>
        <w:rPr>
          <w:noProof/>
        </w:rPr>
        <w:lastRenderedPageBreak/>
        <w:drawing>
          <wp:anchor distT="0" distB="0" distL="114300" distR="114300" simplePos="0" relativeHeight="251658240" behindDoc="0" locked="0" layoutInCell="1" allowOverlap="1" wp14:anchorId="1AA836CE" wp14:editId="54B4889F">
            <wp:simplePos x="0" y="0"/>
            <wp:positionH relativeFrom="column">
              <wp:posOffset>53340</wp:posOffset>
            </wp:positionH>
            <wp:positionV relativeFrom="paragraph">
              <wp:posOffset>215900</wp:posOffset>
            </wp:positionV>
            <wp:extent cx="5274310" cy="4827270"/>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827270"/>
                    </a:xfrm>
                    <a:prstGeom prst="rect">
                      <a:avLst/>
                    </a:prstGeom>
                  </pic:spPr>
                </pic:pic>
              </a:graphicData>
            </a:graphic>
          </wp:anchor>
        </w:drawing>
      </w:r>
    </w:p>
    <w:p w14:paraId="344E05BE" w14:textId="640148BF" w:rsidR="00390137" w:rsidRPr="00F76AA0" w:rsidRDefault="00390137" w:rsidP="00F76AA0">
      <w:pPr>
        <w:ind w:left="0" w:firstLine="0"/>
        <w:jc w:val="both"/>
        <w:rPr>
          <w:b/>
          <w:bCs/>
          <w:lang w:eastAsia="zh-CN"/>
        </w:rPr>
      </w:pPr>
      <w:r w:rsidRPr="00813882">
        <w:rPr>
          <w:rFonts w:hint="eastAsia"/>
          <w:b/>
          <w:bCs/>
          <w:lang w:eastAsia="zh-CN"/>
        </w:rPr>
        <w:t>F</w:t>
      </w:r>
      <w:r w:rsidRPr="00813882">
        <w:rPr>
          <w:b/>
          <w:bCs/>
          <w:lang w:eastAsia="zh-CN"/>
        </w:rPr>
        <w:t>igure S</w:t>
      </w:r>
      <w:r w:rsidR="000A1918">
        <w:rPr>
          <w:b/>
          <w:bCs/>
          <w:lang w:eastAsia="zh-CN"/>
        </w:rPr>
        <w:t>3</w:t>
      </w:r>
      <w:r w:rsidRPr="00813882">
        <w:rPr>
          <w:b/>
          <w:bCs/>
          <w:lang w:eastAsia="zh-CN"/>
        </w:rPr>
        <w:t>.</w:t>
      </w:r>
      <w:r w:rsidRPr="00F76AA0">
        <w:rPr>
          <w:b/>
          <w:bCs/>
          <w:lang w:eastAsia="zh-CN"/>
        </w:rPr>
        <w:t xml:space="preserve"> </w:t>
      </w:r>
      <w:r w:rsidR="006E787F" w:rsidRPr="00F76AA0">
        <w:rPr>
          <w:lang w:eastAsia="zh-CN"/>
        </w:rPr>
        <w:t>Spearman’s correlation heatmap of the data showing</w:t>
      </w:r>
      <w:r w:rsidR="005D0928" w:rsidRPr="00F76AA0">
        <w:rPr>
          <w:lang w:eastAsia="zh-CN"/>
        </w:rPr>
        <w:t xml:space="preserve"> both strong (higher absolute value in red or blue color) and weak (lower absolute value in white color) </w:t>
      </w:r>
      <w:r w:rsidR="006E787F" w:rsidRPr="00F76AA0">
        <w:rPr>
          <w:lang w:eastAsia="zh-CN"/>
        </w:rPr>
        <w:t>correlation</w:t>
      </w:r>
      <w:r w:rsidR="005D0928" w:rsidRPr="00F76AA0">
        <w:rPr>
          <w:lang w:eastAsia="zh-CN"/>
        </w:rPr>
        <w:t xml:space="preserve"> between</w:t>
      </w:r>
      <w:r w:rsidR="00813882" w:rsidRPr="00F76AA0">
        <w:rPr>
          <w:lang w:eastAsia="zh-CN"/>
        </w:rPr>
        <w:t xml:space="preserve"> elements.</w:t>
      </w:r>
    </w:p>
    <w:p w14:paraId="1C71F47D" w14:textId="77777777" w:rsidR="00831301" w:rsidRPr="002F1C43" w:rsidRDefault="00831301">
      <w:pPr>
        <w:rPr>
          <w:lang w:eastAsia="zh-CN"/>
        </w:rPr>
      </w:pPr>
    </w:p>
    <w:p w14:paraId="78C3E872" w14:textId="54452959" w:rsidR="00813882" w:rsidRDefault="001316F3" w:rsidP="004F275C">
      <w:pPr>
        <w:jc w:val="center"/>
        <w:rPr>
          <w:lang w:eastAsia="zh-CN"/>
        </w:rPr>
      </w:pPr>
      <w:r>
        <w:rPr>
          <w:noProof/>
        </w:rPr>
        <w:drawing>
          <wp:inline distT="0" distB="0" distL="0" distR="0" wp14:anchorId="2E1BD028" wp14:editId="09FFFD88">
            <wp:extent cx="5327965" cy="181019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8495" cy="1820572"/>
                    </a:xfrm>
                    <a:prstGeom prst="rect">
                      <a:avLst/>
                    </a:prstGeom>
                  </pic:spPr>
                </pic:pic>
              </a:graphicData>
            </a:graphic>
          </wp:inline>
        </w:drawing>
      </w:r>
    </w:p>
    <w:p w14:paraId="62155FE7" w14:textId="7A6F4ECE" w:rsidR="006F6CD0" w:rsidRDefault="00813882" w:rsidP="00F76AA0">
      <w:pPr>
        <w:ind w:left="0" w:firstLine="0"/>
        <w:jc w:val="both"/>
        <w:rPr>
          <w:lang w:eastAsia="zh-CN"/>
        </w:rPr>
      </w:pPr>
      <w:r w:rsidRPr="001E40F7">
        <w:rPr>
          <w:rFonts w:hint="eastAsia"/>
          <w:b/>
          <w:bCs/>
          <w:lang w:eastAsia="zh-CN"/>
        </w:rPr>
        <w:t>F</w:t>
      </w:r>
      <w:r w:rsidRPr="001E40F7">
        <w:rPr>
          <w:b/>
          <w:bCs/>
          <w:lang w:eastAsia="zh-CN"/>
        </w:rPr>
        <w:t>igure S</w:t>
      </w:r>
      <w:r w:rsidR="000A1918">
        <w:rPr>
          <w:b/>
          <w:bCs/>
          <w:lang w:eastAsia="zh-CN"/>
        </w:rPr>
        <w:t>4</w:t>
      </w:r>
      <w:r>
        <w:rPr>
          <w:lang w:eastAsia="zh-CN"/>
        </w:rPr>
        <w:t xml:space="preserve">. </w:t>
      </w:r>
      <w:r w:rsidR="00BC3008">
        <w:rPr>
          <w:lang w:eastAsia="zh-CN"/>
        </w:rPr>
        <w:t xml:space="preserve">Heatmaps showing the </w:t>
      </w:r>
      <w:r w:rsidR="00491081">
        <w:rPr>
          <w:lang w:eastAsia="zh-CN"/>
        </w:rPr>
        <w:t xml:space="preserve">loadings </w:t>
      </w:r>
      <w:r w:rsidR="00B93977">
        <w:rPr>
          <w:rFonts w:hint="eastAsia"/>
          <w:lang w:eastAsia="zh-CN"/>
        </w:rPr>
        <w:t>f</w:t>
      </w:r>
      <w:r w:rsidR="00B93977">
        <w:rPr>
          <w:lang w:eastAsia="zh-CN"/>
        </w:rPr>
        <w:t xml:space="preserve">or each element </w:t>
      </w:r>
      <w:r w:rsidR="000D258E">
        <w:rPr>
          <w:lang w:eastAsia="zh-CN"/>
        </w:rPr>
        <w:t>in the first seven</w:t>
      </w:r>
      <w:r w:rsidR="00491081">
        <w:rPr>
          <w:lang w:eastAsia="zh-CN"/>
        </w:rPr>
        <w:t xml:space="preserve"> </w:t>
      </w:r>
      <w:r w:rsidR="008245D0">
        <w:rPr>
          <w:lang w:eastAsia="zh-CN"/>
        </w:rPr>
        <w:t>PCs</w:t>
      </w:r>
      <w:r w:rsidR="00491081">
        <w:rPr>
          <w:lang w:eastAsia="zh-CN"/>
        </w:rPr>
        <w:t>.</w:t>
      </w:r>
      <w:r w:rsidR="001E40F7">
        <w:rPr>
          <w:lang w:eastAsia="zh-CN"/>
        </w:rPr>
        <w:t xml:space="preserve"> </w:t>
      </w:r>
      <w:r w:rsidR="00E55401">
        <w:rPr>
          <w:lang w:eastAsia="zh-CN"/>
        </w:rPr>
        <w:t xml:space="preserve">The </w:t>
      </w:r>
      <w:r w:rsidR="005A41DB">
        <w:rPr>
          <w:lang w:eastAsia="zh-CN"/>
        </w:rPr>
        <w:t xml:space="preserve">absolute-size of </w:t>
      </w:r>
      <w:r w:rsidR="00F30F2A">
        <w:rPr>
          <w:lang w:eastAsia="zh-CN"/>
        </w:rPr>
        <w:t>loadings indicates the contribution of the variable to the PCs</w:t>
      </w:r>
      <w:r w:rsidR="0088585F">
        <w:rPr>
          <w:lang w:eastAsia="zh-CN"/>
        </w:rPr>
        <w:t xml:space="preserve">, which means that the </w:t>
      </w:r>
      <w:r w:rsidR="00E55401">
        <w:rPr>
          <w:lang w:eastAsia="zh-CN"/>
        </w:rPr>
        <w:t xml:space="preserve">higher </w:t>
      </w:r>
      <w:r w:rsidR="00CF11DF">
        <w:rPr>
          <w:lang w:eastAsia="zh-CN"/>
        </w:rPr>
        <w:t xml:space="preserve">absolute-size of factor </w:t>
      </w:r>
      <w:r w:rsidR="00D85C51">
        <w:rPr>
          <w:lang w:eastAsia="zh-CN"/>
        </w:rPr>
        <w:t>loadings</w:t>
      </w:r>
      <w:r w:rsidR="00610D47">
        <w:rPr>
          <w:lang w:eastAsia="zh-CN"/>
        </w:rPr>
        <w:t>, the more</w:t>
      </w:r>
      <w:r w:rsidR="00D85C51">
        <w:rPr>
          <w:lang w:eastAsia="zh-CN"/>
        </w:rPr>
        <w:t xml:space="preserve"> </w:t>
      </w:r>
      <w:r w:rsidR="005F7A04">
        <w:rPr>
          <w:lang w:eastAsia="zh-CN"/>
        </w:rPr>
        <w:t>variance</w:t>
      </w:r>
      <w:r w:rsidR="00610D47">
        <w:rPr>
          <w:lang w:eastAsia="zh-CN"/>
        </w:rPr>
        <w:t xml:space="preserve"> of the original data it explains</w:t>
      </w:r>
      <w:r w:rsidR="005F7A04">
        <w:rPr>
          <w:lang w:eastAsia="zh-CN"/>
        </w:rPr>
        <w:t>.</w:t>
      </w:r>
    </w:p>
    <w:p w14:paraId="5400281A" w14:textId="77777777" w:rsidR="00687B20" w:rsidRDefault="00687B20" w:rsidP="00F76AA0">
      <w:pPr>
        <w:ind w:left="0" w:firstLine="0"/>
        <w:jc w:val="both"/>
        <w:rPr>
          <w:lang w:eastAsia="zh-CN"/>
        </w:rPr>
      </w:pPr>
    </w:p>
    <w:p w14:paraId="3D658363" w14:textId="7F1CB26A" w:rsidR="005F6208" w:rsidRPr="00C03B7A" w:rsidRDefault="005F6208" w:rsidP="00C03B7A">
      <w:pPr>
        <w:ind w:left="0" w:firstLine="0"/>
        <w:jc w:val="both"/>
        <w:rPr>
          <w:b/>
          <w:bCs/>
          <w:lang w:eastAsia="zh-CN"/>
        </w:rPr>
      </w:pPr>
      <w:r w:rsidRPr="00C03B7A">
        <w:rPr>
          <w:rFonts w:hint="eastAsia"/>
          <w:b/>
          <w:bCs/>
          <w:lang w:eastAsia="zh-CN"/>
        </w:rPr>
        <w:lastRenderedPageBreak/>
        <w:t>R</w:t>
      </w:r>
      <w:r w:rsidRPr="00C03B7A">
        <w:rPr>
          <w:b/>
          <w:bCs/>
          <w:lang w:eastAsia="zh-CN"/>
        </w:rPr>
        <w:t>eferences:</w:t>
      </w:r>
    </w:p>
    <w:p w14:paraId="4637B19F" w14:textId="77777777" w:rsidR="000679F3" w:rsidRPr="000679F3" w:rsidRDefault="000679F3" w:rsidP="000679F3">
      <w:pPr>
        <w:pStyle w:val="a6"/>
        <w:spacing w:line="240" w:lineRule="auto"/>
      </w:pPr>
      <w:r>
        <w:rPr>
          <w:lang w:eastAsia="zh-CN"/>
        </w:rPr>
        <w:fldChar w:fldCharType="begin"/>
      </w:r>
      <w:r>
        <w:rPr>
          <w:lang w:eastAsia="zh-CN"/>
        </w:rPr>
        <w:instrText xml:space="preserve"> ADDIN ZOTERO_BIBL {"uncited":[],"omitted":[],"custom":[]} CSL_BIBLIOGRAPHY </w:instrText>
      </w:r>
      <w:r>
        <w:rPr>
          <w:lang w:eastAsia="zh-CN"/>
        </w:rPr>
        <w:fldChar w:fldCharType="separate"/>
      </w:r>
      <w:r w:rsidRPr="000679F3">
        <w:t xml:space="preserve">Tang, M., Chu, X., Hao, J., &amp; Shen, B. (2021). Orogenic quiescence in Earth’s middle age. </w:t>
      </w:r>
      <w:r w:rsidRPr="000679F3">
        <w:rPr>
          <w:i/>
          <w:iCs/>
        </w:rPr>
        <w:t>Science</w:t>
      </w:r>
      <w:r w:rsidRPr="000679F3">
        <w:t xml:space="preserve">, </w:t>
      </w:r>
      <w:r w:rsidRPr="000679F3">
        <w:rPr>
          <w:i/>
          <w:iCs/>
        </w:rPr>
        <w:t>371</w:t>
      </w:r>
      <w:r w:rsidRPr="000679F3">
        <w:t>(6530), 728–731. https://doi.org/10.1126/science.abf1876</w:t>
      </w:r>
    </w:p>
    <w:p w14:paraId="61A5FCB2" w14:textId="77777777" w:rsidR="000679F3" w:rsidRPr="000679F3" w:rsidRDefault="000679F3" w:rsidP="000679F3">
      <w:pPr>
        <w:pStyle w:val="a6"/>
        <w:spacing w:line="240" w:lineRule="auto"/>
      </w:pPr>
      <w:r w:rsidRPr="000679F3">
        <w:t xml:space="preserve">Verdel, C., Campbell, M. J., &amp; Allen, C. M. (2021). Detrital zircon petrochronology of central Australia, and implications for the secular record of zircon trace element composition. </w:t>
      </w:r>
      <w:r w:rsidRPr="000679F3">
        <w:rPr>
          <w:i/>
          <w:iCs/>
        </w:rPr>
        <w:t>Geosphere</w:t>
      </w:r>
      <w:r w:rsidRPr="000679F3">
        <w:t xml:space="preserve">, </w:t>
      </w:r>
      <w:r w:rsidRPr="000679F3">
        <w:rPr>
          <w:i/>
          <w:iCs/>
        </w:rPr>
        <w:t>17</w:t>
      </w:r>
      <w:r w:rsidRPr="000679F3">
        <w:t>(2), 538–560. https://doi.org/10.1130/GES02300.1</w:t>
      </w:r>
    </w:p>
    <w:p w14:paraId="043F0B3E" w14:textId="0B7A364A" w:rsidR="005F6208" w:rsidRDefault="000679F3" w:rsidP="00AE1124">
      <w:pPr>
        <w:ind w:left="0" w:firstLine="0"/>
        <w:jc w:val="both"/>
        <w:rPr>
          <w:lang w:eastAsia="zh-CN"/>
        </w:rPr>
      </w:pPr>
      <w:r>
        <w:rPr>
          <w:lang w:eastAsia="zh-CN"/>
        </w:rPr>
        <w:fldChar w:fldCharType="end"/>
      </w:r>
    </w:p>
    <w:sectPr w:rsidR="005F6208" w:rsidSect="007D4AAE">
      <w:pgSz w:w="11906" w:h="16838"/>
      <w:pgMar w:top="1440" w:right="1800" w:bottom="1440" w:left="1800" w:header="851" w:footer="992" w:gutter="0"/>
      <w:lnNumType w:countBy="1" w:restart="continuous"/>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37A"/>
    <w:rsid w:val="0000413B"/>
    <w:rsid w:val="00015C88"/>
    <w:rsid w:val="000243BB"/>
    <w:rsid w:val="000679F3"/>
    <w:rsid w:val="000A1469"/>
    <w:rsid w:val="000A1918"/>
    <w:rsid w:val="000B4EB1"/>
    <w:rsid w:val="000D258E"/>
    <w:rsid w:val="001201E4"/>
    <w:rsid w:val="001316F3"/>
    <w:rsid w:val="00163380"/>
    <w:rsid w:val="00185B81"/>
    <w:rsid w:val="001D06EC"/>
    <w:rsid w:val="001E40F7"/>
    <w:rsid w:val="002060CF"/>
    <w:rsid w:val="00251EF9"/>
    <w:rsid w:val="0025769C"/>
    <w:rsid w:val="00265E3A"/>
    <w:rsid w:val="002B6AF7"/>
    <w:rsid w:val="002C337A"/>
    <w:rsid w:val="002E7C1F"/>
    <w:rsid w:val="002F1057"/>
    <w:rsid w:val="002F1C43"/>
    <w:rsid w:val="00335305"/>
    <w:rsid w:val="00341C72"/>
    <w:rsid w:val="00352FC9"/>
    <w:rsid w:val="00380A2C"/>
    <w:rsid w:val="00390137"/>
    <w:rsid w:val="003C7020"/>
    <w:rsid w:val="003D4348"/>
    <w:rsid w:val="003F391C"/>
    <w:rsid w:val="00406FD7"/>
    <w:rsid w:val="00412497"/>
    <w:rsid w:val="00456A6D"/>
    <w:rsid w:val="004616EB"/>
    <w:rsid w:val="00491081"/>
    <w:rsid w:val="004918CE"/>
    <w:rsid w:val="004D1FEC"/>
    <w:rsid w:val="004F275C"/>
    <w:rsid w:val="00515C91"/>
    <w:rsid w:val="00535A28"/>
    <w:rsid w:val="00575F8F"/>
    <w:rsid w:val="005A41DB"/>
    <w:rsid w:val="005D0928"/>
    <w:rsid w:val="005F6208"/>
    <w:rsid w:val="005F7A04"/>
    <w:rsid w:val="00605458"/>
    <w:rsid w:val="00610D47"/>
    <w:rsid w:val="00611505"/>
    <w:rsid w:val="0062123D"/>
    <w:rsid w:val="00654CF4"/>
    <w:rsid w:val="00675531"/>
    <w:rsid w:val="00687B20"/>
    <w:rsid w:val="00691BFF"/>
    <w:rsid w:val="006C1D7A"/>
    <w:rsid w:val="006E787F"/>
    <w:rsid w:val="006F6CD0"/>
    <w:rsid w:val="007054D7"/>
    <w:rsid w:val="00747336"/>
    <w:rsid w:val="007C195D"/>
    <w:rsid w:val="007D4AAE"/>
    <w:rsid w:val="007F071F"/>
    <w:rsid w:val="00805BE8"/>
    <w:rsid w:val="00813882"/>
    <w:rsid w:val="008245D0"/>
    <w:rsid w:val="00826A3A"/>
    <w:rsid w:val="00831301"/>
    <w:rsid w:val="00854FDC"/>
    <w:rsid w:val="00877BE9"/>
    <w:rsid w:val="0088585F"/>
    <w:rsid w:val="008862FC"/>
    <w:rsid w:val="008A13F2"/>
    <w:rsid w:val="008C7245"/>
    <w:rsid w:val="008D73A6"/>
    <w:rsid w:val="008F7C49"/>
    <w:rsid w:val="009179A0"/>
    <w:rsid w:val="00924EC1"/>
    <w:rsid w:val="009654D0"/>
    <w:rsid w:val="009C6D73"/>
    <w:rsid w:val="00A038CD"/>
    <w:rsid w:val="00A06F64"/>
    <w:rsid w:val="00A72373"/>
    <w:rsid w:val="00AD0276"/>
    <w:rsid w:val="00AE1124"/>
    <w:rsid w:val="00B80209"/>
    <w:rsid w:val="00B93977"/>
    <w:rsid w:val="00BC3008"/>
    <w:rsid w:val="00BF2E8E"/>
    <w:rsid w:val="00C03B7A"/>
    <w:rsid w:val="00C269DB"/>
    <w:rsid w:val="00C67B39"/>
    <w:rsid w:val="00CE7EC4"/>
    <w:rsid w:val="00CF11DF"/>
    <w:rsid w:val="00D34A05"/>
    <w:rsid w:val="00D417A0"/>
    <w:rsid w:val="00D70CE6"/>
    <w:rsid w:val="00D715CB"/>
    <w:rsid w:val="00D76807"/>
    <w:rsid w:val="00D85C51"/>
    <w:rsid w:val="00DA03D3"/>
    <w:rsid w:val="00DA305C"/>
    <w:rsid w:val="00DC7D6E"/>
    <w:rsid w:val="00DE1286"/>
    <w:rsid w:val="00E21296"/>
    <w:rsid w:val="00E351C3"/>
    <w:rsid w:val="00E37FAB"/>
    <w:rsid w:val="00E435F7"/>
    <w:rsid w:val="00E55401"/>
    <w:rsid w:val="00E6682C"/>
    <w:rsid w:val="00E83440"/>
    <w:rsid w:val="00F108E2"/>
    <w:rsid w:val="00F30F2A"/>
    <w:rsid w:val="00F76AA0"/>
    <w:rsid w:val="00FB2813"/>
    <w:rsid w:val="00FD6340"/>
    <w:rsid w:val="00FE5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C083C"/>
  <w15:chartTrackingRefBased/>
  <w15:docId w15:val="{F0DD77D2-B90A-49A0-A846-72885C1D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69DB"/>
    <w:rPr>
      <w:rFonts w:ascii="Times New Roman" w:eastAsia="宋体" w:hAnsi="Times New Roman" w:cs="Times New Roman"/>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269DB"/>
    <w:pPr>
      <w:spacing w:before="240" w:after="60"/>
      <w:jc w:val="center"/>
      <w:outlineLvl w:val="0"/>
    </w:pPr>
    <w:rPr>
      <w:rFonts w:ascii="Cambria" w:hAnsi="Cambria"/>
      <w:b/>
      <w:bCs/>
      <w:kern w:val="28"/>
      <w:sz w:val="32"/>
      <w:szCs w:val="32"/>
    </w:rPr>
  </w:style>
  <w:style w:type="character" w:customStyle="1" w:styleId="a4">
    <w:name w:val="标题 字符"/>
    <w:basedOn w:val="a0"/>
    <w:link w:val="a3"/>
    <w:uiPriority w:val="10"/>
    <w:qFormat/>
    <w:rsid w:val="00C269DB"/>
    <w:rPr>
      <w:rFonts w:ascii="Cambria" w:eastAsia="宋体" w:hAnsi="Cambria" w:cs="Times New Roman"/>
      <w:b/>
      <w:bCs/>
      <w:kern w:val="28"/>
      <w:sz w:val="32"/>
      <w:szCs w:val="32"/>
      <w:lang w:eastAsia="en-US"/>
    </w:rPr>
  </w:style>
  <w:style w:type="character" w:styleId="a5">
    <w:name w:val="line number"/>
    <w:basedOn w:val="a0"/>
    <w:uiPriority w:val="99"/>
    <w:semiHidden/>
    <w:unhideWhenUsed/>
    <w:rsid w:val="007D4AAE"/>
  </w:style>
  <w:style w:type="paragraph" w:customStyle="1" w:styleId="Heading-Main">
    <w:name w:val="Heading-Main"/>
    <w:basedOn w:val="a"/>
    <w:rsid w:val="000A1918"/>
    <w:pPr>
      <w:keepNext/>
      <w:spacing w:before="240" w:after="120"/>
      <w:outlineLvl w:val="0"/>
    </w:pPr>
    <w:rPr>
      <w:rFonts w:eastAsia="Times New Roman"/>
      <w:b/>
      <w:bCs/>
      <w:kern w:val="28"/>
      <w:szCs w:val="24"/>
    </w:rPr>
  </w:style>
  <w:style w:type="paragraph" w:styleId="a6">
    <w:name w:val="Bibliography"/>
    <w:basedOn w:val="a"/>
    <w:next w:val="a"/>
    <w:uiPriority w:val="37"/>
    <w:unhideWhenUsed/>
    <w:rsid w:val="000679F3"/>
    <w:pPr>
      <w:spacing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FAD24-A88E-4D37-A36E-8123A07A2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Pages>
  <Words>995</Words>
  <Characters>5674</Characters>
  <Application>Microsoft Office Word</Application>
  <DocSecurity>0</DocSecurity>
  <Lines>47</Lines>
  <Paragraphs>13</Paragraphs>
  <ScaleCrop>false</ScaleCrop>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Shaohao</dc:creator>
  <cp:keywords/>
  <dc:description/>
  <cp:lastModifiedBy>Zou Shaohao</cp:lastModifiedBy>
  <cp:revision>125</cp:revision>
  <dcterms:created xsi:type="dcterms:W3CDTF">2022-11-01T15:19:00Z</dcterms:created>
  <dcterms:modified xsi:type="dcterms:W3CDTF">2023-02-02T12:01:00Z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id="WMQYnIZ7"/&gt;&lt;style id="http://www.zotero.org/styles/journal-of-geophysical-research-solid-earth" hasBibliography="1" bibliographyStyleHasBeenSet="1"/&gt;&lt;prefs&gt;&lt;pref name="fieldType" value="Field"/&gt;&lt;</vt:lpwstr>
  </property>
  <property fmtid="{D5CDD505-2E9C-101B-9397-08002B2CF9AE}" pid="3" name="ZOTERO_PREF_2">
    <vt:lpwstr>pref name="automaticJournalAbbreviations" value="true"/&gt;&lt;/prefs&gt;&lt;/data&gt;</vt:lpwstr>
  </property>
</Properties>
</file>