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E62" w14:textId="0EAD9DEA" w:rsidR="005E72D0" w:rsidRPr="00CD5F99" w:rsidRDefault="004B7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F99">
        <w:rPr>
          <w:rFonts w:ascii="Times New Roman" w:hAnsi="Times New Roman" w:cs="Times New Roman"/>
          <w:b/>
          <w:bCs/>
          <w:sz w:val="24"/>
          <w:szCs w:val="24"/>
        </w:rPr>
        <w:t>Parameters used in our model: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5E55" w14:paraId="126713EA" w14:textId="77777777" w:rsidTr="00EF5E55">
        <w:tc>
          <w:tcPr>
            <w:tcW w:w="4148" w:type="dxa"/>
          </w:tcPr>
          <w:p w14:paraId="5C7C49C3" w14:textId="010D3EE7" w:rsid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erm </w:t>
            </w:r>
          </w:p>
        </w:tc>
        <w:tc>
          <w:tcPr>
            <w:tcW w:w="4148" w:type="dxa"/>
          </w:tcPr>
          <w:p w14:paraId="2726B128" w14:textId="347A8FED" w:rsid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arameter value</w:t>
            </w:r>
          </w:p>
        </w:tc>
      </w:tr>
      <w:tr w:rsidR="00EF5E55" w14:paraId="3BD91DEE" w14:textId="77777777" w:rsidTr="00EF5E55">
        <w:tc>
          <w:tcPr>
            <w:tcW w:w="4148" w:type="dxa"/>
          </w:tcPr>
          <w:p w14:paraId="4F941E34" w14:textId="6D752EDD" w:rsid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hemostat dilution rate</w:t>
            </w:r>
          </w:p>
        </w:tc>
        <w:tc>
          <w:tcPr>
            <w:tcW w:w="4148" w:type="dxa"/>
          </w:tcPr>
          <w:p w14:paraId="00579AC5" w14:textId="1AA9E647" w:rsidR="00EF5E55" w:rsidRP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d=0.01</m:t>
                </m:r>
              </m:oMath>
            </m:oMathPara>
          </w:p>
        </w:tc>
      </w:tr>
      <w:tr w:rsidR="00EF5E55" w14:paraId="083B2F37" w14:textId="77777777" w:rsidTr="00EF5E55">
        <w:tc>
          <w:tcPr>
            <w:tcW w:w="4148" w:type="dxa"/>
          </w:tcPr>
          <w:p w14:paraId="1773BD52" w14:textId="494BF3C6" w:rsid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onstant growth coefficient</w:t>
            </w:r>
          </w:p>
        </w:tc>
        <w:tc>
          <w:tcPr>
            <w:tcW w:w="4148" w:type="dxa"/>
          </w:tcPr>
          <w:p w14:paraId="4E32A6F0" w14:textId="7AC10FE7" w:rsidR="00EF5E55" w:rsidRP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</w:tr>
      <w:tr w:rsidR="00EF5E55" w14:paraId="5EBAFA88" w14:textId="77777777" w:rsidTr="00EF5E55">
        <w:tc>
          <w:tcPr>
            <w:tcW w:w="4148" w:type="dxa"/>
          </w:tcPr>
          <w:p w14:paraId="618F0547" w14:textId="7A882A75" w:rsidR="00EF5E55" w:rsidRDefault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iderophore-iron association constant</w:t>
            </w:r>
          </w:p>
        </w:tc>
        <w:tc>
          <w:tcPr>
            <w:tcW w:w="4148" w:type="dxa"/>
          </w:tcPr>
          <w:p w14:paraId="46CA6CC1" w14:textId="5A5DC5ED" w:rsidR="00EF5E55" w:rsidRPr="00EF5E55" w:rsidRDefault="004F1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=1e-2</m:t>
                </m:r>
              </m:oMath>
            </m:oMathPara>
          </w:p>
        </w:tc>
      </w:tr>
      <w:tr w:rsidR="00EF5E55" w14:paraId="0EF3E14C" w14:textId="77777777" w:rsidTr="00EF5E55">
        <w:tc>
          <w:tcPr>
            <w:tcW w:w="4148" w:type="dxa"/>
          </w:tcPr>
          <w:p w14:paraId="462A2C1E" w14:textId="1C7585A9" w:rsidR="00EF5E55" w:rsidRDefault="00EF5E55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iderophore-iron disassociation constant</w:t>
            </w:r>
          </w:p>
        </w:tc>
        <w:tc>
          <w:tcPr>
            <w:tcW w:w="4148" w:type="dxa"/>
          </w:tcPr>
          <w:p w14:paraId="5AEB4646" w14:textId="5BF40FDC" w:rsidR="00EF5E55" w:rsidRPr="00EF5E55" w:rsidRDefault="004F1507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=1e-7</m:t>
                </m:r>
              </m:oMath>
            </m:oMathPara>
          </w:p>
        </w:tc>
      </w:tr>
      <w:tr w:rsidR="00EF5E55" w14:paraId="386A29C9" w14:textId="77777777" w:rsidTr="00EF5E55">
        <w:tc>
          <w:tcPr>
            <w:tcW w:w="4148" w:type="dxa"/>
          </w:tcPr>
          <w:p w14:paraId="3D16C95F" w14:textId="7BDA8CB5" w:rsidR="00EF5E55" w:rsidRDefault="00EF5E55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upplied iron concentration</w:t>
            </w:r>
          </w:p>
        </w:tc>
        <w:tc>
          <w:tcPr>
            <w:tcW w:w="4148" w:type="dxa"/>
          </w:tcPr>
          <w:p w14:paraId="2E381429" w14:textId="55B29308" w:rsidR="00EF5E55" w:rsidRPr="00EF5E55" w:rsidRDefault="004F1507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iron,supply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</m:t>
                </m:r>
              </m:oMath>
            </m:oMathPara>
          </w:p>
        </w:tc>
      </w:tr>
      <w:tr w:rsidR="00EF5E55" w14:paraId="250784D3" w14:textId="77777777" w:rsidTr="00EF5E55">
        <w:tc>
          <w:tcPr>
            <w:tcW w:w="4148" w:type="dxa"/>
          </w:tcPr>
          <w:p w14:paraId="6F2F007C" w14:textId="0ABDEC43" w:rsidR="00EF5E55" w:rsidRDefault="00EF5E55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umber of species</w:t>
            </w:r>
          </w:p>
        </w:tc>
        <w:tc>
          <w:tcPr>
            <w:tcW w:w="4148" w:type="dxa"/>
          </w:tcPr>
          <w:p w14:paraId="7932983E" w14:textId="331D6B81" w:rsidR="00EF5E55" w:rsidRPr="00EF5E55" w:rsidRDefault="00EF5E55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20</m:t>
                </m:r>
              </m:oMath>
            </m:oMathPara>
          </w:p>
        </w:tc>
      </w:tr>
      <w:tr w:rsidR="00EF5E55" w14:paraId="5BFC414E" w14:textId="77777777" w:rsidTr="00EF5E55">
        <w:tc>
          <w:tcPr>
            <w:tcW w:w="4148" w:type="dxa"/>
          </w:tcPr>
          <w:p w14:paraId="28D36AA9" w14:textId="701816AE" w:rsidR="00EF5E55" w:rsidRDefault="00EF5E55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umber of siderophores</w:t>
            </w:r>
          </w:p>
        </w:tc>
        <w:tc>
          <w:tcPr>
            <w:tcW w:w="4148" w:type="dxa"/>
          </w:tcPr>
          <w:p w14:paraId="51AFAFE8" w14:textId="33966A10" w:rsidR="00EF5E55" w:rsidRDefault="00DA276C" w:rsidP="00EF5E55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8168A4" w14:paraId="55EDE0B0" w14:textId="77777777" w:rsidTr="00EF5E55">
        <w:tc>
          <w:tcPr>
            <w:tcW w:w="4148" w:type="dxa"/>
          </w:tcPr>
          <w:p w14:paraId="0CBFB408" w14:textId="7CEE1EDB" w:rsidR="008168A4" w:rsidRDefault="008168A4" w:rsidP="00EF5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budget (local community)</w:t>
            </w:r>
          </w:p>
        </w:tc>
        <w:tc>
          <w:tcPr>
            <w:tcW w:w="4148" w:type="dxa"/>
          </w:tcPr>
          <w:p w14:paraId="316A4BE2" w14:textId="71DD6771" w:rsidR="008168A4" w:rsidRDefault="008168A4" w:rsidP="00EF5E55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8168A4" w14:paraId="171FE965" w14:textId="77777777" w:rsidTr="00EF5E55">
        <w:tc>
          <w:tcPr>
            <w:tcW w:w="4148" w:type="dxa"/>
          </w:tcPr>
          <w:p w14:paraId="27B38A5D" w14:textId="2D254D6E" w:rsidR="008168A4" w:rsidRDefault="008168A4" w:rsidP="0081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budget (invader)</w:t>
            </w:r>
          </w:p>
        </w:tc>
        <w:tc>
          <w:tcPr>
            <w:tcW w:w="4148" w:type="dxa"/>
          </w:tcPr>
          <w:p w14:paraId="2DCFC75C" w14:textId="4F336CDC" w:rsidR="008168A4" w:rsidRDefault="008168A4" w:rsidP="008168A4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1.5</m:t>
                </m:r>
              </m:oMath>
            </m:oMathPara>
          </w:p>
        </w:tc>
      </w:tr>
    </w:tbl>
    <w:p w14:paraId="7869D216" w14:textId="77777777" w:rsidR="004B77EA" w:rsidRPr="002E796C" w:rsidRDefault="004B77EA">
      <w:pPr>
        <w:rPr>
          <w:rFonts w:ascii="Times New Roman" w:hAnsi="Times New Roman" w:cs="Times New Roman"/>
          <w:sz w:val="24"/>
          <w:szCs w:val="24"/>
        </w:rPr>
      </w:pPr>
    </w:p>
    <w:p w14:paraId="62DD4530" w14:textId="5DB41DD9" w:rsidR="00CD5F99" w:rsidRPr="00CD5F99" w:rsidRDefault="002E7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F99">
        <w:rPr>
          <w:rFonts w:ascii="Times New Roman" w:hAnsi="Times New Roman" w:cs="Times New Roman"/>
          <w:b/>
          <w:bCs/>
          <w:sz w:val="24"/>
          <w:szCs w:val="24"/>
        </w:rPr>
        <w:t>Resource competition model on iron competition:</w:t>
      </w:r>
    </w:p>
    <w:p w14:paraId="0930A27B" w14:textId="66E284E8" w:rsidR="00BD4A61" w:rsidRDefault="002E796C" w:rsidP="004A3B81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"/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microbe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i</m:t>
        </m:r>
      </m:oMath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produce siderophores of type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j</m:t>
        </m:r>
      </m:oMath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resource budget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obtain iron by absorbing siderophore-iron complexes through corresponding receptors (fraction of receptors denoted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>). Growth rate is proportional to the total amount of absorbed iron</w:t>
      </w:r>
      <w:r w:rsidR="00B04C0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-siderophore complex</w:t>
      </w:r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6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com,j</m:t>
            </m:r>
          </m:sub>
        </m:sSub>
      </m:oMath>
      <w:r w:rsidR="003026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</w:t>
      </w:r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fraction of resources allocated to primary metabolism,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9502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</w:p>
    <w:p w14:paraId="32867FCF" w14:textId="5D8C9E51" w:rsidR="00BD4A61" w:rsidRPr="00C20B79" w:rsidRDefault="004F15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com,j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-d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14:paraId="76A264FC" w14:textId="77777777" w:rsidR="00C20B79" w:rsidRPr="00C20B79" w:rsidRDefault="00C20B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FC794" w14:textId="646CB0DD" w:rsidR="006603CD" w:rsidRDefault="00B04C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9502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here d is the dilution rate of the chemostat. </w:t>
      </w:r>
      <w:r w:rsidR="0095024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502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he production of </w:t>
      </w:r>
      <w:r w:rsidR="0095024C">
        <w:rPr>
          <w:rFonts w:ascii="Times New Roman" w:hAnsi="Times New Roman" w:cs="Times New Roman"/>
          <w:color w:val="000000" w:themeColor="text1"/>
          <w:sz w:val="24"/>
          <w:szCs w:val="24"/>
        </w:rPr>
        <w:t>siderophore</w:t>
      </w:r>
      <w:r w:rsidR="009502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of type j </w:t>
      </w:r>
      <w:r w:rsidR="009B0D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sid,j</m:t>
            </m:r>
          </m:sub>
        </m:sSub>
      </m:oMath>
      <w:r w:rsidR="009B0D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603C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9B0D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uptake of siderophore-iron complex of type j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com,j</m:t>
            </m:r>
          </m:sub>
        </m:sSub>
      </m:oMath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</w:t>
      </w:r>
      <w:r w:rsidR="001D0579" w:rsidRPr="001D0579">
        <w:rPr>
          <w:rFonts w:ascii="Times New Roman" w:hAnsi="Times New Roman" w:cs="Times New Roman"/>
          <w:color w:val="000000" w:themeColor="text1"/>
          <w:sz w:val="24"/>
          <w:szCs w:val="24"/>
        </w:rPr>
        <w:t>are characterized as follows.</w:t>
      </w:r>
      <w:r w:rsidR="009B0D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D0579" w:rsidRPr="001D0579">
        <w:rPr>
          <w:rFonts w:ascii="Times New Roman" w:hAnsi="Times New Roman" w:cs="Times New Roman"/>
          <w:color w:val="000000" w:themeColor="text1"/>
          <w:sz w:val="24"/>
          <w:szCs w:val="24"/>
        </w:rPr>
        <w:t>The transformation process between the siderophore and its associated siderophore-iron complex is elucidated in accordance with the law of mass action,</w:t>
      </w:r>
    </w:p>
    <w:p w14:paraId="2052D301" w14:textId="24759C6A" w:rsidR="00862DAE" w:rsidRPr="00862DAE" w:rsidRDefault="004F15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sid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,j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=-d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sid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ϵ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sid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iron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,j</m:t>
              </m:r>
            </m:sub>
          </m:sSub>
        </m:oMath>
      </m:oMathPara>
    </w:p>
    <w:p w14:paraId="521D4C2A" w14:textId="2B3BA558" w:rsidR="00862DAE" w:rsidRDefault="004F1507" w:rsidP="00862DAE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com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,j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=-d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com,j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sid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iron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com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,j</m:t>
              </m:r>
            </m:sub>
          </m:sSub>
        </m:oMath>
      </m:oMathPara>
    </w:p>
    <w:p w14:paraId="1FDA27D2" w14:textId="716642F3" w:rsidR="001C375A" w:rsidRDefault="00B279C2" w:rsidP="004A3B81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D36D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her</w:t>
      </w:r>
      <w:r w:rsid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D36D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D36D51" w:rsidRPr="00D36D51">
        <w:rPr>
          <w:rFonts w:ascii="Times New Roman" w:hAnsi="Times New Roman" w:cs="Times New Roman"/>
          <w:color w:val="000000" w:themeColor="text1"/>
          <w:sz w:val="24"/>
          <w:szCs w:val="24"/>
        </w:rPr>
        <w:t>represent the binding and dissociation rate constants for the formation of the iron-siderophore complex</w:t>
      </w:r>
      <w:r w:rsid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36D51" w:rsidRP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respectively, 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ϵ</m:t>
        </m:r>
      </m:oMath>
      <w:r w:rsidR="00EA4973" w:rsidRP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D51" w:rsidRPr="00D36D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coefficient representing siderophore production. </w:t>
      </w:r>
      <w:r w:rsidR="001C3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concentration of iron in the chemostat is shown as following, </w:t>
      </w:r>
    </w:p>
    <w:p w14:paraId="44D68060" w14:textId="575F94E7" w:rsidR="00994868" w:rsidRPr="0085307F" w:rsidRDefault="004F1507" w:rsidP="004A3B81">
      <w:pPr>
        <w:ind w:firstLineChars="200" w:firstLine="480"/>
        <w:rPr>
          <w:rFonts w:ascii="Cambria Math" w:hAnsi="Cambria Math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iron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w:bookmarkStart w:id="1" w:name="OLE_LINK4"/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ironsupply</m:t>
                  </m:r>
                </m:sub>
              </m:sSub>
              <w:bookmarkEnd w:id="1"/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iron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sid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iron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com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</m:t>
              </m:r>
            </m:sub>
          </m:sSub>
        </m:oMath>
      </m:oMathPara>
    </w:p>
    <w:p w14:paraId="5DF7B639" w14:textId="2FDF9148" w:rsidR="00F0603B" w:rsidRPr="00C20B79" w:rsidRDefault="00F6717A" w:rsidP="004A3B81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853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ironsupply</m:t>
            </m:r>
          </m:sub>
        </m:sSub>
      </m:oMath>
      <w:r w:rsidR="0085307F" w:rsidRPr="0085307F">
        <w:rPr>
          <w:rFonts w:ascii="Times New Roman" w:hAnsi="Times New Roman" w:cs="Times New Roman"/>
          <w:color w:val="000000" w:themeColor="text1"/>
          <w:sz w:val="24"/>
          <w:szCs w:val="24"/>
        </w:rPr>
        <w:t>represents the concentration of iron in the fresh medium flowing into the chemostat</w:t>
      </w:r>
      <w:r w:rsidR="00853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E796C"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Various species with distinct strategies are considered, including single-receptor producers, multi-receptor producers, and non-producers, differing in their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2E796C"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2E796C"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values. </w:t>
      </w:r>
      <w:r w:rsidR="003F1CC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3F1CC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he</w:t>
      </w:r>
      <w:r w:rsidR="003F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resource budget </w:t>
      </w:r>
      <w:r w:rsidR="003F1CCC" w:rsidRPr="003F1CCC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r w:rsidR="003F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CCC" w:rsidRPr="003F1CCC">
        <w:rPr>
          <w:rFonts w:ascii="Times New Roman" w:hAnsi="Times New Roman" w:cs="Times New Roman"/>
          <w:color w:val="000000" w:themeColor="text1"/>
          <w:sz w:val="24"/>
          <w:szCs w:val="24"/>
        </w:rPr>
        <w:t>take random values between 0 and 1.</w:t>
      </w:r>
      <w:r w:rsidR="004B0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>For single-receptor producers, the fraction of receptors</w:t>
      </w:r>
      <w:r w:rsidR="00F0603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F0603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self-receptors (the receptor intaking the siderophore produced by the </w:t>
      </w:r>
      <w:r w:rsidR="0006093C">
        <w:rPr>
          <w:rFonts w:ascii="Times New Roman" w:hAnsi="Times New Roman" w:cs="Times New Roman"/>
          <w:color w:val="000000" w:themeColor="text1"/>
          <w:sz w:val="24"/>
          <w:szCs w:val="24"/>
        </w:rPr>
        <w:t>species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itself) is 1. For </w:t>
      </w:r>
      <w:r w:rsidR="00F0603B"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>multi-receptor producers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assign the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F0603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self-receptors a constant value 0.2 and remaining receptors (</w:t>
      </w:r>
      <w:r w:rsidR="004E2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receptors for </w:t>
      </w:r>
      <w:r w:rsidR="0046235C">
        <w:rPr>
          <w:rFonts w:ascii="Times New Roman" w:hAnsi="Times New Roman" w:cs="Times New Roman"/>
          <w:color w:val="000000" w:themeColor="text1"/>
          <w:sz w:val="24"/>
          <w:szCs w:val="24"/>
        </w:rPr>
        <w:t>other siderophores produced by other strains</w:t>
      </w:r>
      <w:r w:rsidR="00F0603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21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random values</w:t>
      </w:r>
      <w:r w:rsidR="00921DF7" w:rsidRPr="00921DF7">
        <w:t xml:space="preserve"> </w:t>
      </w:r>
      <w:r w:rsidR="00921DF7" w:rsidRPr="00921DF7">
        <w:rPr>
          <w:rFonts w:ascii="Times New Roman" w:hAnsi="Times New Roman" w:cs="Times New Roman"/>
          <w:color w:val="000000" w:themeColor="text1"/>
          <w:sz w:val="24"/>
          <w:szCs w:val="24"/>
        </w:rPr>
        <w:t>that sum to 0.8</w:t>
      </w:r>
      <w:r w:rsidR="00921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non-producers,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ij</m:t>
            </m:r>
          </m:sub>
        </m:sSub>
      </m:oMath>
      <w:r w:rsidR="00921DF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21D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random value that sum to 1. </w:t>
      </w:r>
    </w:p>
    <w:p w14:paraId="77EFA3B9" w14:textId="3D34882E" w:rsidR="002E796C" w:rsidRDefault="002E796C" w:rsidP="004A3B81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>Species assemble into communities, with diverse initial inoculation densities</w:t>
      </w:r>
      <w:r w:rsidR="00F01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1F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(random values between 0 and 1)</w:t>
      </w:r>
      <w:r w:rsidRPr="002E796C">
        <w:rPr>
          <w:rFonts w:ascii="Times New Roman" w:hAnsi="Times New Roman" w:cs="Times New Roman"/>
          <w:color w:val="000000" w:themeColor="text1"/>
          <w:sz w:val="24"/>
          <w:szCs w:val="24"/>
        </w:rPr>
        <w:t>. They then compete in a chemostat-like model until reaching a steady state.</w:t>
      </w:r>
    </w:p>
    <w:bookmarkEnd w:id="0"/>
    <w:p w14:paraId="268695A3" w14:textId="77777777" w:rsidR="00825266" w:rsidRDefault="008252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A24AE" w14:textId="205DABB9" w:rsidR="00825266" w:rsidRPr="002A3893" w:rsidRDefault="002A38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893">
        <w:rPr>
          <w:rFonts w:ascii="Times New Roman" w:hAnsi="Times New Roman" w:cs="Times New Roman"/>
          <w:b/>
          <w:bCs/>
          <w:sz w:val="24"/>
          <w:szCs w:val="24"/>
        </w:rPr>
        <w:t>Simulation of a Community Composed Exclusively of a Single Strategic Type:</w:t>
      </w:r>
    </w:p>
    <w:p w14:paraId="29D5AF3F" w14:textId="60863473" w:rsidR="00E52837" w:rsidRDefault="001C6F16" w:rsidP="006552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C6F16">
        <w:rPr>
          <w:rFonts w:ascii="Times New Roman" w:hAnsi="Times New Roman" w:cs="Times New Roman"/>
          <w:sz w:val="24"/>
          <w:szCs w:val="24"/>
        </w:rPr>
        <w:t>Communities comprising 20 species</w:t>
      </w:r>
      <w:r w:rsidR="00EF5E55">
        <w:rPr>
          <w:rFonts w:ascii="Times New Roman" w:hAnsi="Times New Roman" w:cs="Times New Roman" w:hint="eastAsia"/>
          <w:sz w:val="24"/>
          <w:szCs w:val="24"/>
        </w:rPr>
        <w:t xml:space="preserve"> and producing 10 type</w:t>
      </w:r>
      <w:r w:rsidR="00DE395B">
        <w:rPr>
          <w:rFonts w:ascii="Times New Roman" w:hAnsi="Times New Roman" w:cs="Times New Roman" w:hint="eastAsia"/>
          <w:sz w:val="24"/>
          <w:szCs w:val="24"/>
        </w:rPr>
        <w:t>s</w:t>
      </w:r>
      <w:r w:rsidR="00EF5E55">
        <w:rPr>
          <w:rFonts w:ascii="Times New Roman" w:hAnsi="Times New Roman" w:cs="Times New Roman" w:hint="eastAsia"/>
          <w:sz w:val="24"/>
          <w:szCs w:val="24"/>
        </w:rPr>
        <w:t xml:space="preserve"> of siderophores</w:t>
      </w:r>
      <w:r w:rsidRPr="001C6F16">
        <w:rPr>
          <w:rFonts w:ascii="Times New Roman" w:hAnsi="Times New Roman" w:cs="Times New Roman"/>
          <w:sz w:val="24"/>
          <w:szCs w:val="24"/>
        </w:rPr>
        <w:t xml:space="preserve">, each characterized by a singular strategic approach—namely, single-receptor producers, multi-receptor producers, and non-producers—are systematically simulated until a steady state is reached. Upon achieving this equilibrium, the number of species that persist is recorded and analyzed. This process facilitates a comprehensive examination of the community's diversity, highlighting the impact of different </w:t>
      </w:r>
      <w:r w:rsidR="00525E70">
        <w:rPr>
          <w:rFonts w:ascii="Times New Roman" w:hAnsi="Times New Roman" w:cs="Times New Roman" w:hint="eastAsia"/>
          <w:sz w:val="24"/>
          <w:szCs w:val="24"/>
        </w:rPr>
        <w:t>sidero</w:t>
      </w:r>
      <w:r w:rsidR="00EF5E55">
        <w:rPr>
          <w:rFonts w:ascii="Times New Roman" w:hAnsi="Times New Roman" w:cs="Times New Roman" w:hint="eastAsia"/>
          <w:sz w:val="24"/>
          <w:szCs w:val="24"/>
        </w:rPr>
        <w:t>ph</w:t>
      </w:r>
      <w:r w:rsidR="00525E70">
        <w:rPr>
          <w:rFonts w:ascii="Times New Roman" w:hAnsi="Times New Roman" w:cs="Times New Roman" w:hint="eastAsia"/>
          <w:sz w:val="24"/>
          <w:szCs w:val="24"/>
        </w:rPr>
        <w:t>ore</w:t>
      </w:r>
      <w:r w:rsidRPr="001C6F16">
        <w:rPr>
          <w:rFonts w:ascii="Times New Roman" w:hAnsi="Times New Roman" w:cs="Times New Roman"/>
          <w:sz w:val="24"/>
          <w:szCs w:val="24"/>
        </w:rPr>
        <w:t xml:space="preserve"> strategies on species composition and stability.</w:t>
      </w:r>
      <w:r w:rsidR="00582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165C" w14:textId="77777777" w:rsidR="00525E70" w:rsidRDefault="00525E70">
      <w:pPr>
        <w:rPr>
          <w:rFonts w:ascii="Times New Roman" w:hAnsi="Times New Roman" w:cs="Times New Roman"/>
          <w:sz w:val="24"/>
          <w:szCs w:val="24"/>
        </w:rPr>
      </w:pPr>
    </w:p>
    <w:p w14:paraId="02C3695C" w14:textId="13F15847" w:rsidR="000D0EE4" w:rsidRPr="00992CE4" w:rsidRDefault="000D0E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CE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Simulation of </w:t>
      </w:r>
      <w:r w:rsidR="008E17E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an </w:t>
      </w:r>
      <w:r w:rsidRPr="00992CE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invasion event </w:t>
      </w:r>
      <w:r w:rsidR="008E17EE">
        <w:rPr>
          <w:rFonts w:ascii="Times New Roman" w:hAnsi="Times New Roman" w:cs="Times New Roman" w:hint="eastAsia"/>
          <w:b/>
          <w:bCs/>
          <w:sz w:val="24"/>
          <w:szCs w:val="24"/>
        </w:rPr>
        <w:t>within</w:t>
      </w:r>
      <w:r w:rsidRPr="00992CE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E17E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 </w:t>
      </w:r>
      <w:r w:rsidRPr="00992CE4">
        <w:rPr>
          <w:rFonts w:ascii="Times New Roman" w:hAnsi="Times New Roman" w:cs="Times New Roman" w:hint="eastAsia"/>
          <w:b/>
          <w:bCs/>
          <w:sz w:val="24"/>
          <w:szCs w:val="24"/>
        </w:rPr>
        <w:t>community</w:t>
      </w:r>
      <w:r w:rsidR="00451F67" w:rsidRPr="00992CE4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</w:p>
    <w:p w14:paraId="3F2C0BD7" w14:textId="213C9BF3" w:rsidR="00637FFD" w:rsidRPr="002E796C" w:rsidRDefault="00F03887" w:rsidP="00940A3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03887">
        <w:rPr>
          <w:rFonts w:ascii="Times New Roman" w:hAnsi="Times New Roman" w:cs="Times New Roman"/>
          <w:sz w:val="24"/>
          <w:szCs w:val="24"/>
        </w:rPr>
        <w:t>Local communities, each comprising 19 species that embody various strategies (including single-receptor producers, multi-receptor producers, and mixtures of both), are subjected to simulations until a steady state is achieved.</w:t>
      </w:r>
      <w:r w:rsidR="00637F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7FFD" w:rsidRPr="00637FFD">
        <w:rPr>
          <w:rFonts w:ascii="Times New Roman" w:hAnsi="Times New Roman" w:cs="Times New Roman"/>
          <w:sz w:val="24"/>
          <w:szCs w:val="24"/>
        </w:rPr>
        <w:t>These simulations incorporate randomized values for</w:t>
      </w:r>
      <w:r w:rsidR="00637FFD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BC2C14">
        <w:rPr>
          <w:rFonts w:ascii="Times New Roman" w:hAnsi="Times New Roman" w:cs="Times New Roman"/>
          <w:sz w:val="24"/>
          <w:szCs w:val="24"/>
        </w:rPr>
        <w:t>,</w:t>
      </w:r>
      <w:r w:rsidR="00637FFD" w:rsidRPr="00637FF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637FFD">
        <w:rPr>
          <w:rFonts w:ascii="Times New Roman" w:hAnsi="Times New Roman" w:cs="Times New Roman" w:hint="eastAsia"/>
          <w:sz w:val="24"/>
          <w:szCs w:val="24"/>
        </w:rPr>
        <w:t>,</w:t>
      </w:r>
      <w:r w:rsidR="00BC2C14">
        <w:rPr>
          <w:rFonts w:ascii="Times New Roman" w:hAnsi="Times New Roman" w:cs="Times New Roman"/>
          <w:sz w:val="24"/>
          <w:szCs w:val="24"/>
        </w:rPr>
        <w:t xml:space="preserve"> and initial mass</w:t>
      </w:r>
      <w:r>
        <w:rPr>
          <w:rFonts w:ascii="Times New Roman" w:hAnsi="Times New Roman" w:cs="Times New Roman"/>
          <w:sz w:val="24"/>
          <w:szCs w:val="24"/>
        </w:rPr>
        <w:t xml:space="preserve"> as previously described,</w:t>
      </w:r>
      <w:r w:rsidR="00637F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7FFD" w:rsidRPr="00637FFD">
        <w:rPr>
          <w:rFonts w:ascii="Times New Roman" w:hAnsi="Times New Roman" w:cs="Times New Roman"/>
          <w:sz w:val="24"/>
          <w:szCs w:val="24"/>
        </w:rPr>
        <w:t xml:space="preserve">ensuring a diverse range of interactions. </w:t>
      </w:r>
      <w:r w:rsidRPr="00F03887">
        <w:rPr>
          <w:rFonts w:ascii="Times New Roman" w:hAnsi="Times New Roman" w:cs="Times New Roman"/>
          <w:sz w:val="24"/>
          <w:szCs w:val="24"/>
        </w:rPr>
        <w:t>The local communities that do not go extinct in the steady state are used for the subsequent invasion event</w:t>
      </w:r>
      <w:r>
        <w:rPr>
          <w:rFonts w:ascii="Times New Roman" w:hAnsi="Times New Roman" w:cs="Times New Roman"/>
          <w:sz w:val="24"/>
          <w:szCs w:val="24"/>
        </w:rPr>
        <w:t xml:space="preserve"> simulation</w:t>
      </w:r>
      <w:r w:rsidRPr="00F038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FFD" w:rsidRPr="00637FFD">
        <w:rPr>
          <w:rFonts w:ascii="Times New Roman" w:hAnsi="Times New Roman" w:cs="Times New Roman"/>
          <w:sz w:val="24"/>
          <w:szCs w:val="24"/>
        </w:rPr>
        <w:t>Subsequently, a species, representing a pathogen</w:t>
      </w:r>
      <w:r w:rsidR="00AD79E7">
        <w:rPr>
          <w:rFonts w:ascii="Times New Roman" w:hAnsi="Times New Roman" w:cs="Times New Roman"/>
          <w:sz w:val="24"/>
          <w:szCs w:val="24"/>
        </w:rPr>
        <w:t xml:space="preserve"> (invader)</w:t>
      </w:r>
      <w:r w:rsidR="00637FFD" w:rsidRPr="00637FFD">
        <w:rPr>
          <w:rFonts w:ascii="Times New Roman" w:hAnsi="Times New Roman" w:cs="Times New Roman"/>
          <w:sz w:val="24"/>
          <w:szCs w:val="24"/>
        </w:rPr>
        <w:t xml:space="preserve">, is introduced into the local community in minimal quantities to simulate an invasion scenario. </w:t>
      </w:r>
      <w:r w:rsidR="00DB24F7" w:rsidRPr="00DB24F7">
        <w:rPr>
          <w:rFonts w:ascii="Times New Roman" w:hAnsi="Times New Roman" w:cs="Times New Roman"/>
          <w:sz w:val="24"/>
          <w:szCs w:val="24"/>
        </w:rPr>
        <w:t xml:space="preserve">The ecological repercussions of the invasion are </w:t>
      </w:r>
      <w:r w:rsidR="00DB24F7">
        <w:rPr>
          <w:rFonts w:ascii="Times New Roman" w:hAnsi="Times New Roman" w:cs="Times New Roman"/>
          <w:sz w:val="24"/>
          <w:szCs w:val="24"/>
        </w:rPr>
        <w:t>explored</w:t>
      </w:r>
      <w:r w:rsidR="00DB24F7" w:rsidRPr="00DB24F7">
        <w:rPr>
          <w:rFonts w:ascii="Times New Roman" w:hAnsi="Times New Roman" w:cs="Times New Roman"/>
          <w:sz w:val="24"/>
          <w:szCs w:val="24"/>
        </w:rPr>
        <w:t xml:space="preserve">, including the probability of successful invasion, the likelihood of wiping out the local community, and the loss of diversity post-invasion. Moreover, to </w:t>
      </w:r>
      <w:r w:rsidR="00675310">
        <w:rPr>
          <w:rFonts w:ascii="Times New Roman" w:hAnsi="Times New Roman" w:cs="Times New Roman"/>
          <w:sz w:val="24"/>
          <w:szCs w:val="24"/>
        </w:rPr>
        <w:t>evaluate</w:t>
      </w:r>
      <w:r w:rsidR="00DB24F7" w:rsidRPr="00DB24F7">
        <w:rPr>
          <w:rFonts w:ascii="Times New Roman" w:hAnsi="Times New Roman" w:cs="Times New Roman"/>
          <w:sz w:val="24"/>
          <w:szCs w:val="24"/>
        </w:rPr>
        <w:t xml:space="preserve"> the impact of the relationship between the local community and the invader on the invasion success rate, we evaluate the probability of a single-receptor producer successfully invading a local community composed of multi-receptor producers. This evaluation is conducted across the four distinct iron-interaction relationships presented in Figure </w:t>
      </w:r>
      <w:r w:rsidR="00482E10">
        <w:rPr>
          <w:rFonts w:ascii="Times New Roman" w:hAnsi="Times New Roman" w:cs="Times New Roman"/>
          <w:sz w:val="24"/>
          <w:szCs w:val="24"/>
        </w:rPr>
        <w:t>5</w:t>
      </w:r>
      <w:r w:rsidR="00DB24F7" w:rsidRPr="00DB24F7">
        <w:rPr>
          <w:rFonts w:ascii="Times New Roman" w:hAnsi="Times New Roman" w:cs="Times New Roman"/>
          <w:sz w:val="24"/>
          <w:szCs w:val="24"/>
        </w:rPr>
        <w:t>i.</w:t>
      </w:r>
    </w:p>
    <w:sectPr w:rsidR="00637FFD" w:rsidRPr="002E796C" w:rsidSect="0085307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E23D" w14:textId="77777777" w:rsidR="004F1507" w:rsidRDefault="004F1507" w:rsidP="004B77EA">
      <w:r>
        <w:separator/>
      </w:r>
    </w:p>
  </w:endnote>
  <w:endnote w:type="continuationSeparator" w:id="0">
    <w:p w14:paraId="46616339" w14:textId="77777777" w:rsidR="004F1507" w:rsidRDefault="004F1507" w:rsidP="004B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382E" w14:textId="77777777" w:rsidR="004F1507" w:rsidRDefault="004F1507" w:rsidP="004B77EA">
      <w:r>
        <w:separator/>
      </w:r>
    </w:p>
  </w:footnote>
  <w:footnote w:type="continuationSeparator" w:id="0">
    <w:p w14:paraId="3EB8D504" w14:textId="77777777" w:rsidR="004F1507" w:rsidRDefault="004F1507" w:rsidP="004B7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5"/>
    <w:rsid w:val="00026F8F"/>
    <w:rsid w:val="00027572"/>
    <w:rsid w:val="0006093C"/>
    <w:rsid w:val="000D0EE4"/>
    <w:rsid w:val="001C375A"/>
    <w:rsid w:val="001C6F16"/>
    <w:rsid w:val="001D0579"/>
    <w:rsid w:val="002109B8"/>
    <w:rsid w:val="00224A4F"/>
    <w:rsid w:val="002A3893"/>
    <w:rsid w:val="002E796C"/>
    <w:rsid w:val="0030260A"/>
    <w:rsid w:val="003072F3"/>
    <w:rsid w:val="00313E6D"/>
    <w:rsid w:val="003F1CCC"/>
    <w:rsid w:val="003F3CDD"/>
    <w:rsid w:val="00451F67"/>
    <w:rsid w:val="0046235C"/>
    <w:rsid w:val="00482E10"/>
    <w:rsid w:val="004A3B81"/>
    <w:rsid w:val="004B02C4"/>
    <w:rsid w:val="004B77EA"/>
    <w:rsid w:val="004E269D"/>
    <w:rsid w:val="004F1507"/>
    <w:rsid w:val="00503DA8"/>
    <w:rsid w:val="00525E70"/>
    <w:rsid w:val="00536E9D"/>
    <w:rsid w:val="0054746B"/>
    <w:rsid w:val="00582EF3"/>
    <w:rsid w:val="005E72D0"/>
    <w:rsid w:val="005F0DE0"/>
    <w:rsid w:val="00607146"/>
    <w:rsid w:val="00623E15"/>
    <w:rsid w:val="00637FFD"/>
    <w:rsid w:val="006552F4"/>
    <w:rsid w:val="006603CD"/>
    <w:rsid w:val="00675310"/>
    <w:rsid w:val="007A0FCC"/>
    <w:rsid w:val="007C7186"/>
    <w:rsid w:val="008168A4"/>
    <w:rsid w:val="00825266"/>
    <w:rsid w:val="00833508"/>
    <w:rsid w:val="008379E3"/>
    <w:rsid w:val="0085307F"/>
    <w:rsid w:val="00862DAE"/>
    <w:rsid w:val="008E17EE"/>
    <w:rsid w:val="00921DF7"/>
    <w:rsid w:val="00932CE4"/>
    <w:rsid w:val="00940A38"/>
    <w:rsid w:val="0095024C"/>
    <w:rsid w:val="00992CE4"/>
    <w:rsid w:val="00994868"/>
    <w:rsid w:val="009B0D04"/>
    <w:rsid w:val="00AD79E7"/>
    <w:rsid w:val="00B04C0C"/>
    <w:rsid w:val="00B2404A"/>
    <w:rsid w:val="00B279C2"/>
    <w:rsid w:val="00BA7D3D"/>
    <w:rsid w:val="00BC2C14"/>
    <w:rsid w:val="00BD4A61"/>
    <w:rsid w:val="00C104A5"/>
    <w:rsid w:val="00C13790"/>
    <w:rsid w:val="00C20B79"/>
    <w:rsid w:val="00C241A3"/>
    <w:rsid w:val="00CB2DCD"/>
    <w:rsid w:val="00CD5F99"/>
    <w:rsid w:val="00D23AFE"/>
    <w:rsid w:val="00D350C2"/>
    <w:rsid w:val="00D36D51"/>
    <w:rsid w:val="00DA276C"/>
    <w:rsid w:val="00DB24F7"/>
    <w:rsid w:val="00DE395B"/>
    <w:rsid w:val="00DF7425"/>
    <w:rsid w:val="00E52837"/>
    <w:rsid w:val="00E91B14"/>
    <w:rsid w:val="00EA4066"/>
    <w:rsid w:val="00EA4973"/>
    <w:rsid w:val="00EF5E55"/>
    <w:rsid w:val="00F01FDA"/>
    <w:rsid w:val="00F03887"/>
    <w:rsid w:val="00F0603B"/>
    <w:rsid w:val="00F30393"/>
    <w:rsid w:val="00F45063"/>
    <w:rsid w:val="00F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1F672"/>
  <w15:chartTrackingRefBased/>
  <w15:docId w15:val="{633E16DF-963C-40BF-8345-DA21440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7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7E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796C"/>
    <w:rPr>
      <w:sz w:val="21"/>
      <w:szCs w:val="21"/>
    </w:rPr>
  </w:style>
  <w:style w:type="character" w:styleId="a8">
    <w:name w:val="Placeholder Text"/>
    <w:basedOn w:val="a0"/>
    <w:uiPriority w:val="99"/>
    <w:semiHidden/>
    <w:rsid w:val="00BD4A61"/>
    <w:rPr>
      <w:color w:val="666666"/>
    </w:rPr>
  </w:style>
  <w:style w:type="table" w:styleId="a9">
    <w:name w:val="Table Grid"/>
    <w:basedOn w:val="a1"/>
    <w:uiPriority w:val="39"/>
    <w:rsid w:val="00EF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173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575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2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90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527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625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8939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09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1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920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12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9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2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426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560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314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799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20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82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5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2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6118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20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4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5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368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191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807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4B5B-1CBC-4CE2-BD77-1912AFB0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泽阳 屈</dc:creator>
  <cp:keywords/>
  <dc:description/>
  <cp:lastModifiedBy>泽阳 屈</cp:lastModifiedBy>
  <cp:revision>4</cp:revision>
  <dcterms:created xsi:type="dcterms:W3CDTF">2024-04-02T11:35:00Z</dcterms:created>
  <dcterms:modified xsi:type="dcterms:W3CDTF">2024-08-11T09:18:00Z</dcterms:modified>
</cp:coreProperties>
</file>