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keepNext/>
      </w:pPr>
      <w:r>
        <w:t>摘要</w:t>
      </w:r>
    </w:p>
    <w:p>
      <w:pPr>
        <w:pStyle w:val="Normal"/>
      </w:pPr>
      <w:r>
        <w:rPr>
          <w:b/>
        </w:rPr>
        <w:t>背景：</w:t>
      </w:r>
      <w:r>
        <w:t xml:space="preserve"> 牙周炎与阿尔茨海默病（AD）存在流行病学关联，但多数分子机制叙述止步于完整牙龈卟啉单胞菌、牙龈蛋白酶或外膜囊泡。口腔小开放阅读框（sORF）编码的短肽是更大、却很少被清点的货物；乙酰胆碱酯酶（AChE）的外周阴离子位点（PAS）——加速 β-淀粉样肽（Aβ）纤毛组装的表面——从未被用于对这类肽进行分诊。</w:t>
      </w:r>
    </w:p>
    <w:p>
      <w:pPr>
        <w:pStyle w:val="Normal"/>
      </w:pPr>
      <w:r>
        <w:rPr>
          <w:b/>
        </w:rPr>
        <w:t>方法：</w:t>
      </w:r>
      <w:r>
        <w:t xml:space="preserve"> 我们再分析公开口腔宏基因组（BioProject PRJNA678453；组装集 PRJEB65451），包含 296 个高质量宏基因组组装基因组（MAG）。组特异 sORF 库（4–50 氨基酸）经 HOMD 相关口腔蛋白质组精确匹配塌缩，用 UniDL4BioPep 以预测概率 ≥ 0.8 打分（短肽支 5–30 aa 与长肽支 31–50 aa 分开），再经 NTxPred2、mebipred 与 AnOxPePred 过滤。所得候选以 AutoDock Vina 1.2.5 对接到人 AChE（PDB 4EY6）PAS 为中心的 40 × 40 × 40 Å³ 盒子。</w:t>
      </w:r>
    </w:p>
    <w:p>
      <w:pPr>
        <w:pStyle w:val="Normal"/>
      </w:pPr>
      <w:r>
        <w:rPr>
          <w:b/>
        </w:rPr>
        <w:t>结果：</w:t>
      </w:r>
      <w:r>
        <w:t xml:space="preserve"> 原始库含健康 11,269,961 条与牙周炎 11,721,988 条 sORF；蛋白质组支持后分别剩 31,510 与 33,786 条（通过率 0.2796% 与 0.2882%）。牙周炎组血脑屏障（BBB）阳性在两支均更多（短肽 3,446 对 3,359；长肽 72 对 40）。3,518 条 BBB 阳性肽中，NTxPred2 对 3,299 条打分序列判出 923 条神经毒性，mebipred 标出 111 条 Cu/Fe/Zn 结合阳性，"螯合高/清除低"规则留下主候选 12 条（严格阈值下 8 条）。十二条均为 7–9 肽：11 条含组氨酸、6 条含半胱氨酸，与 tau26–44 等金属结合神经毒肽范例的 His/Cys 锚定化学一致。所有候选完整进入 PAS 中心盒子，Vina 打分 −8.25 至 −9.60 kcal/mol，呈跨越峡部的结合模式，接触 PAS 残基（Tyr72、Asp74、Tyr124、Trp286、Tyr341）与峡部芳香残基（Trp86、Phe295、Tyr337、Phe338）；部分侧链延伸至 Ser203/His447 催化区。</w:t>
      </w:r>
    </w:p>
    <w:p>
      <w:pPr>
        <w:pStyle w:val="Keywords"/>
      </w:pPr>
      <w:r>
        <w:rPr>
          <w:b/>
        </w:rPr>
        <w:t>关键词：</w:t>
      </w:r>
      <w:r>
        <w:t xml:space="preserve"> 牙周炎；小开放阅读框；宏蛋白质组；血脑屏障；金属结合；乙酰胆碱酯酶；外周阴离子位点；分子对接；阿尔茨海默病</w:t>
      </w:r>
    </w:p>
    <w:p>
      <w:pPr>
        <w:pStyle w:val="Heading2"/>
        <w:keepNext/>
        <w:pageBreakBefore/>
      </w:pPr>
      <w:r>
        <w:t>1 引言</w:t>
      </w:r>
    </w:p>
    <w:p>
      <w:pPr>
        <w:pStyle w:val="Heading3"/>
        <w:keepNext/>
      </w:pPr>
      <w:r>
        <w:t>1.1 阿尔茨海默病与乙酰胆碱酯酶的非经典角色</w:t>
      </w:r>
    </w:p>
    <w:p>
      <w:pPr>
        <w:pStyle w:val="Normal"/>
      </w:pPr>
      <w:r>
        <w:t>阿尔茨海默病（AD）的神经病理定义包括细胞外 β-淀粉样肽（Aβ）斑块、细胞内过度磷酸化 tau 神经原纤维缠结、突触丢失和进行性胆碱能缺损 [1,2]。对常染色体显性病例，淀粉样级联仍是最简洁的解释；散发性晚发型 AD 更适合被描述为多条上游通路的汇聚 [2]。其中胆碱能假说地位特殊：它是唯一持续产出获批对症治疗的假说。AChE 抑制剂——多奈哌齐、卡巴拉汀、加兰他敏——在引入数十年后仍是一线用药，正因为基底前脑胆碱能投射是该病最早、最持久的受害者之一 [3]。</w:t>
      </w:r>
    </w:p>
    <w:p>
      <w:pPr>
        <w:pStyle w:val="Normal"/>
      </w:pPr>
      <w:r>
        <w:t>然而 AChE 不只是终止胆碱能信号的酶。自 1990 年代中期起，Inestrosa 等证明 AChE 加速 Aβ 肽组装成阿尔茨海默型纤毛，且这种"分子伴侣"活性位于外周阴离子位点（PAS），即酶深活性峡部入口的边环 [4]。PAS 上一个保守结构基序即使脱离催化也足以促进纤毛形成 [5]；占据外周位点的配体可以阻断人 AChE 诱导的 Aβ 聚集 [6]。从多奈哌齐结合的峡部结构 [7] 到 Cheung 等结晶的重组人酶面板 [8]，结构工作确立了峡部两端皆可成药：底部的催化阴离子位点（CAS）与边沿的 PAS。一项长时间全原子分子动力学研究把 AChE–Aβ 复合物的 Aβ 主驻留区定位到 AChE 344–361 残基，这片区域紧邻 PAS 且双位点抑制剂覆盖不足 [9]；加速分子动力学工作收敛到同一区域 [10]。其实际含义是：PAS 占据是疾病相关事件——任何坐在 PAS 上的分子都可能干扰 AChE 催化的 Aβ 纤毛生长，因此 PAS 即使对非经典底物也是正当的对接靶点。</w:t>
      </w:r>
    </w:p>
    <w:p>
      <w:pPr>
        <w:pStyle w:val="Heading3"/>
        <w:keepNext/>
      </w:pPr>
      <w:r>
        <w:t>1.2 牙周炎–阿尔茨海默轴：细胞、蛋白酶、囊泡——以及缺失的肽清单</w:t>
      </w:r>
    </w:p>
    <w:p>
      <w:pPr>
        <w:pStyle w:val="Normal"/>
      </w:pPr>
      <w:r>
        <w:t>慢性牙周炎在老年人中常见，并与认知下降和痴呆同步进展。一项纵向 AD 队列中，基线牙周炎与六个月内认知下降速率升高约六倍相关 [11]；修女研究中牙齿缺失可预测痴呆与神经病理 [12]；文本挖掘与 GEO 分析也把慢性牙周炎列入 AD 风险条件 [13]。这批文献的机制重心是牙龈卟啉单胞菌——失调牙周袋的关键病原体。Dominy 等从 AD 皮层与脑脊液中回收牙龈蛋白酶与牙龈卟啉单胞菌 DNA，证明牙龈蛋白酶切割 tau，并用可入脑的牙龈蛋白酶抑制剂减轻口腔感染小鼠的海马损伤 [14]。牙龈卟啉单胞菌及其脂多糖已在 AD 脑组织中被直接检出 [15]；慢性口服给予该病原体可在野生型小鼠中驱动 Aβ 产生与神经炎症 [16]；感染神经元中持续的牙龈蛋白酶活性产生可被抑制剂钝化的 AD 样神经退行 [17]。两种递送载体值得强调：外膜囊泡携带的牙龈蛋白酶密度是菌体表面的数倍且尺寸适合组织转运 [18,19]；牙龈蛋白酶本身对部分底物如外科手术般精确，对其余底物则无差别降解 [20]。临床与综述层面的工作继续把牙龈卟啉单胞菌及其牙龈蛋白酶与伴牙周炎 AD 患者的脑脊液 Aβ 及磷酸化 tau 联系在一起 [21–23]；大鼠模型中还重现了血清型依赖的 AD 样病理 [24]。</w:t>
      </w:r>
    </w:p>
    <w:p>
      <w:pPr>
        <w:pStyle w:val="Normal"/>
      </w:pPr>
      <w:r>
        <w:t>这些文献点名的是细胞、蛋白酶、脂多糖与囊泡；没有清点的是发炎牙周宏基因组能编码的、数量大得多的短肽——由牙龈蛋白酶加工、菌体周转释放，或来自从不出现在基因目录中的小开放阅读框（sORF）的翻译产物。若要把牙周炎–AD 关联说到肽的分辨率，就必须清点这份清单，并按神经活性肽所需的性质过滤：在蛋白质组记录中存活、过屏障、处理金属、有合理的神经靶点。</w:t>
      </w:r>
    </w:p>
    <w:p>
      <w:pPr>
        <w:pStyle w:val="Heading3"/>
        <w:keepNext/>
      </w:pPr>
      <w:r>
        <w:t>1.3 金属假说需要一个载体</w:t>
      </w:r>
    </w:p>
    <w:p>
      <w:pPr>
        <w:pStyle w:val="Normal"/>
      </w:pPr>
      <w:r>
        <w:t>本研究第二支柱是 AD 的金属假说。铜、铁、锌在淀粉样斑块与神经原纤维缠结中富集，其稳态机制在 AD 脑中紊乱，每种离子都能调节 Aβ 与 tau 聚集、氧化还原化学与突触功能 [25]。在 Lei、Ayton 与 Bush 的元素组学框架中，铁、铜、锌、硒的特征性改变是少数已转化为治疗尝试（氯碘喹啉、PBT2、铁螯合）的 AD 相关异常，铁驱动的脂质过氧化——铁死亡——已是公认的神经退行执行通路 [26]。化学原理本身直接：Cu(I)/Cu(II) 与 Fe(II)/Fe(III) 电对与 H₂O₂ 和 O₂ 循环交换电子（Fenton/Haber–Weiss 化学），产生羟基自由基等活性物种，过氧化膜脂并交联蛋白；Zn(II) 无氧化还原活性，但能重组 Aβ 与 tau 组装体。</w:t>
      </w:r>
    </w:p>
    <w:p>
      <w:pPr>
        <w:pStyle w:val="Normal"/>
      </w:pPr>
      <w:r>
        <w:t>该叙事的缺口是"载体问题"。AD 中的金属稳态失衡通常被讨论为宿主转运与储存蛋白的故障；牙周炎关联的叙事还需要一个分子：能离开口腔、在血清中存活、跨越或绕过血脑屏障（BBB）、并在脑实质内呈现氧化还原活性配位化学。短而富含 His/Cys 的肽是少数能同时满足这些条件的分子形式之一——这正是按该化学筛查口腔宏蛋白质组的动机。</w:t>
      </w:r>
    </w:p>
    <w:p>
      <w:pPr>
        <w:pStyle w:val="Heading3"/>
        <w:keepNext/>
      </w:pPr>
      <w:r>
        <w:t>1.4 外源短肽可以有神经活性：tau26–44 范例</w:t>
      </w:r>
    </w:p>
    <w:p>
      <w:pPr>
        <w:pStyle w:val="Normal"/>
      </w:pPr>
      <w:r>
        <w:t>短肽本身可以成为神经毒性效应分子，这一点并非假设。最完整的模板不来自细菌，而来自 tau 自身。tau 蛋白 N 端 26–44 片段（tau26–44）是一个 20–22 kDa NH₂ 端 tau 肽的最小活性单元，后者在 AD 突触处累积；胞外施加时它引起突触前谷氨酸释放缺陷、扰动膜纳米力学，高暴露时驱动 NMDA 受体介导的坏死型神经元死亡 [27,28]。tau26–44 有两个性质与本工作相关。第一，它仅 19 个残基，本质无序却"结构足够"而有毒：原子力谱、小角 X 射线散射与分子动力学共同揭示了其无活性反序对照所缺乏的瞬时二级与三级结构决定簇 [28]。短神经毒肽因此是动态构象系综，不是单一刚性钥匙。第二，tau26–44 经组氨酸配位 Cu(II)；Cu(II) 复合物改变肽构象并差异性调节铜诱导的 Aβ 聚集，把一条 19 肽恰好放在 tau 生物学、铜化学与淀粉样病理的交点 [27]。互补的无机化学文献显示同样的 His/Cys 锚定逻辑普遍存在于 tau 片段 [27]。在人蛋白质组之外，细菌淀粉样蛋白提供了外源先例：口服功能性淀粉样蛋白 curli 可增强老年大鼠与秀丽隐杆线虫的 α-突触核蛋白聚集，证明细菌肽组装体可在体内交叉播种人淀粉样蛋白 [29]。</w:t>
      </w:r>
    </w:p>
    <w:p>
      <w:pPr>
        <w:pStyle w:val="Normal"/>
      </w:pPr>
      <w:r>
        <w:t>这些观察定义了阅读我们外源候选的模板：7–20 残基、具备 His/Cys 金属配位能力、构象动态、可实验证伪。它们也定下实验门槛：tau26–44 的毒性是湿实验陈述（NMDA 依赖、坏死、膜扰动），任何计算预测器都不能替代。</w:t>
      </w:r>
    </w:p>
    <w:p>
      <w:pPr>
        <w:pStyle w:val="Heading3"/>
        <w:keepNext/>
      </w:pPr>
      <w:r>
        <w:t>1.5 小开放阅读框与蛋白质组支持筛选的必要性</w:t>
      </w:r>
    </w:p>
    <w:p>
      <w:pPr>
        <w:pStyle w:val="Normal"/>
      </w:pPr>
      <w:r>
        <w:t>肽清单本身来自 sORF 生物学。真核与微生物基因组翻译成千上万条有真实功能的微肽，其中多数对经典注释不可见 [30]；核糖体图谱与蛋白质基因组学调查不断扩展翻译景观，包括心脏等曾被认为"肽沉默"的组织 [31]。宏基因组放大了这一问题：数百个 MAG 的六框翻译产生数百万条假想的 4–50 残基序列，其中多数永远不会被质谱看到；跳过蛋白质组支持的筛选是对翻译噪声的筛选。由此得出两条研究设计推论：其一，任何生物活性预测之前，组特异 sORF 库必须先对口腔宏蛋白质组塌缩；其二，预测的生物活性是多变量的——过屏障、金属结合、氧化行为——因此 UniDL4BioPep [32] 等深度学习预测器的输出只能通过显式决策栈使用，不能靠单头阈值。</w:t>
      </w:r>
    </w:p>
    <w:p>
      <w:pPr>
        <w:pStyle w:val="Heading3"/>
        <w:keepNext/>
      </w:pPr>
      <w:r>
        <w:t>1.6 本研究</w:t>
      </w:r>
    </w:p>
    <w:p>
      <w:pPr>
        <w:pStyle w:val="Normal"/>
      </w:pPr>
      <w:r>
        <w:t>本文分两个阶段。阶段一（2.2–2.9、3.1–3.6）问一个可计数的问题：牙周炎相关 sORF 库被口腔蛋白质组实际观察到的肽限制后，还有多少能通过 BBB 过滤、神经毒性过滤、Cu/Fe/Zn 过滤与"螯合高/清除低"规则？答案是 12 条（更严格清除阈值下 8 条）。阶段二（2.10–2.11、3.7）把这十二条作者提供的序列带到结构层面：对人 AChE（PDB 4EY6 [8]）做 PAS 聚焦分子对接。选 PAS 是因为它既是 AChE 加速 Aβ 的位点 [4–6]，又紧邻已发表的 Aβ 驻留区 344–361 [9]。</w:t>
      </w:r>
    </w:p>
    <w:p>
      <w:pPr>
        <w:pStyle w:val="Normal"/>
      </w:pPr>
      <w:r>
        <w:t>三条边界先行声明。（i）该 MAG 集合是</w:t>
      </w:r>
      <w:r>
        <w:rPr>
          <w:b/>
        </w:rPr>
        <w:t>社区性</w:t>
      </w:r>
      <w:r>
        <w:t>口腔宏基因组 [33]，不是牙龈卟啉单胞菌专属肽组；不声称把十二条序列归属到单一物种。（ii）对接打分是带有已知打分函数偏倚的排序启发式；此处用于在同一结合位点上比较十二条候选，而非预测解离常数。（iii）分子动力学、QM/MM 与所有湿实验均为未来工作（2.11 与 4.5 节）；终止规则不变——只有在金属存在下升高活性氧（ROS）或脂质过氧化并损伤神经元的肽，才配得上"金属相关促氧化神经毒性"这一表述。</w:t>
      </w:r>
    </w:p>
    <w:p>
      <w:pPr>
        <w:pStyle w:val="Heading2"/>
        <w:keepNext/>
        <w:pageBreakBefore/>
      </w:pPr>
      <w:r>
        <w:t>2 材料与方法</w:t>
      </w:r>
    </w:p>
    <w:p>
      <w:pPr>
        <w:pStyle w:val="Heading3"/>
        <w:keepNext/>
      </w:pPr>
      <w:r>
        <w:t>2.1 研究设计与独立单位</w:t>
      </w:r>
    </w:p>
    <w:p>
      <w:pPr>
        <w:pStyle w:val="Normal"/>
      </w:pPr>
      <w:r>
        <w:t>本研究是对公开组装数据的计算再分析，外加对所得候选的结构层面对接阶段。筛选阶段的独立实验单位是供体：24 名健康对照与 26 名牙周炎患者 [33]。肽嵌套于供体之内；肽水平列联检验为探索性，忽略该聚类。未进行新的人体采样。筛选方法遵循作者的机制研究稿；对接参数遵循作者的 PAS 对接说明。</w:t>
      </w:r>
    </w:p>
    <w:p>
      <w:pPr>
        <w:pStyle w:val="Heading3"/>
        <w:keepNext/>
      </w:pPr>
      <w:r>
        <w:t>2.2 sORF 库</w:t>
      </w:r>
    </w:p>
    <w:p>
      <w:pPr>
        <w:pStyle w:val="Normal"/>
      </w:pPr>
      <w:r>
        <w:t>口腔宏基因组取自 BioProject PRJNA678453 [33] 与配套高分辨率组装集 PRJEB65451，共 296 个高质量 MAG。按样本特异映射分别构建健康组与牙周炎组 sORF 库，保留翻译长度 4–50 氨基酸。原始库规模：健康 11,269,961 条，牙周炎 11,721,988 条。</w:t>
      </w:r>
    </w:p>
    <w:p>
      <w:pPr>
        <w:pStyle w:val="Heading3"/>
        <w:keepNext/>
      </w:pPr>
      <w:r>
        <w:t>2.3 蛋白质组支持</w:t>
      </w:r>
    </w:p>
    <w:p>
      <w:pPr>
        <w:pStyle w:val="Normal"/>
      </w:pPr>
      <w:r>
        <w:t>候选序列以哈希索引精确匹配对口腔宏蛋白质组肽段。短肽支蛋白质组为 PXD003151、PXD004319 与 PXD026727；长肽支使用 HOMD。去重后健康组 31,510 条（短 30,557 + 长 953），牙周炎组 33,786 条（短 32,754 + 长 1,032）。组内塌缩前，短肽支蛋白质组的 98.98% 位于 5–30 aa（462,257 / 467,002）；HOMD 的 98.40% 长于 50 aa，31–50 aa 有 298,454 条。下游统计从不合并两支。</w:t>
      </w:r>
    </w:p>
    <w:p>
      <w:pPr>
        <w:pStyle w:val="Heading3"/>
        <w:keepNext/>
      </w:pPr>
      <w:r>
        <w:t>2.4 长度分支</w:t>
      </w:r>
    </w:p>
    <w:p>
      <w:pPr>
        <w:pStyle w:val="Normal"/>
      </w:pPr>
      <w:r>
        <w:t>蛋白质组去重后，5–30 aa 为短肽支，31–50 aa 为长肽支。标为"短肽"的文件中可能有少量边界序列；所有计数按实际长度分箱。</w:t>
      </w:r>
    </w:p>
    <w:p>
      <w:pPr>
        <w:pStyle w:val="Heading3"/>
        <w:keepNext/>
      </w:pPr>
      <w:r>
        <w:t>2.5 UniDL4BioPep 打分</w:t>
      </w:r>
    </w:p>
    <w:p>
      <w:pPr>
        <w:pStyle w:val="Normal"/>
      </w:pPr>
      <w:r>
        <w:t>功能概率用 UniDL4BioPep 计算：以 ESM-2（</w:t>
      </w:r>
      <w:r>
        <w:rPr>
          <w:rFonts w:ascii="Consolas" w:hAnsi="Consolas" w:eastAsia="等线"/>
          <w:shd w:val="clear" w:color="auto" w:fill="F2F4F7"/>
        </w:rPr>
        <w:t>esm2_t6_8M_UR50D</w:t>
      </w:r>
      <w:r>
        <w:t xml:space="preserve">）嵌入肽段，卷积头做生物活性二分类 [32]。类别包括 ACE 抑制、肿瘤 T 细胞抗原、BBB、抗寄生虫、神经毒性、抗菌、抗真菌、抗病毒、毒性、抗氧化自由基清除、致敏性、DPP-IV 抑制、细胞穿透肽、苦味、鲜味、广谱抗微生物、抗疟、群体感应、抗癌与抗 MRSA。对类别 </w:t>
      </w:r>
      <w:r>
        <w:rPr>
          <w:i/>
        </w:rPr>
        <w:t>c</w:t>
      </w:r>
      <w:r>
        <w:t>：</w:t>
      </w:r>
    </w:p>
    <w:p>
      <w:pPr>
        <w:pStyle w:val="Normal"/>
      </w:pPr>
      <w:r>
        <w:t>N_high(c) = Σ_i 1{P_i(c) ≥ 0.8}</w:t>
      </w:r>
    </w:p>
    <w:p>
      <w:pPr>
        <w:pStyle w:val="Normal"/>
      </w:pPr>
      <w:r>
        <w:t>0.8 阈值为操作性高置信规则，不是湿实验活性的校准后验。软件版本与随机种子在源稿中未说明（</w:t>
      </w:r>
      <w:r>
        <w:rPr>
          <w:rFonts w:ascii="Consolas" w:hAnsi="Consolas" w:eastAsia="等线"/>
          <w:shd w:val="clear" w:color="auto" w:fill="F2F4F7"/>
        </w:rPr>
        <w:t>AUTHOR_INPUT_NEEDED</w:t>
      </w:r>
      <w:r>
        <w:t>）。</w:t>
      </w:r>
    </w:p>
    <w:p>
      <w:pPr>
        <w:pStyle w:val="Heading3"/>
        <w:keepNext/>
      </w:pPr>
      <w:r>
        <w:t>2.6 三模型过滤</w:t>
      </w:r>
    </w:p>
    <w:p>
      <w:pPr>
        <w:pStyle w:val="Normal"/>
      </w:pPr>
      <w:r>
        <w:t>仅 BBB 概率 ≥ 0.8 的肽进入 NTxPred2、mebipred 与 AnOxPePred。NTxPred2 对 ≥ 7 aa 序列运行。AnOxPePred 给出自由基清除分（FRS）与螯合分（CHEL）；mebipred 评估金属结合潜力，保留 Cu、Fe、Zn。"高 CHEL、适度 FRS"定义为后续金属相关氧化应激研究的优先级；源稿明确该类计算标签不是实验性促氧化活性。</w:t>
      </w:r>
    </w:p>
    <w:p>
      <w:pPr>
        <w:pStyle w:val="Heading3"/>
        <w:keepNext/>
      </w:pPr>
      <w:r>
        <w:t>2.7 结构靶点与本阶段计算范围</w:t>
      </w:r>
    </w:p>
    <w:p>
      <w:pPr>
        <w:pStyle w:val="Normal"/>
      </w:pPr>
      <w:r>
        <w:t>源稿列出 AChE、丁酰胆碱酯酶、Aβ42、tau、ApoE4、铁蛋白与转铁蛋白为结构靶点，AChE 关注 CAS、PAS 与 AChE–Aβ 界面。十二条主候选对人 AChE（PDB 4EY6）的 PAS 聚焦对接已完成，见 3.7 节。其余靶点、完整金属离子配位建模、生产分子动力学与 QM/MM/DFT 为未来工作（4.5 节）。GSE42872（BRAF-V600E A375 黑色素瘤的维莫非尼研究 [34]）与一份 1 μs AChE–Aβ 轨迹的中文翻译 [9] 存档于本项目旁，不作为筛选表的输入；GSE42872 文件记录在排除材料记录中。</w:t>
      </w:r>
    </w:p>
    <w:p>
      <w:pPr>
        <w:pStyle w:val="Heading3"/>
        <w:keepNext/>
      </w:pPr>
      <w:r>
        <w:t>2.8 探索性统计</w:t>
      </w:r>
    </w:p>
    <w:p>
      <w:pPr>
        <w:pStyle w:val="Normal"/>
      </w:pPr>
      <w:r>
        <w:t xml:space="preserve">存档表中无法拟合供体水平混合模型。仅作描述用途，对肽水平 2 × 2 表计算双侧 Fisher 精确检验与 χ² 检验（SciPy 1.17）。除注明外，比值比为牙周炎对健康。未对 UniDL4BioPep 各头做多比较校正。这些 </w:t>
      </w:r>
      <w:r>
        <w:rPr>
          <w:i/>
        </w:rPr>
        <w:t>P</w:t>
      </w:r>
      <w:r>
        <w:t xml:space="preserve"> 值不能替代供体水平分析。</w:t>
      </w:r>
    </w:p>
    <w:p>
      <w:pPr>
        <w:pStyle w:val="Heading3"/>
        <w:keepNext/>
      </w:pPr>
      <w:r>
        <w:t>2.9 图形</w:t>
      </w:r>
    </w:p>
    <w:p>
      <w:pPr>
        <w:pStyle w:val="Normal"/>
      </w:pPr>
      <w:r>
        <w:t xml:space="preserve">图形用 Python 3（matplotlib）绘制，采用色盲安全配色（蓝 </w:t>
      </w:r>
      <w:r>
        <w:rPr>
          <w:rFonts w:ascii="Consolas" w:hAnsi="Consolas" w:eastAsia="等线"/>
          <w:shd w:val="clear" w:color="auto" w:fill="F2F4F7"/>
        </w:rPr>
        <w:t>#0072B2</w:t>
      </w:r>
      <w:r>
        <w:t xml:space="preserve">、朱红 </w:t>
      </w:r>
      <w:r>
        <w:rPr>
          <w:rFonts w:ascii="Consolas" w:hAnsi="Consolas" w:eastAsia="等线"/>
          <w:shd w:val="clear" w:color="auto" w:fill="F2F4F7"/>
        </w:rPr>
        <w:t>#D55E00</w:t>
      </w:r>
      <w:r>
        <w:t>）。矢量 PDF 为投稿母版；PNG 为预览。</w:t>
      </w:r>
    </w:p>
    <w:p>
      <w:pPr>
        <w:pStyle w:val="Heading3"/>
        <w:keepNext/>
      </w:pPr>
      <w:r>
        <w:t>2.10 PAS 聚焦分子对接（AutoDock Vina 1.2.5）</w:t>
      </w:r>
    </w:p>
    <w:p>
      <w:pPr>
        <w:pStyle w:val="Normal"/>
      </w:pPr>
      <w:r>
        <w:rPr>
          <w:b/>
        </w:rPr>
        <w:t>受体。</w:t>
      </w:r>
      <w:r>
        <w:t xml:space="preserve"> 受体为与 (−)-加兰他敏复合的重组人 AChE（PDB 4EY6；分辨率 2.40 Å；HEK-293 细胞表达 [8]）。准备时移除共晶配体、水分子与非蛋白实体；按标准 AutoDock 准备流程添加极性氢并指派部分电荷（准备工具链细节：</w:t>
      </w:r>
      <w:r>
        <w:rPr>
          <w:rFonts w:ascii="Consolas" w:hAnsi="Consolas" w:eastAsia="等线"/>
          <w:shd w:val="clear" w:color="auto" w:fill="F2F4F7"/>
        </w:rPr>
        <w:t>AUTHOR_INPUT_NEEDED</w:t>
      </w:r>
      <w:r>
        <w:t>）。4EY6 存在链断裂，残基 259–262 与 492–495 附近的环区未解析；本阶段未建模这些片段，作为局限处理（4.4 节）。</w:t>
      </w:r>
    </w:p>
    <w:p>
      <w:pPr>
        <w:pStyle w:val="Normal"/>
      </w:pPr>
      <w:r>
        <w:rPr>
          <w:b/>
        </w:rPr>
        <w:t>配体。</w:t>
      </w:r>
      <w:r>
        <w:t xml:space="preserve"> 十二条主候选肽（表 5）构建为柔性线性链并在对接前能量最小化（具体构建/最小化工具：</w:t>
      </w:r>
      <w:r>
        <w:rPr>
          <w:rFonts w:ascii="Consolas" w:hAnsi="Consolas" w:eastAsia="等线"/>
          <w:shd w:val="clear" w:color="auto" w:fill="F2F4F7"/>
        </w:rPr>
        <w:t>AUTHOR_INPUT_NEEDED</w:t>
      </w:r>
      <w:r>
        <w:t>）。对接运行中不含金属离子；金属配位另行列入路线图（4.5 节）。</w:t>
      </w:r>
    </w:p>
    <w:p>
      <w:pPr>
        <w:pStyle w:val="Normal"/>
      </w:pPr>
      <w:r>
        <w:rPr>
          <w:b/>
        </w:rPr>
        <w:t>搜索空间与搜索。</w:t>
      </w:r>
      <w:r>
        <w:t xml:space="preserve"> 40 × 40 × 40 Å³ 立方网格以 4EY6 的 PAS 区为中心，覆盖 PAS 边环（Tyr72、Asp74、Tyr124、Trp286、Tyr341）与活性位点峡部入口。对接用 AutoDock Vina v1.2.5 [35,36]，开启肽侧链与主链柔性（exhaustiveness、运行次数与种子设置：</w:t>
      </w:r>
      <w:r>
        <w:rPr>
          <w:rFonts w:ascii="Consolas" w:hAnsi="Consolas" w:eastAsia="等线"/>
          <w:shd w:val="clear" w:color="auto" w:fill="F2F4F7"/>
        </w:rPr>
        <w:t>AUTHOR_INPUT_NEEDED</w:t>
      </w:r>
      <w:r>
        <w:t>）。Vina 打分以 mean ± SD（kcal/mol）报告。Vina 是打分函数排序工具：其分数与实验结合自由能相关但不等同，方法本身也不鼓励跨化学差异很大的配体比较 [35]；此处十二条配体是 closely related 的 7–9 肽，集合内比较正是其预期用途。</w:t>
      </w:r>
    </w:p>
    <w:p>
      <w:pPr>
        <w:pStyle w:val="Normal"/>
      </w:pPr>
      <w:r>
        <w:rPr>
          <w:b/>
        </w:rPr>
        <w:t>构象分析。</w:t>
      </w:r>
      <w:r>
        <w:t xml:space="preserve"> 检查最优构象的：（i）盒子内完整容纳（构象未在盒边被截断）；（ii）与 PAS 核心残基（Tyr72、Asp74、Tyr124、Trp286、Tyr341）的接触；（iii）与峡部芳香残基（Trp86、Phe295、Tyr337、Phe338）的接触；（iv）侧链对催化区（Ser203、His447）的可及性。相互作用统计本阶段为定性；逐肽相互作用表将随 MD 阶段给出。Rosetta FlexPepDocking [37] 是文献首选的肽–蛋白对接协议，列为升级路径（4.5 节）；当前阶段其 C++ 命令行参数体系与大规模柔性采样仍在学习掌握中，故已报告的运行采用经验证的 Vina 流程。</w:t>
      </w:r>
    </w:p>
    <w:p>
      <w:pPr>
        <w:pStyle w:val="Heading3"/>
        <w:keepNext/>
      </w:pPr>
      <w:r>
        <w:t>2.11 已尝试的分子动力学（报告但不纳入）</w:t>
      </w:r>
    </w:p>
    <w:p>
      <w:pPr>
        <w:pStyle w:val="Normal"/>
      </w:pPr>
      <w:r>
        <w:t>按 AChE–Aβ 体系建立的 100 ns 模拟规范 [9]，我们尝试对最佳对接肽–AChE 复合物做全原子 MD：GROMACS 2025 [38]、AMBER99SB-ILDN 力场 [39]、TIP3P 水模型 [40]、三斜周期盒子。NPT 压力平衡阶段（Berendsen 压浴 [41]）出现剧烈 Z 轴各向异性压力震荡并最终失败（爆框）。两个近因：（i）4EY6 的局部链断裂（残基 259–262 与 492–495 附近未解析片段）在溶剂压力施加后产生内应力；（ii）对接肽的刚性插入留下残余界面应力。正在推进的修复包括：Z 轴压力耦合参数（压缩率、τ_p）与松弛梯度、断裂环段的 ACE/NME 封端、肽–蛋白界面的侧链去碰撞（debumping）。因此本版本不含生产轨迹；100 ns 分析仍是下一阶段交付物。</w:t>
      </w:r>
    </w:p>
    <w:p>
      <w:pPr>
        <w:pStyle w:val="Heading2"/>
        <w:keepNext/>
        <w:pageBreakBefore/>
      </w:pPr>
      <w:r>
        <w:t>3 结果</w:t>
      </w:r>
    </w:p>
    <w:p>
      <w:pPr>
        <w:pStyle w:val="Heading3"/>
        <w:keepNext/>
      </w:pPr>
      <w:r>
        <w:t>3.1 蛋白质组丢弃了 99.7% 以上的翻译 sORF</w:t>
      </w:r>
    </w:p>
    <w:p>
      <w:pPr>
        <w:pStyle w:val="Normal"/>
      </w:pPr>
      <w:r>
        <w:t>原始 sORF 库含健康 11,269,961 条与牙周炎 11,721,988 条。精确蛋白质组支持后留下 31,510 与 33,786 条唯一肽（表 1），通过率 0.2796% 与 0.2882%。牙周炎组贡献合并确认库的 51.75%（65,296 条）。</w:t>
      </w:r>
    </w:p>
    <w:p>
      <w:pPr>
        <w:pStyle w:val="Caption"/>
      </w:pPr>
      <w:r>
        <w:rPr>
          <w:b/>
        </w:rPr>
        <w:t>表 1.</w:t>
      </w:r>
      <w:r>
        <w:t xml:space="preserve"> 组特异 sORF 的蛋白质组支持。</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shd w:val="clear" w:color="auto" w:fill="DCE6F1"/>
            <w:vAlign w:val="center"/>
          </w:tcPr>
          <w:p>
            <w:pPr>
              <w:pStyle w:val="TableText"/>
              <w:spacing w:before="0" w:after="0" w:line="220" w:lineRule="auto"/>
            </w:pPr>
            <w:r>
              <w:rPr>
                <w:sz w:val="17"/>
                <w:szCs w:val="17"/>
              </w:rPr>
              <w:t>组</w:t>
            </w:r>
          </w:p>
        </w:tc>
        <w:tc>
          <w:tcPr>
            <w:tcW w:w="1872" w:type="dxa"/>
            <w:shd w:val="clear" w:color="auto" w:fill="DCE6F1"/>
            <w:vAlign w:val="center"/>
          </w:tcPr>
          <w:p>
            <w:pPr>
              <w:pStyle w:val="TableText"/>
              <w:spacing w:before="0" w:after="0" w:line="220" w:lineRule="auto"/>
            </w:pPr>
            <w:r>
              <w:rPr>
                <w:sz w:val="17"/>
                <w:szCs w:val="17"/>
              </w:rPr>
              <w:t>特异 sORF</w:t>
            </w:r>
          </w:p>
        </w:tc>
        <w:tc>
          <w:tcPr>
            <w:tcW w:w="1872" w:type="dxa"/>
            <w:shd w:val="clear" w:color="auto" w:fill="DCE6F1"/>
            <w:vAlign w:val="center"/>
          </w:tcPr>
          <w:p>
            <w:pPr>
              <w:pStyle w:val="TableText"/>
              <w:spacing w:before="0" w:after="0" w:line="220" w:lineRule="auto"/>
            </w:pPr>
            <w:r>
              <w:rPr>
                <w:sz w:val="17"/>
                <w:szCs w:val="17"/>
              </w:rPr>
              <w:t>唯一支持肽</w:t>
            </w:r>
          </w:p>
        </w:tc>
        <w:tc>
          <w:tcPr>
            <w:tcW w:w="1872" w:type="dxa"/>
            <w:shd w:val="clear" w:color="auto" w:fill="DCE6F1"/>
            <w:vAlign w:val="center"/>
          </w:tcPr>
          <w:p>
            <w:pPr>
              <w:pStyle w:val="TableText"/>
              <w:spacing w:before="0" w:after="0" w:line="220" w:lineRule="auto"/>
            </w:pPr>
            <w:r>
              <w:rPr>
                <w:sz w:val="17"/>
                <w:szCs w:val="17"/>
              </w:rPr>
              <w:t>通过率 (%)</w:t>
            </w:r>
          </w:p>
        </w:tc>
        <w:tc>
          <w:tcPr>
            <w:tcW w:w="1872" w:type="dxa"/>
            <w:shd w:val="clear" w:color="auto" w:fill="DCE6F1"/>
            <w:vAlign w:val="center"/>
          </w:tcPr>
          <w:p>
            <w:pPr>
              <w:pStyle w:val="TableText"/>
              <w:spacing w:before="0" w:after="0" w:line="220" w:lineRule="auto"/>
            </w:pPr>
            <w:r>
              <w:rPr>
                <w:sz w:val="17"/>
                <w:szCs w:val="17"/>
              </w:rPr>
              <w:t>占确认库比例 (%)</w:t>
            </w:r>
          </w:p>
        </w:tc>
      </w:tr>
      <w:tr>
        <w:tc>
          <w:tcPr>
            <w:tcW w:w="1872" w:type="dxa"/>
            <w:vAlign w:val="center"/>
          </w:tcPr>
          <w:p>
            <w:pPr>
              <w:pStyle w:val="TableText"/>
              <w:spacing w:before="0" w:after="0" w:line="220" w:lineRule="auto"/>
            </w:pPr>
            <w:r>
              <w:rPr>
                <w:sz w:val="17"/>
                <w:szCs w:val="17"/>
              </w:rPr>
              <w:t>健康</w:t>
            </w:r>
          </w:p>
        </w:tc>
        <w:tc>
          <w:tcPr>
            <w:tcW w:w="1872" w:type="dxa"/>
            <w:vAlign w:val="center"/>
          </w:tcPr>
          <w:p>
            <w:pPr>
              <w:pStyle w:val="TableText"/>
              <w:spacing w:before="0" w:after="0" w:line="220" w:lineRule="auto"/>
            </w:pPr>
            <w:r>
              <w:rPr>
                <w:sz w:val="17"/>
                <w:szCs w:val="17"/>
              </w:rPr>
              <w:t>11,269,961</w:t>
            </w:r>
          </w:p>
        </w:tc>
        <w:tc>
          <w:tcPr>
            <w:tcW w:w="1872" w:type="dxa"/>
            <w:vAlign w:val="center"/>
          </w:tcPr>
          <w:p>
            <w:pPr>
              <w:pStyle w:val="TableText"/>
              <w:spacing w:before="0" w:after="0" w:line="220" w:lineRule="auto"/>
            </w:pPr>
            <w:r>
              <w:rPr>
                <w:sz w:val="17"/>
                <w:szCs w:val="17"/>
              </w:rPr>
              <w:t>31,510</w:t>
            </w:r>
          </w:p>
        </w:tc>
        <w:tc>
          <w:tcPr>
            <w:tcW w:w="1872" w:type="dxa"/>
            <w:vAlign w:val="center"/>
          </w:tcPr>
          <w:p>
            <w:pPr>
              <w:pStyle w:val="TableText"/>
              <w:spacing w:before="0" w:after="0" w:line="220" w:lineRule="auto"/>
            </w:pPr>
            <w:r>
              <w:rPr>
                <w:sz w:val="17"/>
                <w:szCs w:val="17"/>
              </w:rPr>
              <w:t>0.2796</w:t>
            </w:r>
          </w:p>
        </w:tc>
        <w:tc>
          <w:tcPr>
            <w:tcW w:w="1872" w:type="dxa"/>
            <w:vAlign w:val="center"/>
          </w:tcPr>
          <w:p>
            <w:pPr>
              <w:pStyle w:val="TableText"/>
              <w:spacing w:before="0" w:after="0" w:line="220" w:lineRule="auto"/>
            </w:pPr>
            <w:r>
              <w:rPr>
                <w:sz w:val="17"/>
                <w:szCs w:val="17"/>
              </w:rPr>
              <w:t>48.25</w:t>
            </w:r>
          </w:p>
        </w:tc>
      </w:tr>
      <w:tr>
        <w:tc>
          <w:tcPr>
            <w:tcW w:w="1872" w:type="dxa"/>
            <w:vAlign w:val="center"/>
          </w:tcPr>
          <w:p>
            <w:pPr>
              <w:pStyle w:val="TableText"/>
              <w:spacing w:before="0" w:after="0" w:line="220" w:lineRule="auto"/>
            </w:pPr>
            <w:r>
              <w:rPr>
                <w:sz w:val="17"/>
                <w:szCs w:val="17"/>
              </w:rPr>
              <w:t>牙周炎</w:t>
            </w:r>
          </w:p>
        </w:tc>
        <w:tc>
          <w:tcPr>
            <w:tcW w:w="1872" w:type="dxa"/>
            <w:vAlign w:val="center"/>
          </w:tcPr>
          <w:p>
            <w:pPr>
              <w:pStyle w:val="TableText"/>
              <w:spacing w:before="0" w:after="0" w:line="220" w:lineRule="auto"/>
            </w:pPr>
            <w:r>
              <w:rPr>
                <w:sz w:val="17"/>
                <w:szCs w:val="17"/>
              </w:rPr>
              <w:t>11,721,988</w:t>
            </w:r>
          </w:p>
        </w:tc>
        <w:tc>
          <w:tcPr>
            <w:tcW w:w="1872" w:type="dxa"/>
            <w:vAlign w:val="center"/>
          </w:tcPr>
          <w:p>
            <w:pPr>
              <w:pStyle w:val="TableText"/>
              <w:spacing w:before="0" w:after="0" w:line="220" w:lineRule="auto"/>
            </w:pPr>
            <w:r>
              <w:rPr>
                <w:sz w:val="17"/>
                <w:szCs w:val="17"/>
              </w:rPr>
              <w:t>33,786</w:t>
            </w:r>
          </w:p>
        </w:tc>
        <w:tc>
          <w:tcPr>
            <w:tcW w:w="1872" w:type="dxa"/>
            <w:vAlign w:val="center"/>
          </w:tcPr>
          <w:p>
            <w:pPr>
              <w:pStyle w:val="TableText"/>
              <w:spacing w:before="0" w:after="0" w:line="220" w:lineRule="auto"/>
            </w:pPr>
            <w:r>
              <w:rPr>
                <w:sz w:val="17"/>
                <w:szCs w:val="17"/>
              </w:rPr>
              <w:t>0.2882</w:t>
            </w:r>
          </w:p>
        </w:tc>
        <w:tc>
          <w:tcPr>
            <w:tcW w:w="1872" w:type="dxa"/>
            <w:vAlign w:val="center"/>
          </w:tcPr>
          <w:p>
            <w:pPr>
              <w:pStyle w:val="TableText"/>
              <w:spacing w:before="0" w:after="0" w:line="220" w:lineRule="auto"/>
            </w:pPr>
            <w:r>
              <w:rPr>
                <w:sz w:val="17"/>
                <w:szCs w:val="17"/>
              </w:rPr>
              <w:t>51.75</w:t>
            </w:r>
          </w:p>
        </w:tc>
      </w:tr>
      <w:tr>
        <w:tc>
          <w:tcPr>
            <w:tcW w:w="1872" w:type="dxa"/>
            <w:vAlign w:val="center"/>
          </w:tcPr>
          <w:p>
            <w:pPr>
              <w:pStyle w:val="TableText"/>
              <w:spacing w:before="0" w:after="0" w:line="220" w:lineRule="auto"/>
            </w:pPr>
            <w:r>
              <w:rPr>
                <w:sz w:val="17"/>
                <w:szCs w:val="17"/>
              </w:rPr>
              <w:t>合计</w:t>
            </w:r>
          </w:p>
        </w:tc>
        <w:tc>
          <w:tcPr>
            <w:tcW w:w="1872" w:type="dxa"/>
            <w:vAlign w:val="center"/>
          </w:tcPr>
          <w:p>
            <w:pPr>
              <w:pStyle w:val="TableText"/>
              <w:spacing w:before="0" w:after="0" w:line="220" w:lineRule="auto"/>
            </w:pPr>
            <w:r>
              <w:rPr>
                <w:sz w:val="17"/>
                <w:szCs w:val="17"/>
              </w:rPr>
              <w:t>22,991,949</w:t>
            </w:r>
          </w:p>
        </w:tc>
        <w:tc>
          <w:tcPr>
            <w:tcW w:w="1872" w:type="dxa"/>
            <w:vAlign w:val="center"/>
          </w:tcPr>
          <w:p>
            <w:pPr>
              <w:pStyle w:val="TableText"/>
              <w:spacing w:before="0" w:after="0" w:line="220" w:lineRule="auto"/>
            </w:pPr>
            <w:r>
              <w:rPr>
                <w:sz w:val="17"/>
                <w:szCs w:val="17"/>
              </w:rPr>
              <w:t>65,296</w:t>
            </w:r>
          </w:p>
        </w:tc>
        <w:tc>
          <w:tcPr>
            <w:tcW w:w="1872" w:type="dxa"/>
            <w:vAlign w:val="center"/>
          </w:tcPr>
          <w:p>
            <w:pPr>
              <w:pStyle w:val="TableText"/>
              <w:spacing w:before="0" w:after="0" w:line="220" w:lineRule="auto"/>
            </w:pPr>
            <w:r>
              <w:rPr>
                <w:sz w:val="17"/>
                <w:szCs w:val="17"/>
              </w:rPr>
              <w:t>0.2839</w:t>
            </w:r>
          </w:p>
        </w:tc>
        <w:tc>
          <w:tcPr>
            <w:tcW w:w="1872" w:type="dxa"/>
            <w:vAlign w:val="center"/>
          </w:tcPr>
          <w:p>
            <w:pPr>
              <w:pStyle w:val="TableText"/>
              <w:spacing w:before="0" w:after="0" w:line="220" w:lineRule="auto"/>
            </w:pPr>
            <w:r>
              <w:rPr>
                <w:sz w:val="17"/>
                <w:szCs w:val="17"/>
              </w:rPr>
              <w:t>100.00</w:t>
            </w:r>
          </w:p>
        </w:tc>
      </w:tr>
    </w:tbl>
    <w:p>
      <w:pPr>
        <w:spacing w:after="40"/>
      </w:pPr>
    </w:p>
    <w:p>
      <w:pPr>
        <w:pStyle w:val="Normal"/>
      </w:pPr>
      <w:r>
        <w:t>肽水平 χ² 检验因分母巨大而显著（χ² = 15.1，</w:t>
      </w:r>
      <w:r>
        <w:rPr>
          <w:i/>
        </w:rPr>
        <w:t>P</w:t>
      </w:r>
      <w:r>
        <w:t xml:space="preserve"> = 1.0 × 10⁻⁴），但绝对差异仅 0.0086 个百分点；我们不把该 </w:t>
      </w:r>
      <w:r>
        <w:rPr>
          <w:i/>
        </w:rPr>
        <w:t>P</w:t>
      </w:r>
      <w:r>
        <w:t xml:space="preserve"> 值解读为生物学效应。下文只使用确认集作为分母。</w:t>
      </w:r>
    </w:p>
    <w:p>
      <w:pPr>
        <w:pStyle w:val="Heading3"/>
        <w:keepNext/>
      </w:pPr>
      <w:r>
        <w:t>3.2 BBB 判读：牙周炎计数上升；只有长肽支速率改变</w:t>
      </w:r>
    </w:p>
    <w:p>
      <w:pPr>
        <w:pStyle w:val="Normal"/>
      </w:pPr>
      <w:r>
        <w:t>BBB 概率 ≥ 0.8 时，短肽支为健康 3,359 条、牙周炎 3,446 条（各占蛋白质组支持短肽集的 10.99% 与 10.52%）；长肽支为 40 与 72（4.20% 与 6.98%）。长肽支 2 × 2 表的探索性 Fisher 检验给出牙周炎对健康 OR = 1.71（</w:t>
      </w:r>
      <w:r>
        <w:rPr>
          <w:i/>
        </w:rPr>
        <w:t>P</w:t>
      </w:r>
      <w:r>
        <w:t xml:space="preserve"> = 0.0084）；短肽支对应检验不显著（OR = 0.95，</w:t>
      </w:r>
      <w:r>
        <w:rPr>
          <w:i/>
        </w:rPr>
        <w:t>P</w:t>
      </w:r>
      <w:r>
        <w:t xml:space="preserve"> = 0.056）。喂养 AD 导向漏斗的是牙周炎的绝对超额与长肽支速率。短肽支 BBB </w:t>
      </w:r>
      <w:r>
        <w:rPr>
          <w:b/>
        </w:rPr>
        <w:t>百分比</w:t>
      </w:r>
      <w:r>
        <w:t>不支持"牙周炎肽组更 BBB 阳性"这种口号。</w:t>
      </w:r>
    </w:p>
    <w:p>
      <w:pPr>
        <w:pStyle w:val="Heading3"/>
        <w:keepNext/>
      </w:pPr>
      <w:r>
        <w:t>3.3 长肽：屏障与抗菌头同步移动</w:t>
      </w:r>
    </w:p>
    <w:p>
      <w:pPr>
        <w:pStyle w:val="Normal"/>
      </w:pPr>
      <w:r>
        <w:t xml:space="preserve">背景为健康 953 条、牙周炎 1,032 条长肽。表 2 报告 </w:t>
      </w:r>
      <w:r>
        <w:rPr>
          <w:i/>
        </w:rPr>
        <w:t>P</w:t>
      </w:r>
      <w:r>
        <w:t xml:space="preserve"> ≥ 0.8 的部分 UniDL4BioPep 头（全表见补充表 S1）。牙周炎组 BBB、抗菌、抗 MRSA、细胞穿透与抗真菌判读更高（图 2a）。长肽支抗菌判读的探索性 Fisher 检验给出 OR = 1.32（</w:t>
      </w:r>
      <w:r>
        <w:rPr>
          <w:i/>
        </w:rPr>
        <w:t>P</w:t>
      </w:r>
      <w:r>
        <w:t xml:space="preserve"> = 0.040）。苦味在两组都是最高频判读（66.63% 与 62.11%），不作为 AD 表型处理。</w:t>
      </w:r>
    </w:p>
    <w:p>
      <w:pPr>
        <w:pStyle w:val="Caption"/>
      </w:pPr>
      <w:r>
        <w:rPr>
          <w:b/>
        </w:rPr>
        <w:t>表 2.</w:t>
      </w:r>
      <w:r>
        <w:t xml:space="preserve"> 长肽高置信 UniDL4BioPep 计数选摘（背景 953 / 1,032）。</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模型</w:t>
            </w:r>
          </w:p>
        </w:tc>
        <w:tc>
          <w:tcPr>
            <w:tcW w:w="3120" w:type="dxa"/>
            <w:shd w:val="clear" w:color="auto" w:fill="DCE6F1"/>
            <w:vAlign w:val="center"/>
          </w:tcPr>
          <w:p>
            <w:pPr>
              <w:pStyle w:val="TableText"/>
              <w:spacing w:before="0" w:after="0" w:line="220" w:lineRule="auto"/>
            </w:pPr>
            <w:r>
              <w:rPr>
                <w:sz w:val="17"/>
                <w:szCs w:val="17"/>
              </w:rPr>
              <w:t>健康 n (%)</w:t>
            </w:r>
          </w:p>
        </w:tc>
        <w:tc>
          <w:tcPr>
            <w:tcW w:w="3120" w:type="dxa"/>
            <w:shd w:val="clear" w:color="auto" w:fill="DCE6F1"/>
            <w:vAlign w:val="center"/>
          </w:tcPr>
          <w:p>
            <w:pPr>
              <w:pStyle w:val="TableText"/>
              <w:spacing w:before="0" w:after="0" w:line="220" w:lineRule="auto"/>
            </w:pPr>
            <w:r>
              <w:rPr>
                <w:sz w:val="17"/>
                <w:szCs w:val="17"/>
              </w:rPr>
              <w:t>牙周炎 n (%)</w:t>
            </w:r>
          </w:p>
        </w:tc>
      </w:tr>
      <w:tr>
        <w:tc>
          <w:tcPr>
            <w:tcW w:w="3120" w:type="dxa"/>
            <w:vAlign w:val="center"/>
          </w:tcPr>
          <w:p>
            <w:pPr>
              <w:pStyle w:val="TableText"/>
              <w:spacing w:before="0" w:after="0" w:line="220" w:lineRule="auto"/>
            </w:pPr>
            <w:r>
              <w:rPr>
                <w:sz w:val="17"/>
                <w:szCs w:val="17"/>
              </w:rPr>
              <w:t>BBB_Peptides</w:t>
            </w:r>
          </w:p>
        </w:tc>
        <w:tc>
          <w:tcPr>
            <w:tcW w:w="3120" w:type="dxa"/>
            <w:vAlign w:val="center"/>
          </w:tcPr>
          <w:p>
            <w:pPr>
              <w:pStyle w:val="TableText"/>
              <w:spacing w:before="0" w:after="0" w:line="220" w:lineRule="auto"/>
            </w:pPr>
            <w:r>
              <w:rPr>
                <w:sz w:val="17"/>
                <w:szCs w:val="17"/>
              </w:rPr>
              <w:t>40 (4.20)</w:t>
            </w:r>
          </w:p>
        </w:tc>
        <w:tc>
          <w:tcPr>
            <w:tcW w:w="3120" w:type="dxa"/>
            <w:vAlign w:val="center"/>
          </w:tcPr>
          <w:p>
            <w:pPr>
              <w:pStyle w:val="TableText"/>
              <w:spacing w:before="0" w:after="0" w:line="220" w:lineRule="auto"/>
            </w:pPr>
            <w:r>
              <w:rPr>
                <w:sz w:val="17"/>
                <w:szCs w:val="17"/>
              </w:rPr>
              <w:t>72 (6.98)</w:t>
            </w:r>
          </w:p>
        </w:tc>
      </w:tr>
      <w:tr>
        <w:tc>
          <w:tcPr>
            <w:tcW w:w="3120" w:type="dxa"/>
            <w:vAlign w:val="center"/>
          </w:tcPr>
          <w:p>
            <w:pPr>
              <w:pStyle w:val="TableText"/>
              <w:spacing w:before="0" w:after="0" w:line="220" w:lineRule="auto"/>
            </w:pPr>
            <w:r>
              <w:rPr>
                <w:sz w:val="17"/>
                <w:szCs w:val="17"/>
              </w:rPr>
              <w:t>Antimicrobial</w:t>
            </w:r>
          </w:p>
        </w:tc>
        <w:tc>
          <w:tcPr>
            <w:tcW w:w="3120" w:type="dxa"/>
            <w:vAlign w:val="center"/>
          </w:tcPr>
          <w:p>
            <w:pPr>
              <w:pStyle w:val="TableText"/>
              <w:spacing w:before="0" w:after="0" w:line="220" w:lineRule="auto"/>
            </w:pPr>
            <w:r>
              <w:rPr>
                <w:sz w:val="17"/>
                <w:szCs w:val="17"/>
              </w:rPr>
              <w:t>206 (21.62)</w:t>
            </w:r>
          </w:p>
        </w:tc>
        <w:tc>
          <w:tcPr>
            <w:tcW w:w="3120" w:type="dxa"/>
            <w:vAlign w:val="center"/>
          </w:tcPr>
          <w:p>
            <w:pPr>
              <w:pStyle w:val="TableText"/>
              <w:spacing w:before="0" w:after="0" w:line="220" w:lineRule="auto"/>
            </w:pPr>
            <w:r>
              <w:rPr>
                <w:sz w:val="17"/>
                <w:szCs w:val="17"/>
              </w:rPr>
              <w:t>238 (23.06)</w:t>
            </w:r>
          </w:p>
        </w:tc>
      </w:tr>
      <w:tr>
        <w:tc>
          <w:tcPr>
            <w:tcW w:w="3120" w:type="dxa"/>
            <w:vAlign w:val="center"/>
          </w:tcPr>
          <w:p>
            <w:pPr>
              <w:pStyle w:val="TableText"/>
              <w:spacing w:before="0" w:after="0" w:line="220" w:lineRule="auto"/>
            </w:pPr>
            <w:r>
              <w:rPr>
                <w:sz w:val="17"/>
                <w:szCs w:val="17"/>
              </w:rPr>
              <w:t>Antibacterial</w:t>
            </w:r>
          </w:p>
        </w:tc>
        <w:tc>
          <w:tcPr>
            <w:tcW w:w="3120" w:type="dxa"/>
            <w:vAlign w:val="center"/>
          </w:tcPr>
          <w:p>
            <w:pPr>
              <w:pStyle w:val="TableText"/>
              <w:spacing w:before="0" w:after="0" w:line="220" w:lineRule="auto"/>
            </w:pPr>
            <w:r>
              <w:rPr>
                <w:sz w:val="17"/>
                <w:szCs w:val="17"/>
              </w:rPr>
              <w:t>111 (11.65)</w:t>
            </w:r>
          </w:p>
        </w:tc>
        <w:tc>
          <w:tcPr>
            <w:tcW w:w="3120" w:type="dxa"/>
            <w:vAlign w:val="center"/>
          </w:tcPr>
          <w:p>
            <w:pPr>
              <w:pStyle w:val="TableText"/>
              <w:spacing w:before="0" w:after="0" w:line="220" w:lineRule="auto"/>
            </w:pPr>
            <w:r>
              <w:rPr>
                <w:sz w:val="17"/>
                <w:szCs w:val="17"/>
              </w:rPr>
              <w:t>153 (14.83)</w:t>
            </w:r>
          </w:p>
        </w:tc>
      </w:tr>
      <w:tr>
        <w:tc>
          <w:tcPr>
            <w:tcW w:w="3120" w:type="dxa"/>
            <w:vAlign w:val="center"/>
          </w:tcPr>
          <w:p>
            <w:pPr>
              <w:pStyle w:val="TableText"/>
              <w:spacing w:before="0" w:after="0" w:line="220" w:lineRule="auto"/>
            </w:pPr>
            <w:r>
              <w:rPr>
                <w:sz w:val="17"/>
                <w:szCs w:val="17"/>
              </w:rPr>
              <w:t>Anti-MRSA</w:t>
            </w:r>
          </w:p>
        </w:tc>
        <w:tc>
          <w:tcPr>
            <w:tcW w:w="3120" w:type="dxa"/>
            <w:vAlign w:val="center"/>
          </w:tcPr>
          <w:p>
            <w:pPr>
              <w:pStyle w:val="TableText"/>
              <w:spacing w:before="0" w:after="0" w:line="220" w:lineRule="auto"/>
            </w:pPr>
            <w:r>
              <w:rPr>
                <w:sz w:val="17"/>
                <w:szCs w:val="17"/>
              </w:rPr>
              <w:t>47 (4.93)</w:t>
            </w:r>
          </w:p>
        </w:tc>
        <w:tc>
          <w:tcPr>
            <w:tcW w:w="3120" w:type="dxa"/>
            <w:vAlign w:val="center"/>
          </w:tcPr>
          <w:p>
            <w:pPr>
              <w:pStyle w:val="TableText"/>
              <w:spacing w:before="0" w:after="0" w:line="220" w:lineRule="auto"/>
            </w:pPr>
            <w:r>
              <w:rPr>
                <w:sz w:val="17"/>
                <w:szCs w:val="17"/>
              </w:rPr>
              <w:t>62 (6.01)</w:t>
            </w:r>
          </w:p>
        </w:tc>
      </w:tr>
      <w:tr>
        <w:tc>
          <w:tcPr>
            <w:tcW w:w="3120" w:type="dxa"/>
            <w:vAlign w:val="center"/>
          </w:tcPr>
          <w:p>
            <w:pPr>
              <w:pStyle w:val="TableText"/>
              <w:spacing w:before="0" w:after="0" w:line="220" w:lineRule="auto"/>
            </w:pPr>
            <w:r>
              <w:rPr>
                <w:sz w:val="17"/>
                <w:szCs w:val="17"/>
              </w:rPr>
              <w:t>CPP</w:t>
            </w:r>
          </w:p>
        </w:tc>
        <w:tc>
          <w:tcPr>
            <w:tcW w:w="3120" w:type="dxa"/>
            <w:vAlign w:val="center"/>
          </w:tcPr>
          <w:p>
            <w:pPr>
              <w:pStyle w:val="TableText"/>
              <w:spacing w:before="0" w:after="0" w:line="220" w:lineRule="auto"/>
            </w:pPr>
            <w:r>
              <w:rPr>
                <w:sz w:val="17"/>
                <w:szCs w:val="17"/>
              </w:rPr>
              <w:t>15 (1.57)</w:t>
            </w:r>
          </w:p>
        </w:tc>
        <w:tc>
          <w:tcPr>
            <w:tcW w:w="3120" w:type="dxa"/>
            <w:vAlign w:val="center"/>
          </w:tcPr>
          <w:p>
            <w:pPr>
              <w:pStyle w:val="TableText"/>
              <w:spacing w:before="0" w:after="0" w:line="220" w:lineRule="auto"/>
            </w:pPr>
            <w:r>
              <w:rPr>
                <w:sz w:val="17"/>
                <w:szCs w:val="17"/>
              </w:rPr>
              <w:t>29 (2.81)</w:t>
            </w:r>
          </w:p>
        </w:tc>
      </w:tr>
      <w:tr>
        <w:tc>
          <w:tcPr>
            <w:tcW w:w="3120" w:type="dxa"/>
            <w:vAlign w:val="center"/>
          </w:tcPr>
          <w:p>
            <w:pPr>
              <w:pStyle w:val="TableText"/>
              <w:spacing w:before="0" w:after="0" w:line="220" w:lineRule="auto"/>
            </w:pPr>
            <w:r>
              <w:rPr>
                <w:sz w:val="17"/>
                <w:szCs w:val="17"/>
              </w:rPr>
              <w:t>Antifungal</w:t>
            </w:r>
          </w:p>
        </w:tc>
        <w:tc>
          <w:tcPr>
            <w:tcW w:w="3120" w:type="dxa"/>
            <w:vAlign w:val="center"/>
          </w:tcPr>
          <w:p>
            <w:pPr>
              <w:pStyle w:val="TableText"/>
              <w:spacing w:before="0" w:after="0" w:line="220" w:lineRule="auto"/>
            </w:pPr>
            <w:r>
              <w:rPr>
                <w:sz w:val="17"/>
                <w:szCs w:val="17"/>
              </w:rPr>
              <w:t>73 (7.66)</w:t>
            </w:r>
          </w:p>
        </w:tc>
        <w:tc>
          <w:tcPr>
            <w:tcW w:w="3120" w:type="dxa"/>
            <w:vAlign w:val="center"/>
          </w:tcPr>
          <w:p>
            <w:pPr>
              <w:pStyle w:val="TableText"/>
              <w:spacing w:before="0" w:after="0" w:line="220" w:lineRule="auto"/>
            </w:pPr>
            <w:r>
              <w:rPr>
                <w:sz w:val="17"/>
                <w:szCs w:val="17"/>
              </w:rPr>
              <w:t>96 (9.30)</w:t>
            </w:r>
          </w:p>
        </w:tc>
      </w:tr>
      <w:tr>
        <w:tc>
          <w:tcPr>
            <w:tcW w:w="3120" w:type="dxa"/>
            <w:vAlign w:val="center"/>
          </w:tcPr>
          <w:p>
            <w:pPr>
              <w:pStyle w:val="TableText"/>
              <w:spacing w:before="0" w:after="0" w:line="220" w:lineRule="auto"/>
            </w:pPr>
            <w:r>
              <w:rPr>
                <w:sz w:val="17"/>
                <w:szCs w:val="17"/>
              </w:rPr>
              <w:t>NeuroPred</w:t>
            </w:r>
          </w:p>
        </w:tc>
        <w:tc>
          <w:tcPr>
            <w:tcW w:w="3120" w:type="dxa"/>
            <w:vAlign w:val="center"/>
          </w:tcPr>
          <w:p>
            <w:pPr>
              <w:pStyle w:val="TableText"/>
              <w:spacing w:before="0" w:after="0" w:line="220" w:lineRule="auto"/>
            </w:pPr>
            <w:r>
              <w:rPr>
                <w:sz w:val="17"/>
                <w:szCs w:val="17"/>
              </w:rPr>
              <w:t>82 (8.60)</w:t>
            </w:r>
          </w:p>
        </w:tc>
        <w:tc>
          <w:tcPr>
            <w:tcW w:w="3120" w:type="dxa"/>
            <w:vAlign w:val="center"/>
          </w:tcPr>
          <w:p>
            <w:pPr>
              <w:pStyle w:val="TableText"/>
              <w:spacing w:before="0" w:after="0" w:line="220" w:lineRule="auto"/>
            </w:pPr>
            <w:r>
              <w:rPr>
                <w:sz w:val="17"/>
                <w:szCs w:val="17"/>
              </w:rPr>
              <w:t>77 (7.46)</w:t>
            </w:r>
          </w:p>
        </w:tc>
      </w:tr>
      <w:tr>
        <w:tc>
          <w:tcPr>
            <w:tcW w:w="3120" w:type="dxa"/>
            <w:vAlign w:val="center"/>
          </w:tcPr>
          <w:p>
            <w:pPr>
              <w:pStyle w:val="TableText"/>
              <w:spacing w:before="0" w:after="0" w:line="220" w:lineRule="auto"/>
            </w:pPr>
            <w:r>
              <w:rPr>
                <w:sz w:val="17"/>
                <w:szCs w:val="17"/>
              </w:rPr>
              <w:t>Antioxidant_FRS</w:t>
            </w:r>
          </w:p>
        </w:tc>
        <w:tc>
          <w:tcPr>
            <w:tcW w:w="3120" w:type="dxa"/>
            <w:vAlign w:val="center"/>
          </w:tcPr>
          <w:p>
            <w:pPr>
              <w:pStyle w:val="TableText"/>
              <w:spacing w:before="0" w:after="0" w:line="220" w:lineRule="auto"/>
            </w:pPr>
            <w:r>
              <w:rPr>
                <w:sz w:val="17"/>
                <w:szCs w:val="17"/>
              </w:rPr>
              <w:t>43 (4.51)</w:t>
            </w:r>
          </w:p>
        </w:tc>
        <w:tc>
          <w:tcPr>
            <w:tcW w:w="3120" w:type="dxa"/>
            <w:vAlign w:val="center"/>
          </w:tcPr>
          <w:p>
            <w:pPr>
              <w:pStyle w:val="TableText"/>
              <w:spacing w:before="0" w:after="0" w:line="220" w:lineRule="auto"/>
            </w:pPr>
            <w:r>
              <w:rPr>
                <w:sz w:val="17"/>
                <w:szCs w:val="17"/>
              </w:rPr>
              <w:t>41 (3.97)</w:t>
            </w:r>
          </w:p>
        </w:tc>
      </w:tr>
      <w:tr>
        <w:tc>
          <w:tcPr>
            <w:tcW w:w="3120" w:type="dxa"/>
            <w:vAlign w:val="center"/>
          </w:tcPr>
          <w:p>
            <w:pPr>
              <w:pStyle w:val="TableText"/>
              <w:spacing w:before="0" w:after="0" w:line="220" w:lineRule="auto"/>
            </w:pPr>
            <w:r>
              <w:rPr>
                <w:sz w:val="17"/>
                <w:szCs w:val="17"/>
              </w:rPr>
              <w:t>Bitter</w:t>
            </w:r>
          </w:p>
        </w:tc>
        <w:tc>
          <w:tcPr>
            <w:tcW w:w="3120" w:type="dxa"/>
            <w:vAlign w:val="center"/>
          </w:tcPr>
          <w:p>
            <w:pPr>
              <w:pStyle w:val="TableText"/>
              <w:spacing w:before="0" w:after="0" w:line="220" w:lineRule="auto"/>
            </w:pPr>
            <w:r>
              <w:rPr>
                <w:sz w:val="17"/>
                <w:szCs w:val="17"/>
              </w:rPr>
              <w:t>635 (66.63)</w:t>
            </w:r>
          </w:p>
        </w:tc>
        <w:tc>
          <w:tcPr>
            <w:tcW w:w="3120" w:type="dxa"/>
            <w:vAlign w:val="center"/>
          </w:tcPr>
          <w:p>
            <w:pPr>
              <w:pStyle w:val="TableText"/>
              <w:spacing w:before="0" w:after="0" w:line="220" w:lineRule="auto"/>
            </w:pPr>
            <w:r>
              <w:rPr>
                <w:sz w:val="17"/>
                <w:szCs w:val="17"/>
              </w:rPr>
              <w:t>641 (62.11)</w:t>
            </w:r>
          </w:p>
        </w:tc>
      </w:tr>
    </w:tbl>
    <w:p>
      <w:pPr>
        <w:spacing w:after="40"/>
      </w:pPr>
    </w:p>
    <w:p>
      <w:pPr>
        <w:pStyle w:val="Heading3"/>
        <w:keepNext/>
      </w:pPr>
      <w:r>
        <w:t>3.4 短肽：计数随库规模移动；一个头饱和</w:t>
      </w:r>
    </w:p>
    <w:p>
      <w:pPr>
        <w:pStyle w:val="Normal"/>
      </w:pPr>
      <w:r>
        <w:t xml:space="preserve">背景为健康 30,557 条、牙周炎 32,754 条短肽（逐头计数全表见补充表 S2）。源稿强调牙周炎的 </w:t>
      </w:r>
      <w:r>
        <w:rPr>
          <w:b/>
        </w:rPr>
        <w:t>计数</w:t>
      </w:r>
      <w:r>
        <w:t xml:space="preserve">：BBB（3,446）、NeuroPred（4,019）、抗 MRSA（4,728）与群体感应（12,674）（图 2b）。这四行的百分比在两组相近（表 3）。NeuroPred、抗 MRSA 与群体感应的探索性 Fisher 检验均 </w:t>
      </w:r>
      <w:r>
        <w:rPr>
          <w:i/>
        </w:rPr>
        <w:t>P</w:t>
      </w:r>
      <w:r>
        <w:t xml:space="preserve"> &gt; 0.11。广谱 </w:t>
      </w:r>
      <w:r>
        <w:rPr>
          <w:rFonts w:ascii="Consolas" w:hAnsi="Consolas" w:eastAsia="等线"/>
          <w:shd w:val="clear" w:color="auto" w:fill="F2F4F7"/>
        </w:rPr>
        <w:t>Antimicrobial_activity</w:t>
      </w:r>
      <w:r>
        <w:t xml:space="preserve"> 在两个短肽集上分别判给 99.93% 与 99.90%——这是该分类头的性质，不是口腔抗生素普查。</w:t>
      </w:r>
    </w:p>
    <w:p>
      <w:pPr>
        <w:pStyle w:val="Caption"/>
      </w:pPr>
      <w:r>
        <w:rPr>
          <w:b/>
        </w:rPr>
        <w:t>表 3.</w:t>
      </w:r>
      <w:r>
        <w:t xml:space="preserve"> 短肽高置信 UniDL4BioPep 计数选摘（背景 30,557 / 32,754）。</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模型</w:t>
            </w:r>
          </w:p>
        </w:tc>
        <w:tc>
          <w:tcPr>
            <w:tcW w:w="3120" w:type="dxa"/>
            <w:shd w:val="clear" w:color="auto" w:fill="DCE6F1"/>
            <w:vAlign w:val="center"/>
          </w:tcPr>
          <w:p>
            <w:pPr>
              <w:pStyle w:val="TableText"/>
              <w:spacing w:before="0" w:after="0" w:line="220" w:lineRule="auto"/>
            </w:pPr>
            <w:r>
              <w:rPr>
                <w:sz w:val="17"/>
                <w:szCs w:val="17"/>
              </w:rPr>
              <w:t>健康 n (%)</w:t>
            </w:r>
          </w:p>
        </w:tc>
        <w:tc>
          <w:tcPr>
            <w:tcW w:w="3120" w:type="dxa"/>
            <w:shd w:val="clear" w:color="auto" w:fill="DCE6F1"/>
            <w:vAlign w:val="center"/>
          </w:tcPr>
          <w:p>
            <w:pPr>
              <w:pStyle w:val="TableText"/>
              <w:spacing w:before="0" w:after="0" w:line="220" w:lineRule="auto"/>
            </w:pPr>
            <w:r>
              <w:rPr>
                <w:sz w:val="17"/>
                <w:szCs w:val="17"/>
              </w:rPr>
              <w:t>牙周炎 n (%)</w:t>
            </w:r>
          </w:p>
        </w:tc>
      </w:tr>
      <w:tr>
        <w:tc>
          <w:tcPr>
            <w:tcW w:w="3120" w:type="dxa"/>
            <w:vAlign w:val="center"/>
          </w:tcPr>
          <w:p>
            <w:pPr>
              <w:pStyle w:val="TableText"/>
              <w:spacing w:before="0" w:after="0" w:line="220" w:lineRule="auto"/>
            </w:pPr>
            <w:r>
              <w:rPr>
                <w:sz w:val="17"/>
                <w:szCs w:val="17"/>
              </w:rPr>
              <w:t>BBB_Peptides</w:t>
            </w:r>
          </w:p>
        </w:tc>
        <w:tc>
          <w:tcPr>
            <w:tcW w:w="3120" w:type="dxa"/>
            <w:vAlign w:val="center"/>
          </w:tcPr>
          <w:p>
            <w:pPr>
              <w:pStyle w:val="TableText"/>
              <w:spacing w:before="0" w:after="0" w:line="220" w:lineRule="auto"/>
            </w:pPr>
            <w:r>
              <w:rPr>
                <w:sz w:val="17"/>
                <w:szCs w:val="17"/>
              </w:rPr>
              <w:t>3,359 (10.99)</w:t>
            </w:r>
          </w:p>
        </w:tc>
        <w:tc>
          <w:tcPr>
            <w:tcW w:w="3120" w:type="dxa"/>
            <w:vAlign w:val="center"/>
          </w:tcPr>
          <w:p>
            <w:pPr>
              <w:pStyle w:val="TableText"/>
              <w:spacing w:before="0" w:after="0" w:line="220" w:lineRule="auto"/>
            </w:pPr>
            <w:r>
              <w:rPr>
                <w:sz w:val="17"/>
                <w:szCs w:val="17"/>
              </w:rPr>
              <w:t>3,446 (10.52)</w:t>
            </w:r>
          </w:p>
        </w:tc>
      </w:tr>
      <w:tr>
        <w:tc>
          <w:tcPr>
            <w:tcW w:w="3120" w:type="dxa"/>
            <w:vAlign w:val="center"/>
          </w:tcPr>
          <w:p>
            <w:pPr>
              <w:pStyle w:val="TableText"/>
              <w:spacing w:before="0" w:after="0" w:line="220" w:lineRule="auto"/>
            </w:pPr>
            <w:r>
              <w:rPr>
                <w:sz w:val="17"/>
                <w:szCs w:val="17"/>
              </w:rPr>
              <w:t>NeuroPred</w:t>
            </w:r>
          </w:p>
        </w:tc>
        <w:tc>
          <w:tcPr>
            <w:tcW w:w="3120" w:type="dxa"/>
            <w:vAlign w:val="center"/>
          </w:tcPr>
          <w:p>
            <w:pPr>
              <w:pStyle w:val="TableText"/>
              <w:spacing w:before="0" w:after="0" w:line="220" w:lineRule="auto"/>
            </w:pPr>
            <w:r>
              <w:rPr>
                <w:sz w:val="17"/>
                <w:szCs w:val="17"/>
              </w:rPr>
              <w:t>3,876 (12.68)</w:t>
            </w:r>
          </w:p>
        </w:tc>
        <w:tc>
          <w:tcPr>
            <w:tcW w:w="3120" w:type="dxa"/>
            <w:vAlign w:val="center"/>
          </w:tcPr>
          <w:p>
            <w:pPr>
              <w:pStyle w:val="TableText"/>
              <w:spacing w:before="0" w:after="0" w:line="220" w:lineRule="auto"/>
            </w:pPr>
            <w:r>
              <w:rPr>
                <w:sz w:val="17"/>
                <w:szCs w:val="17"/>
              </w:rPr>
              <w:t>4,019 (12.27)</w:t>
            </w:r>
          </w:p>
        </w:tc>
      </w:tr>
      <w:tr>
        <w:tc>
          <w:tcPr>
            <w:tcW w:w="3120" w:type="dxa"/>
            <w:vAlign w:val="center"/>
          </w:tcPr>
          <w:p>
            <w:pPr>
              <w:pStyle w:val="TableText"/>
              <w:spacing w:before="0" w:after="0" w:line="220" w:lineRule="auto"/>
            </w:pPr>
            <w:r>
              <w:rPr>
                <w:sz w:val="17"/>
                <w:szCs w:val="17"/>
              </w:rPr>
              <w:t>Anti-MRSA</w:t>
            </w:r>
          </w:p>
        </w:tc>
        <w:tc>
          <w:tcPr>
            <w:tcW w:w="3120" w:type="dxa"/>
            <w:vAlign w:val="center"/>
          </w:tcPr>
          <w:p>
            <w:pPr>
              <w:pStyle w:val="TableText"/>
              <w:spacing w:before="0" w:after="0" w:line="220" w:lineRule="auto"/>
            </w:pPr>
            <w:r>
              <w:rPr>
                <w:sz w:val="17"/>
                <w:szCs w:val="17"/>
              </w:rPr>
              <w:t>4,315 (14.12)</w:t>
            </w:r>
          </w:p>
        </w:tc>
        <w:tc>
          <w:tcPr>
            <w:tcW w:w="3120" w:type="dxa"/>
            <w:vAlign w:val="center"/>
          </w:tcPr>
          <w:p>
            <w:pPr>
              <w:pStyle w:val="TableText"/>
              <w:spacing w:before="0" w:after="0" w:line="220" w:lineRule="auto"/>
            </w:pPr>
            <w:r>
              <w:rPr>
                <w:sz w:val="17"/>
                <w:szCs w:val="17"/>
              </w:rPr>
              <w:t>4,728 (14.43)</w:t>
            </w:r>
          </w:p>
        </w:tc>
      </w:tr>
      <w:tr>
        <w:tc>
          <w:tcPr>
            <w:tcW w:w="3120" w:type="dxa"/>
            <w:vAlign w:val="center"/>
          </w:tcPr>
          <w:p>
            <w:pPr>
              <w:pStyle w:val="TableText"/>
              <w:spacing w:before="0" w:after="0" w:line="220" w:lineRule="auto"/>
            </w:pPr>
            <w:r>
              <w:rPr>
                <w:sz w:val="17"/>
                <w:szCs w:val="17"/>
              </w:rPr>
              <w:t>Quorum_sensing</w:t>
            </w:r>
          </w:p>
        </w:tc>
        <w:tc>
          <w:tcPr>
            <w:tcW w:w="3120" w:type="dxa"/>
            <w:vAlign w:val="center"/>
          </w:tcPr>
          <w:p>
            <w:pPr>
              <w:pStyle w:val="TableText"/>
              <w:spacing w:before="0" w:after="0" w:line="220" w:lineRule="auto"/>
            </w:pPr>
            <w:r>
              <w:rPr>
                <w:sz w:val="17"/>
                <w:szCs w:val="17"/>
              </w:rPr>
              <w:t>11,834 (38.73)</w:t>
            </w:r>
          </w:p>
        </w:tc>
        <w:tc>
          <w:tcPr>
            <w:tcW w:w="3120" w:type="dxa"/>
            <w:vAlign w:val="center"/>
          </w:tcPr>
          <w:p>
            <w:pPr>
              <w:pStyle w:val="TableText"/>
              <w:spacing w:before="0" w:after="0" w:line="220" w:lineRule="auto"/>
            </w:pPr>
            <w:r>
              <w:rPr>
                <w:sz w:val="17"/>
                <w:szCs w:val="17"/>
              </w:rPr>
              <w:t>12,674 (38.69)</w:t>
            </w:r>
          </w:p>
        </w:tc>
      </w:tr>
      <w:tr>
        <w:tc>
          <w:tcPr>
            <w:tcW w:w="3120" w:type="dxa"/>
            <w:vAlign w:val="center"/>
          </w:tcPr>
          <w:p>
            <w:pPr>
              <w:pStyle w:val="TableText"/>
              <w:spacing w:before="0" w:after="0" w:line="220" w:lineRule="auto"/>
            </w:pPr>
            <w:r>
              <w:rPr>
                <w:sz w:val="17"/>
                <w:szCs w:val="17"/>
              </w:rPr>
              <w:t>Antioxidant_FRS</w:t>
            </w:r>
          </w:p>
        </w:tc>
        <w:tc>
          <w:tcPr>
            <w:tcW w:w="3120" w:type="dxa"/>
            <w:vAlign w:val="center"/>
          </w:tcPr>
          <w:p>
            <w:pPr>
              <w:pStyle w:val="TableText"/>
              <w:spacing w:before="0" w:after="0" w:line="220" w:lineRule="auto"/>
            </w:pPr>
            <w:r>
              <w:rPr>
                <w:sz w:val="17"/>
                <w:szCs w:val="17"/>
              </w:rPr>
              <w:t>4,171 (13.65)</w:t>
            </w:r>
          </w:p>
        </w:tc>
        <w:tc>
          <w:tcPr>
            <w:tcW w:w="3120" w:type="dxa"/>
            <w:vAlign w:val="center"/>
          </w:tcPr>
          <w:p>
            <w:pPr>
              <w:pStyle w:val="TableText"/>
              <w:spacing w:before="0" w:after="0" w:line="220" w:lineRule="auto"/>
            </w:pPr>
            <w:r>
              <w:rPr>
                <w:sz w:val="17"/>
                <w:szCs w:val="17"/>
              </w:rPr>
              <w:t>4,093 (12.50)</w:t>
            </w:r>
          </w:p>
        </w:tc>
      </w:tr>
      <w:tr>
        <w:tc>
          <w:tcPr>
            <w:tcW w:w="3120" w:type="dxa"/>
            <w:vAlign w:val="center"/>
          </w:tcPr>
          <w:p>
            <w:pPr>
              <w:pStyle w:val="TableText"/>
              <w:spacing w:before="0" w:after="0" w:line="220" w:lineRule="auto"/>
            </w:pPr>
            <w:r>
              <w:rPr>
                <w:sz w:val="17"/>
                <w:szCs w:val="17"/>
              </w:rPr>
              <w:t>CPP</w:t>
            </w:r>
          </w:p>
        </w:tc>
        <w:tc>
          <w:tcPr>
            <w:tcW w:w="3120" w:type="dxa"/>
            <w:vAlign w:val="center"/>
          </w:tcPr>
          <w:p>
            <w:pPr>
              <w:pStyle w:val="TableText"/>
              <w:spacing w:before="0" w:after="0" w:line="220" w:lineRule="auto"/>
            </w:pPr>
            <w:r>
              <w:rPr>
                <w:sz w:val="17"/>
                <w:szCs w:val="17"/>
              </w:rPr>
              <w:t>4,435 (14.51)</w:t>
            </w:r>
          </w:p>
        </w:tc>
        <w:tc>
          <w:tcPr>
            <w:tcW w:w="3120" w:type="dxa"/>
            <w:vAlign w:val="center"/>
          </w:tcPr>
          <w:p>
            <w:pPr>
              <w:pStyle w:val="TableText"/>
              <w:spacing w:before="0" w:after="0" w:line="220" w:lineRule="auto"/>
            </w:pPr>
            <w:r>
              <w:rPr>
                <w:sz w:val="17"/>
                <w:szCs w:val="17"/>
              </w:rPr>
              <w:t>4,133 (12.62)</w:t>
            </w:r>
          </w:p>
        </w:tc>
      </w:tr>
      <w:tr>
        <w:tc>
          <w:tcPr>
            <w:tcW w:w="3120" w:type="dxa"/>
            <w:vAlign w:val="center"/>
          </w:tcPr>
          <w:p>
            <w:pPr>
              <w:pStyle w:val="TableText"/>
              <w:spacing w:before="0" w:after="0" w:line="220" w:lineRule="auto"/>
            </w:pPr>
            <w:r>
              <w:rPr>
                <w:sz w:val="17"/>
                <w:szCs w:val="17"/>
              </w:rPr>
              <w:t>Antimicrobial_activity</w:t>
            </w:r>
          </w:p>
        </w:tc>
        <w:tc>
          <w:tcPr>
            <w:tcW w:w="3120" w:type="dxa"/>
            <w:vAlign w:val="center"/>
          </w:tcPr>
          <w:p>
            <w:pPr>
              <w:pStyle w:val="TableText"/>
              <w:spacing w:before="0" w:after="0" w:line="220" w:lineRule="auto"/>
            </w:pPr>
            <w:r>
              <w:rPr>
                <w:sz w:val="17"/>
                <w:szCs w:val="17"/>
              </w:rPr>
              <w:t>30,537 (99.93)</w:t>
            </w:r>
          </w:p>
        </w:tc>
        <w:tc>
          <w:tcPr>
            <w:tcW w:w="3120" w:type="dxa"/>
            <w:vAlign w:val="center"/>
          </w:tcPr>
          <w:p>
            <w:pPr>
              <w:pStyle w:val="TableText"/>
              <w:spacing w:before="0" w:after="0" w:line="220" w:lineRule="auto"/>
            </w:pPr>
            <w:r>
              <w:rPr>
                <w:sz w:val="17"/>
                <w:szCs w:val="17"/>
              </w:rPr>
              <w:t>32,721 (99.90)</w:t>
            </w:r>
          </w:p>
        </w:tc>
      </w:tr>
    </w:tbl>
    <w:p>
      <w:pPr>
        <w:spacing w:after="40"/>
      </w:pPr>
    </w:p>
    <w:p>
      <w:pPr>
        <w:pStyle w:val="Heading3"/>
        <w:keepNext/>
      </w:pPr>
      <w:r>
        <w:t>3.5 BBB 集以 8–15 aa 为主</w:t>
      </w:r>
    </w:p>
    <w:p>
      <w:pPr>
        <w:pStyle w:val="Normal"/>
      </w:pPr>
      <w:r>
        <w:t>把牙周炎导向合并库限制到 BBB ≥ 0.8，得 3,518 条：短肽 3,446、长肽 72。短肽 BBB 集中 2,893 条（83.95%）为 8–15 aa，547 条为 5–7 aa，6 条为 16–30 aa（图 4）。全部 72 条长肽位于 31–50 aa。AD 导向的湿实验名单因此以 8–15 肽化学为主；十二条对接候选（7–9 aa）恰好落在该主峰内。</w:t>
      </w:r>
    </w:p>
    <w:p>
      <w:pPr>
        <w:pStyle w:val="Heading3"/>
        <w:keepNext/>
      </w:pPr>
      <w:r>
        <w:t>3.6 三个模型把 3,518 条塌缩到 12 条（8 条）——序列现已公开</w:t>
      </w:r>
    </w:p>
    <w:p>
      <w:pPr>
        <w:pStyle w:val="Normal"/>
      </w:pPr>
      <w:r>
        <w:t xml:space="preserve">3,518 条 BBB 肽进入 NTxPred2、mebipred 与 AnOxPePred（表 4；图 3）。NTxPred2 不接收短于 7 aa 的序列，故 219 条被跳过、3,299 条被打分；923 条判为神经毒性，全部 ≤ 30 aa。mebipred 阈值 0.5 标出 111 条 Cu/Fe/Zn 阳性肽并送入 AnOxPePred。三批 </w:t>
      </w:r>
      <w:r>
        <w:rPr>
          <w:rFonts w:ascii="Consolas" w:hAnsi="Consolas" w:eastAsia="等线"/>
          <w:shd w:val="clear" w:color="auto" w:fill="F2F4F7"/>
        </w:rPr>
        <w:t>Chelator_All.txt</w:t>
      </w:r>
      <w:r>
        <w:t xml:space="preserve"> 与 </w:t>
      </w:r>
      <w:r>
        <w:rPr>
          <w:rFonts w:ascii="Consolas" w:hAnsi="Consolas" w:eastAsia="等线"/>
          <w:shd w:val="clear" w:color="auto" w:fill="F2F4F7"/>
        </w:rPr>
        <w:t>Scavenger_All.txt</w:t>
      </w:r>
      <w:r>
        <w:t xml:space="preserve"> 按 SeqID 合并。CHEL ≥ 0.25 选出 15 条；加 FRS &lt; 0.50 留下 </w:t>
      </w:r>
      <w:r>
        <w:rPr>
          <w:b/>
        </w:rPr>
        <w:t>主候选 12 条</w:t>
      </w:r>
      <w:r>
        <w:t xml:space="preserve">；收紧到 FRS &lt; 0.45 留下 </w:t>
      </w:r>
      <w:r>
        <w:rPr>
          <w:b/>
        </w:rPr>
        <w:t>高置信 8 条</w:t>
      </w:r>
      <w:r>
        <w:t>。</w:t>
      </w:r>
    </w:p>
    <w:p>
      <w:pPr>
        <w:pStyle w:val="Normal"/>
      </w:pPr>
      <w:r>
        <w:t>作者提供了十二条序列（表 5 第 2 列）。它们为 7–9 残基、富亮氨酸（每条 ≥ 2 个亮氨酸）、以碱性为主（12 条均含 ≥ 1 个 Arg/Lys；无一含 Asp/Glu），11/12 含 His、6/12 含 Cys。该组成正是选出它们的金属结合过滤器的 His/Cys 锚定化学，并与 tau26–44 模板的 His 依赖 Cu(II) 配位平行 [27]。</w:t>
      </w:r>
    </w:p>
    <w:p>
      <w:pPr>
        <w:pStyle w:val="Caption"/>
      </w:pPr>
      <w:r>
        <w:rPr>
          <w:b/>
        </w:rPr>
        <w:t>表 4.</w:t>
      </w:r>
      <w:r>
        <w:t xml:space="preserve"> 三模型漏斗。</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阶段</w:t>
            </w:r>
          </w:p>
        </w:tc>
        <w:tc>
          <w:tcPr>
            <w:tcW w:w="3120" w:type="dxa"/>
            <w:shd w:val="clear" w:color="auto" w:fill="DCE6F1"/>
            <w:vAlign w:val="center"/>
          </w:tcPr>
          <w:p>
            <w:pPr>
              <w:pStyle w:val="TableText"/>
              <w:spacing w:before="0" w:after="0" w:line="220" w:lineRule="auto"/>
            </w:pPr>
            <w:r>
              <w:rPr>
                <w:sz w:val="17"/>
                <w:szCs w:val="17"/>
              </w:rPr>
              <w:t>规则</w:t>
            </w:r>
          </w:p>
        </w:tc>
        <w:tc>
          <w:tcPr>
            <w:tcW w:w="3120" w:type="dxa"/>
            <w:shd w:val="clear" w:color="auto" w:fill="DCE6F1"/>
            <w:vAlign w:val="center"/>
          </w:tcPr>
          <w:p>
            <w:pPr>
              <w:pStyle w:val="TableText"/>
              <w:spacing w:before="0" w:after="0" w:line="220" w:lineRule="auto"/>
            </w:pPr>
            <w:r>
              <w:rPr>
                <w:sz w:val="17"/>
                <w:szCs w:val="17"/>
              </w:rPr>
              <w:t>n</w:t>
            </w:r>
          </w:p>
        </w:tc>
      </w:tr>
      <w:tr>
        <w:tc>
          <w:tcPr>
            <w:tcW w:w="3120" w:type="dxa"/>
            <w:vAlign w:val="center"/>
          </w:tcPr>
          <w:p>
            <w:pPr>
              <w:pStyle w:val="TableText"/>
              <w:spacing w:before="0" w:after="0" w:line="220" w:lineRule="auto"/>
            </w:pPr>
            <w:r>
              <w:rPr>
                <w:sz w:val="17"/>
                <w:szCs w:val="17"/>
              </w:rPr>
              <w:t>BBB 短肽</w:t>
            </w:r>
          </w:p>
        </w:tc>
        <w:tc>
          <w:tcPr>
            <w:tcW w:w="3120" w:type="dxa"/>
            <w:vAlign w:val="center"/>
          </w:tcPr>
          <w:p>
            <w:pPr>
              <w:pStyle w:val="TableText"/>
              <w:spacing w:before="0" w:after="0" w:line="220" w:lineRule="auto"/>
            </w:pPr>
            <w:r>
              <w:rPr>
                <w:sz w:val="17"/>
                <w:szCs w:val="17"/>
              </w:rPr>
              <w:t>BBB ≥ 0.8，5–30 aa</w:t>
            </w:r>
          </w:p>
        </w:tc>
        <w:tc>
          <w:tcPr>
            <w:tcW w:w="3120" w:type="dxa"/>
            <w:vAlign w:val="center"/>
          </w:tcPr>
          <w:p>
            <w:pPr>
              <w:pStyle w:val="TableText"/>
              <w:spacing w:before="0" w:after="0" w:line="220" w:lineRule="auto"/>
            </w:pPr>
            <w:r>
              <w:rPr>
                <w:sz w:val="17"/>
                <w:szCs w:val="17"/>
              </w:rPr>
              <w:t>3,446</w:t>
            </w:r>
          </w:p>
        </w:tc>
      </w:tr>
      <w:tr>
        <w:tc>
          <w:tcPr>
            <w:tcW w:w="3120" w:type="dxa"/>
            <w:vAlign w:val="center"/>
          </w:tcPr>
          <w:p>
            <w:pPr>
              <w:pStyle w:val="TableText"/>
              <w:spacing w:before="0" w:after="0" w:line="220" w:lineRule="auto"/>
            </w:pPr>
            <w:r>
              <w:rPr>
                <w:sz w:val="17"/>
                <w:szCs w:val="17"/>
              </w:rPr>
              <w:t>BBB 长肽</w:t>
            </w:r>
          </w:p>
        </w:tc>
        <w:tc>
          <w:tcPr>
            <w:tcW w:w="3120" w:type="dxa"/>
            <w:vAlign w:val="center"/>
          </w:tcPr>
          <w:p>
            <w:pPr>
              <w:pStyle w:val="TableText"/>
              <w:spacing w:before="0" w:after="0" w:line="220" w:lineRule="auto"/>
            </w:pPr>
            <w:r>
              <w:rPr>
                <w:sz w:val="17"/>
                <w:szCs w:val="17"/>
              </w:rPr>
              <w:t>BBB ≥ 0.8，31–50 aa</w:t>
            </w:r>
          </w:p>
        </w:tc>
        <w:tc>
          <w:tcPr>
            <w:tcW w:w="3120" w:type="dxa"/>
            <w:vAlign w:val="center"/>
          </w:tcPr>
          <w:p>
            <w:pPr>
              <w:pStyle w:val="TableText"/>
              <w:spacing w:before="0" w:after="0" w:line="220" w:lineRule="auto"/>
            </w:pPr>
            <w:r>
              <w:rPr>
                <w:sz w:val="17"/>
                <w:szCs w:val="17"/>
              </w:rPr>
              <w:t>72</w:t>
            </w:r>
          </w:p>
        </w:tc>
      </w:tr>
      <w:tr>
        <w:tc>
          <w:tcPr>
            <w:tcW w:w="3120" w:type="dxa"/>
            <w:vAlign w:val="center"/>
          </w:tcPr>
          <w:p>
            <w:pPr>
              <w:pStyle w:val="TableText"/>
              <w:spacing w:before="0" w:after="0" w:line="220" w:lineRule="auto"/>
            </w:pPr>
            <w:r>
              <w:rPr>
                <w:sz w:val="17"/>
                <w:szCs w:val="17"/>
              </w:rPr>
              <w:t>BBB 合计</w:t>
            </w:r>
          </w:p>
        </w:tc>
        <w:tc>
          <w:tcPr>
            <w:tcW w:w="3120" w:type="dxa"/>
            <w:vAlign w:val="center"/>
          </w:tcPr>
          <w:p>
            <w:pPr>
              <w:pStyle w:val="TableText"/>
              <w:spacing w:before="0" w:after="0" w:line="220" w:lineRule="auto"/>
            </w:pPr>
            <w:r>
              <w:rPr>
                <w:sz w:val="17"/>
                <w:szCs w:val="17"/>
              </w:rPr>
              <w:t>BBB ≥ 0.8</w:t>
            </w:r>
          </w:p>
        </w:tc>
        <w:tc>
          <w:tcPr>
            <w:tcW w:w="3120" w:type="dxa"/>
            <w:vAlign w:val="center"/>
          </w:tcPr>
          <w:p>
            <w:pPr>
              <w:pStyle w:val="TableText"/>
              <w:spacing w:before="0" w:after="0" w:line="220" w:lineRule="auto"/>
            </w:pPr>
            <w:r>
              <w:rPr>
                <w:sz w:val="17"/>
                <w:szCs w:val="17"/>
              </w:rPr>
              <w:t>3,518</w:t>
            </w:r>
          </w:p>
        </w:tc>
      </w:tr>
      <w:tr>
        <w:tc>
          <w:tcPr>
            <w:tcW w:w="3120" w:type="dxa"/>
            <w:vAlign w:val="center"/>
          </w:tcPr>
          <w:p>
            <w:pPr>
              <w:pStyle w:val="TableText"/>
              <w:spacing w:before="0" w:after="0" w:line="220" w:lineRule="auto"/>
            </w:pPr>
            <w:r>
              <w:rPr>
                <w:sz w:val="17"/>
                <w:szCs w:val="17"/>
              </w:rPr>
              <w:t>NTxPred2 输出</w:t>
            </w:r>
          </w:p>
        </w:tc>
        <w:tc>
          <w:tcPr>
            <w:tcW w:w="3120" w:type="dxa"/>
            <w:vAlign w:val="center"/>
          </w:tcPr>
          <w:p>
            <w:pPr>
              <w:pStyle w:val="TableText"/>
              <w:spacing w:before="0" w:after="0" w:line="220" w:lineRule="auto"/>
            </w:pPr>
            <w:r>
              <w:rPr>
                <w:sz w:val="17"/>
                <w:szCs w:val="17"/>
              </w:rPr>
              <w:t>被打分序列</w:t>
            </w:r>
          </w:p>
        </w:tc>
        <w:tc>
          <w:tcPr>
            <w:tcW w:w="3120" w:type="dxa"/>
            <w:vAlign w:val="center"/>
          </w:tcPr>
          <w:p>
            <w:pPr>
              <w:pStyle w:val="TableText"/>
              <w:spacing w:before="0" w:after="0" w:line="220" w:lineRule="auto"/>
            </w:pPr>
            <w:r>
              <w:rPr>
                <w:sz w:val="17"/>
                <w:szCs w:val="17"/>
              </w:rPr>
              <w:t>3,299</w:t>
            </w:r>
          </w:p>
        </w:tc>
      </w:tr>
      <w:tr>
        <w:tc>
          <w:tcPr>
            <w:tcW w:w="3120" w:type="dxa"/>
            <w:vAlign w:val="center"/>
          </w:tcPr>
          <w:p>
            <w:pPr>
              <w:pStyle w:val="TableText"/>
              <w:spacing w:before="0" w:after="0" w:line="220" w:lineRule="auto"/>
            </w:pPr>
            <w:r>
              <w:rPr>
                <w:sz w:val="17"/>
                <w:szCs w:val="17"/>
              </w:rPr>
              <w:t>神经毒性</w:t>
            </w:r>
          </w:p>
        </w:tc>
        <w:tc>
          <w:tcPr>
            <w:tcW w:w="3120" w:type="dxa"/>
            <w:vAlign w:val="center"/>
          </w:tcPr>
          <w:p>
            <w:pPr>
              <w:pStyle w:val="TableText"/>
              <w:spacing w:before="0" w:after="0" w:line="220" w:lineRule="auto"/>
            </w:pPr>
            <w:r>
              <w:rPr>
                <w:sz w:val="17"/>
                <w:szCs w:val="17"/>
              </w:rPr>
              <w:t>NTxPred2 = 神经毒性（全部 ≤ 30 aa）</w:t>
            </w:r>
          </w:p>
        </w:tc>
        <w:tc>
          <w:tcPr>
            <w:tcW w:w="3120" w:type="dxa"/>
            <w:vAlign w:val="center"/>
          </w:tcPr>
          <w:p>
            <w:pPr>
              <w:pStyle w:val="TableText"/>
              <w:spacing w:before="0" w:after="0" w:line="220" w:lineRule="auto"/>
            </w:pPr>
            <w:r>
              <w:rPr>
                <w:sz w:val="17"/>
                <w:szCs w:val="17"/>
              </w:rPr>
              <w:t>923</w:t>
            </w:r>
          </w:p>
        </w:tc>
      </w:tr>
      <w:tr>
        <w:tc>
          <w:tcPr>
            <w:tcW w:w="3120" w:type="dxa"/>
            <w:vAlign w:val="center"/>
          </w:tcPr>
          <w:p>
            <w:pPr>
              <w:pStyle w:val="TableText"/>
              <w:spacing w:before="0" w:after="0" w:line="220" w:lineRule="auto"/>
            </w:pPr>
            <w:r>
              <w:rPr>
                <w:sz w:val="17"/>
                <w:szCs w:val="17"/>
              </w:rPr>
              <w:t>Cu/Fe/Zn 结合</w:t>
            </w:r>
          </w:p>
        </w:tc>
        <w:tc>
          <w:tcPr>
            <w:tcW w:w="3120" w:type="dxa"/>
            <w:vAlign w:val="center"/>
          </w:tcPr>
          <w:p>
            <w:pPr>
              <w:pStyle w:val="TableText"/>
              <w:spacing w:before="0" w:after="0" w:line="220" w:lineRule="auto"/>
            </w:pPr>
            <w:r>
              <w:rPr>
                <w:sz w:val="17"/>
                <w:szCs w:val="17"/>
              </w:rPr>
              <w:t>mebipred 0.5</w:t>
            </w:r>
          </w:p>
        </w:tc>
        <w:tc>
          <w:tcPr>
            <w:tcW w:w="3120" w:type="dxa"/>
            <w:vAlign w:val="center"/>
          </w:tcPr>
          <w:p>
            <w:pPr>
              <w:pStyle w:val="TableText"/>
              <w:spacing w:before="0" w:after="0" w:line="220" w:lineRule="auto"/>
            </w:pPr>
            <w:r>
              <w:rPr>
                <w:sz w:val="17"/>
                <w:szCs w:val="17"/>
              </w:rPr>
              <w:t>111</w:t>
            </w:r>
          </w:p>
        </w:tc>
      </w:tr>
      <w:tr>
        <w:tc>
          <w:tcPr>
            <w:tcW w:w="3120" w:type="dxa"/>
            <w:vAlign w:val="center"/>
          </w:tcPr>
          <w:p>
            <w:pPr>
              <w:pStyle w:val="TableText"/>
              <w:spacing w:before="0" w:after="0" w:line="220" w:lineRule="auto"/>
            </w:pPr>
            <w:r>
              <w:rPr>
                <w:sz w:val="17"/>
                <w:szCs w:val="17"/>
              </w:rPr>
              <w:t>CHEL ≥ 0.25</w:t>
            </w:r>
          </w:p>
        </w:tc>
        <w:tc>
          <w:tcPr>
            <w:tcW w:w="3120" w:type="dxa"/>
            <w:vAlign w:val="center"/>
          </w:tcPr>
          <w:p>
            <w:pPr>
              <w:pStyle w:val="TableText"/>
              <w:spacing w:before="0" w:after="0" w:line="220" w:lineRule="auto"/>
            </w:pPr>
            <w:r>
              <w:rPr>
                <w:sz w:val="17"/>
                <w:szCs w:val="17"/>
              </w:rPr>
              <w:t>AnOxPePred</w:t>
            </w:r>
          </w:p>
        </w:tc>
        <w:tc>
          <w:tcPr>
            <w:tcW w:w="3120" w:type="dxa"/>
            <w:vAlign w:val="center"/>
          </w:tcPr>
          <w:p>
            <w:pPr>
              <w:pStyle w:val="TableText"/>
              <w:spacing w:before="0" w:after="0" w:line="220" w:lineRule="auto"/>
            </w:pPr>
            <w:r>
              <w:rPr>
                <w:sz w:val="17"/>
                <w:szCs w:val="17"/>
              </w:rPr>
              <w:t>15</w:t>
            </w:r>
          </w:p>
        </w:tc>
      </w:tr>
      <w:tr>
        <w:tc>
          <w:tcPr>
            <w:tcW w:w="3120" w:type="dxa"/>
            <w:vAlign w:val="center"/>
          </w:tcPr>
          <w:p>
            <w:pPr>
              <w:pStyle w:val="TableText"/>
              <w:spacing w:before="0" w:after="0" w:line="220" w:lineRule="auto"/>
            </w:pPr>
            <w:r>
              <w:rPr>
                <w:sz w:val="17"/>
                <w:szCs w:val="17"/>
              </w:rPr>
              <w:t>主集</w:t>
            </w:r>
          </w:p>
        </w:tc>
        <w:tc>
          <w:tcPr>
            <w:tcW w:w="3120" w:type="dxa"/>
            <w:vAlign w:val="center"/>
          </w:tcPr>
          <w:p>
            <w:pPr>
              <w:pStyle w:val="TableText"/>
              <w:spacing w:before="0" w:after="0" w:line="220" w:lineRule="auto"/>
            </w:pPr>
            <w:r>
              <w:rPr>
                <w:sz w:val="17"/>
                <w:szCs w:val="17"/>
              </w:rPr>
              <w:t>CHEL ≥ 0.25 且 FRS &lt; 0.50</w:t>
            </w:r>
          </w:p>
        </w:tc>
        <w:tc>
          <w:tcPr>
            <w:tcW w:w="3120" w:type="dxa"/>
            <w:vAlign w:val="center"/>
          </w:tcPr>
          <w:p>
            <w:pPr>
              <w:pStyle w:val="TableText"/>
              <w:spacing w:before="0" w:after="0" w:line="220" w:lineRule="auto"/>
            </w:pPr>
            <w:r>
              <w:rPr>
                <w:b/>
                <w:sz w:val="17"/>
                <w:szCs w:val="17"/>
              </w:rPr>
              <w:t>12</w:t>
            </w:r>
          </w:p>
        </w:tc>
      </w:tr>
      <w:tr>
        <w:tc>
          <w:tcPr>
            <w:tcW w:w="3120" w:type="dxa"/>
            <w:vAlign w:val="center"/>
          </w:tcPr>
          <w:p>
            <w:pPr>
              <w:pStyle w:val="TableText"/>
              <w:spacing w:before="0" w:after="0" w:line="220" w:lineRule="auto"/>
            </w:pPr>
            <w:r>
              <w:rPr>
                <w:sz w:val="17"/>
                <w:szCs w:val="17"/>
              </w:rPr>
              <w:t>高置信子集</w:t>
            </w:r>
          </w:p>
        </w:tc>
        <w:tc>
          <w:tcPr>
            <w:tcW w:w="3120" w:type="dxa"/>
            <w:vAlign w:val="center"/>
          </w:tcPr>
          <w:p>
            <w:pPr>
              <w:pStyle w:val="TableText"/>
              <w:spacing w:before="0" w:after="0" w:line="220" w:lineRule="auto"/>
            </w:pPr>
            <w:r>
              <w:rPr>
                <w:sz w:val="17"/>
                <w:szCs w:val="17"/>
              </w:rPr>
              <w:t>CHEL ≥ 0.25 且 FRS &lt; 0.45</w:t>
            </w:r>
          </w:p>
        </w:tc>
        <w:tc>
          <w:tcPr>
            <w:tcW w:w="3120" w:type="dxa"/>
            <w:vAlign w:val="center"/>
          </w:tcPr>
          <w:p>
            <w:pPr>
              <w:pStyle w:val="TableText"/>
              <w:spacing w:before="0" w:after="0" w:line="220" w:lineRule="auto"/>
            </w:pPr>
            <w:r>
              <w:rPr>
                <w:b/>
                <w:sz w:val="17"/>
                <w:szCs w:val="17"/>
              </w:rPr>
              <w:t>8</w:t>
            </w:r>
          </w:p>
        </w:tc>
      </w:tr>
    </w:tbl>
    <w:p>
      <w:pPr>
        <w:spacing w:after="40"/>
      </w:pPr>
    </w:p>
    <w:p>
      <w:pPr>
        <w:pStyle w:val="Normal"/>
      </w:pPr>
      <w:r>
        <w:t>八条高置信子集在十二条序列中的归属：</w:t>
      </w:r>
      <w:r>
        <w:rPr>
          <w:rFonts w:ascii="Consolas" w:hAnsi="Consolas" w:eastAsia="等线"/>
          <w:shd w:val="clear" w:color="auto" w:fill="F2F4F7"/>
        </w:rPr>
        <w:t>AUTHOR_INPUT_NEEDED</w:t>
      </w:r>
      <w:r>
        <w:t>（更严格 FRS 阈值在上游应用；子集标签未随序列存档）。</w:t>
      </w:r>
    </w:p>
    <w:p>
      <w:pPr>
        <w:pStyle w:val="Heading3"/>
        <w:keepNext/>
      </w:pPr>
      <w:r>
        <w:t>3.7 PAS 聚焦对接：十二条候选全部占据人 AChE 的 PAS–峡部界面</w:t>
      </w:r>
    </w:p>
    <w:p>
      <w:pPr>
        <w:pStyle w:val="Normal"/>
      </w:pPr>
      <w:r>
        <w:t>十二条主候选以 AutoDock Vina 1.2.5 对接到以 4EY6 [8] PAS 为中心的 40 × 40 × 40 Å³ 盒子。每条肽的最优构象都完整位于盒内——没有构象在盒边被截断——说明 PAS 聚焦搜索空间对这些 7–9 肽足够大。Vina 打分跨度 −8.25 至 −9.60 kcal/mol，运行间离散很小（SD 0.04–0.12），提示一致的结合解而非平坦能量面（表 5；图 5）。</w:t>
      </w:r>
    </w:p>
    <w:p>
      <w:pPr>
        <w:pStyle w:val="Caption"/>
      </w:pPr>
      <w:r>
        <w:rPr>
          <w:b/>
        </w:rPr>
        <w:t>表 5.</w:t>
      </w:r>
      <w:r>
        <w:t xml:space="preserve"> 十二条主候选：序列、金属相关组成与对 4EY6 的 PAS 聚焦 Vina 对接打分。</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040"/>
        <w:gridCol w:w="1040"/>
        <w:gridCol w:w="1040"/>
        <w:gridCol w:w="1040"/>
        <w:gridCol w:w="1040"/>
        <w:gridCol w:w="1040"/>
        <w:gridCol w:w="1040"/>
        <w:gridCol w:w="1040"/>
        <w:gridCol w:w="1040"/>
      </w:tblGrid>
      <w:tr>
        <w:trPr>
          <w:tblHeader/>
        </w:trPr>
        <w:tc>
          <w:tcPr>
            <w:tcW w:w="1040" w:type="dxa"/>
            <w:shd w:val="clear" w:color="auto" w:fill="DCE6F1"/>
            <w:vAlign w:val="center"/>
          </w:tcPr>
          <w:p>
            <w:pPr>
              <w:pStyle w:val="TableText"/>
              <w:spacing w:before="0" w:after="0" w:line="220" w:lineRule="auto"/>
            </w:pPr>
            <w:r>
              <w:rPr>
                <w:sz w:val="17"/>
                <w:szCs w:val="17"/>
              </w:rPr>
              <w:t>排名</w:t>
            </w:r>
          </w:p>
        </w:tc>
        <w:tc>
          <w:tcPr>
            <w:tcW w:w="1040" w:type="dxa"/>
            <w:shd w:val="clear" w:color="auto" w:fill="DCE6F1"/>
            <w:vAlign w:val="center"/>
          </w:tcPr>
          <w:p>
            <w:pPr>
              <w:pStyle w:val="TableText"/>
              <w:spacing w:before="0" w:after="0" w:line="220" w:lineRule="auto"/>
            </w:pPr>
            <w:r>
              <w:rPr>
                <w:sz w:val="17"/>
                <w:szCs w:val="17"/>
              </w:rPr>
              <w:t>肽 ID</w:t>
            </w:r>
          </w:p>
        </w:tc>
        <w:tc>
          <w:tcPr>
            <w:tcW w:w="1040" w:type="dxa"/>
            <w:shd w:val="clear" w:color="auto" w:fill="DCE6F1"/>
            <w:vAlign w:val="center"/>
          </w:tcPr>
          <w:p>
            <w:pPr>
              <w:pStyle w:val="TableText"/>
              <w:spacing w:before="0" w:after="0" w:line="220" w:lineRule="auto"/>
            </w:pPr>
            <w:r>
              <w:rPr>
                <w:sz w:val="17"/>
                <w:szCs w:val="17"/>
              </w:rPr>
              <w:t>序列</w:t>
            </w:r>
          </w:p>
        </w:tc>
        <w:tc>
          <w:tcPr>
            <w:tcW w:w="1040" w:type="dxa"/>
            <w:shd w:val="clear" w:color="auto" w:fill="DCE6F1"/>
            <w:vAlign w:val="center"/>
          </w:tcPr>
          <w:p>
            <w:pPr>
              <w:pStyle w:val="TableText"/>
              <w:spacing w:before="0" w:after="0" w:line="220" w:lineRule="auto"/>
            </w:pPr>
            <w:r>
              <w:rPr>
                <w:sz w:val="17"/>
                <w:szCs w:val="17"/>
              </w:rPr>
              <w:t>长度 (aa)</w:t>
            </w:r>
          </w:p>
        </w:tc>
        <w:tc>
          <w:tcPr>
            <w:tcW w:w="1040" w:type="dxa"/>
            <w:shd w:val="clear" w:color="auto" w:fill="DCE6F1"/>
            <w:vAlign w:val="center"/>
          </w:tcPr>
          <w:p>
            <w:pPr>
              <w:pStyle w:val="TableText"/>
              <w:spacing w:before="0" w:after="0" w:line="220" w:lineRule="auto"/>
            </w:pPr>
            <w:r>
              <w:rPr>
                <w:sz w:val="17"/>
                <w:szCs w:val="17"/>
              </w:rPr>
              <w:t>His</w:t>
            </w:r>
          </w:p>
        </w:tc>
        <w:tc>
          <w:tcPr>
            <w:tcW w:w="1040" w:type="dxa"/>
            <w:shd w:val="clear" w:color="auto" w:fill="DCE6F1"/>
            <w:vAlign w:val="center"/>
          </w:tcPr>
          <w:p>
            <w:pPr>
              <w:pStyle w:val="TableText"/>
              <w:spacing w:before="0" w:after="0" w:line="220" w:lineRule="auto"/>
            </w:pPr>
            <w:r>
              <w:rPr>
                <w:sz w:val="17"/>
                <w:szCs w:val="17"/>
              </w:rPr>
              <w:t>Cys</w:t>
            </w:r>
          </w:p>
        </w:tc>
        <w:tc>
          <w:tcPr>
            <w:tcW w:w="1040" w:type="dxa"/>
            <w:shd w:val="clear" w:color="auto" w:fill="DCE6F1"/>
            <w:vAlign w:val="center"/>
          </w:tcPr>
          <w:p>
            <w:pPr>
              <w:pStyle w:val="TableText"/>
              <w:spacing w:before="0" w:after="0" w:line="220" w:lineRule="auto"/>
            </w:pPr>
            <w:r>
              <w:rPr>
                <w:sz w:val="17"/>
                <w:szCs w:val="17"/>
              </w:rPr>
              <w:t>Arg+Lys</w:t>
            </w:r>
          </w:p>
        </w:tc>
        <w:tc>
          <w:tcPr>
            <w:tcW w:w="1040" w:type="dxa"/>
            <w:shd w:val="clear" w:color="auto" w:fill="DCE6F1"/>
            <w:vAlign w:val="center"/>
          </w:tcPr>
          <w:p>
            <w:pPr>
              <w:pStyle w:val="TableText"/>
              <w:spacing w:before="0" w:after="0" w:line="220" w:lineRule="auto"/>
            </w:pPr>
            <w:r>
              <w:rPr>
                <w:sz w:val="17"/>
                <w:szCs w:val="17"/>
              </w:rPr>
              <w:t>芳香 (F/Y/W)</w:t>
            </w:r>
          </w:p>
        </w:tc>
        <w:tc>
          <w:tcPr>
            <w:tcW w:w="1040" w:type="dxa"/>
            <w:shd w:val="clear" w:color="auto" w:fill="DCE6F1"/>
            <w:vAlign w:val="center"/>
          </w:tcPr>
          <w:p>
            <w:pPr>
              <w:pStyle w:val="TableText"/>
              <w:spacing w:before="0" w:after="0" w:line="220" w:lineRule="auto"/>
            </w:pPr>
            <w:r>
              <w:rPr>
                <w:sz w:val="17"/>
                <w:szCs w:val="17"/>
              </w:rPr>
              <w:t>Vina 打分 mean ± SD (kcal/mol)</w:t>
            </w:r>
          </w:p>
        </w:tc>
      </w:tr>
      <w:tr>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fllhttr</w:t>
            </w:r>
          </w:p>
        </w:tc>
        <w:tc>
          <w:tcPr>
            <w:tcW w:w="1040" w:type="dxa"/>
            <w:vAlign w:val="center"/>
          </w:tcPr>
          <w:p>
            <w:pPr>
              <w:pStyle w:val="TableText"/>
              <w:spacing w:before="0" w:after="0" w:line="220" w:lineRule="auto"/>
            </w:pPr>
            <w:r>
              <w:rPr>
                <w:sz w:val="17"/>
                <w:szCs w:val="17"/>
              </w:rPr>
              <w:t>FLLHTTR</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(F)</w:t>
            </w:r>
          </w:p>
        </w:tc>
        <w:tc>
          <w:tcPr>
            <w:tcW w:w="1040" w:type="dxa"/>
            <w:vAlign w:val="center"/>
          </w:tcPr>
          <w:p>
            <w:pPr>
              <w:pStyle w:val="TableText"/>
              <w:spacing w:before="0" w:after="0" w:line="220" w:lineRule="auto"/>
            </w:pPr>
            <w:r>
              <w:rPr>
                <w:b/>
                <w:sz w:val="17"/>
                <w:szCs w:val="17"/>
              </w:rPr>
              <w:t>−9.60 ± 0.08</w:t>
            </w:r>
          </w:p>
        </w:tc>
      </w:tr>
      <w:tr>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ylsllqr</w:t>
            </w:r>
          </w:p>
        </w:tc>
        <w:tc>
          <w:tcPr>
            <w:tcW w:w="1040" w:type="dxa"/>
            <w:vAlign w:val="center"/>
          </w:tcPr>
          <w:p>
            <w:pPr>
              <w:pStyle w:val="TableText"/>
              <w:spacing w:before="0" w:after="0" w:line="220" w:lineRule="auto"/>
            </w:pPr>
            <w:r>
              <w:rPr>
                <w:sz w:val="17"/>
                <w:szCs w:val="17"/>
              </w:rPr>
              <w:t>YLSLLQR</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(Y)</w:t>
            </w:r>
          </w:p>
        </w:tc>
        <w:tc>
          <w:tcPr>
            <w:tcW w:w="1040" w:type="dxa"/>
            <w:vAlign w:val="center"/>
          </w:tcPr>
          <w:p>
            <w:pPr>
              <w:pStyle w:val="TableText"/>
              <w:spacing w:before="0" w:after="0" w:line="220" w:lineRule="auto"/>
            </w:pPr>
            <w:r>
              <w:rPr>
                <w:sz w:val="17"/>
                <w:szCs w:val="17"/>
              </w:rPr>
              <w:t>−9.49 ± 0.05</w:t>
            </w:r>
          </w:p>
        </w:tc>
      </w:tr>
      <w:tr>
        <w:tc>
          <w:tcPr>
            <w:tcW w:w="1040" w:type="dxa"/>
            <w:vAlign w:val="center"/>
          </w:tcPr>
          <w:p>
            <w:pPr>
              <w:pStyle w:val="TableText"/>
              <w:spacing w:before="0" w:after="0" w:line="220" w:lineRule="auto"/>
            </w:pPr>
            <w:r>
              <w:rPr>
                <w:sz w:val="17"/>
                <w:szCs w:val="17"/>
              </w:rPr>
              <w:t>3</w:t>
            </w:r>
          </w:p>
        </w:tc>
        <w:tc>
          <w:tcPr>
            <w:tcW w:w="1040" w:type="dxa"/>
            <w:vAlign w:val="center"/>
          </w:tcPr>
          <w:p>
            <w:pPr>
              <w:pStyle w:val="TableText"/>
              <w:spacing w:before="0" w:after="0" w:line="220" w:lineRule="auto"/>
            </w:pPr>
            <w:r>
              <w:rPr>
                <w:sz w:val="17"/>
                <w:szCs w:val="17"/>
              </w:rPr>
              <w:t>alllhrc</w:t>
            </w:r>
          </w:p>
        </w:tc>
        <w:tc>
          <w:tcPr>
            <w:tcW w:w="1040" w:type="dxa"/>
            <w:vAlign w:val="center"/>
          </w:tcPr>
          <w:p>
            <w:pPr>
              <w:pStyle w:val="TableText"/>
              <w:spacing w:before="0" w:after="0" w:line="220" w:lineRule="auto"/>
            </w:pPr>
            <w:r>
              <w:rPr>
                <w:sz w:val="17"/>
                <w:szCs w:val="17"/>
              </w:rPr>
              <w:t>ALLLHRC</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−9.29 ± 0.11</w:t>
            </w:r>
          </w:p>
        </w:tc>
      </w:tr>
      <w:tr>
        <w:tc>
          <w:tcPr>
            <w:tcW w:w="1040" w:type="dxa"/>
            <w:vAlign w:val="center"/>
          </w:tcPr>
          <w:p>
            <w:pPr>
              <w:pStyle w:val="TableText"/>
              <w:spacing w:before="0" w:after="0" w:line="220" w:lineRule="auto"/>
            </w:pPr>
            <w:r>
              <w:rPr>
                <w:sz w:val="17"/>
                <w:szCs w:val="17"/>
              </w:rPr>
              <w:t>4</w:t>
            </w:r>
          </w:p>
        </w:tc>
        <w:tc>
          <w:tcPr>
            <w:tcW w:w="1040" w:type="dxa"/>
            <w:vAlign w:val="center"/>
          </w:tcPr>
          <w:p>
            <w:pPr>
              <w:pStyle w:val="TableText"/>
              <w:spacing w:before="0" w:after="0" w:line="220" w:lineRule="auto"/>
            </w:pPr>
            <w:r>
              <w:rPr>
                <w:sz w:val="17"/>
                <w:szCs w:val="17"/>
              </w:rPr>
              <w:t>fclhlqlr</w:t>
            </w:r>
          </w:p>
        </w:tc>
        <w:tc>
          <w:tcPr>
            <w:tcW w:w="1040" w:type="dxa"/>
            <w:vAlign w:val="center"/>
          </w:tcPr>
          <w:p>
            <w:pPr>
              <w:pStyle w:val="TableText"/>
              <w:spacing w:before="0" w:after="0" w:line="220" w:lineRule="auto"/>
            </w:pPr>
            <w:r>
              <w:rPr>
                <w:sz w:val="17"/>
                <w:szCs w:val="17"/>
              </w:rPr>
              <w:t>FCLHLQLR</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(F)</w:t>
            </w:r>
          </w:p>
        </w:tc>
        <w:tc>
          <w:tcPr>
            <w:tcW w:w="1040" w:type="dxa"/>
            <w:vAlign w:val="center"/>
          </w:tcPr>
          <w:p>
            <w:pPr>
              <w:pStyle w:val="TableText"/>
              <w:spacing w:before="0" w:after="0" w:line="220" w:lineRule="auto"/>
            </w:pPr>
            <w:r>
              <w:rPr>
                <w:sz w:val="17"/>
                <w:szCs w:val="17"/>
              </w:rPr>
              <w:t>−9.27 ± 0.09</w:t>
            </w:r>
          </w:p>
        </w:tc>
      </w:tr>
      <w:tr>
        <w:tc>
          <w:tcPr>
            <w:tcW w:w="1040" w:type="dxa"/>
            <w:vAlign w:val="center"/>
          </w:tcPr>
          <w:p>
            <w:pPr>
              <w:pStyle w:val="TableText"/>
              <w:spacing w:before="0" w:after="0" w:line="220" w:lineRule="auto"/>
            </w:pPr>
            <w:r>
              <w:rPr>
                <w:sz w:val="17"/>
                <w:szCs w:val="17"/>
              </w:rPr>
              <w:t>5</w:t>
            </w:r>
          </w:p>
        </w:tc>
        <w:tc>
          <w:tcPr>
            <w:tcW w:w="1040" w:type="dxa"/>
            <w:vAlign w:val="center"/>
          </w:tcPr>
          <w:p>
            <w:pPr>
              <w:pStyle w:val="TableText"/>
              <w:spacing w:before="0" w:after="0" w:line="220" w:lineRule="auto"/>
            </w:pPr>
            <w:r>
              <w:rPr>
                <w:sz w:val="17"/>
                <w:szCs w:val="17"/>
              </w:rPr>
              <w:t>yhhllcrr</w:t>
            </w:r>
          </w:p>
        </w:tc>
        <w:tc>
          <w:tcPr>
            <w:tcW w:w="1040" w:type="dxa"/>
            <w:vAlign w:val="center"/>
          </w:tcPr>
          <w:p>
            <w:pPr>
              <w:pStyle w:val="TableText"/>
              <w:spacing w:before="0" w:after="0" w:line="220" w:lineRule="auto"/>
            </w:pPr>
            <w:r>
              <w:rPr>
                <w:sz w:val="17"/>
                <w:szCs w:val="17"/>
              </w:rPr>
              <w:t>YHHLLCRR</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 (Y)</w:t>
            </w:r>
          </w:p>
        </w:tc>
        <w:tc>
          <w:tcPr>
            <w:tcW w:w="1040" w:type="dxa"/>
            <w:vAlign w:val="center"/>
          </w:tcPr>
          <w:p>
            <w:pPr>
              <w:pStyle w:val="TableText"/>
              <w:spacing w:before="0" w:after="0" w:line="220" w:lineRule="auto"/>
            </w:pPr>
            <w:r>
              <w:rPr>
                <w:sz w:val="17"/>
                <w:szCs w:val="17"/>
              </w:rPr>
              <w:t>−9.03 ± 0.07</w:t>
            </w:r>
          </w:p>
        </w:tc>
      </w:tr>
      <w:tr>
        <w:tc>
          <w:tcPr>
            <w:tcW w:w="1040" w:type="dxa"/>
            <w:vAlign w:val="center"/>
          </w:tcPr>
          <w:p>
            <w:pPr>
              <w:pStyle w:val="TableText"/>
              <w:spacing w:before="0" w:after="0" w:line="220" w:lineRule="auto"/>
            </w:pPr>
            <w:r>
              <w:rPr>
                <w:sz w:val="17"/>
                <w:szCs w:val="17"/>
              </w:rPr>
              <w:t>6</w:t>
            </w:r>
          </w:p>
        </w:tc>
        <w:tc>
          <w:tcPr>
            <w:tcW w:w="1040" w:type="dxa"/>
            <w:vAlign w:val="center"/>
          </w:tcPr>
          <w:p>
            <w:pPr>
              <w:pStyle w:val="TableText"/>
              <w:spacing w:before="0" w:after="0" w:line="220" w:lineRule="auto"/>
            </w:pPr>
            <w:r>
              <w:rPr>
                <w:sz w:val="17"/>
                <w:szCs w:val="17"/>
              </w:rPr>
              <w:t>llhlpkrtt</w:t>
            </w:r>
          </w:p>
        </w:tc>
        <w:tc>
          <w:tcPr>
            <w:tcW w:w="1040" w:type="dxa"/>
            <w:vAlign w:val="center"/>
          </w:tcPr>
          <w:p>
            <w:pPr>
              <w:pStyle w:val="TableText"/>
              <w:spacing w:before="0" w:after="0" w:line="220" w:lineRule="auto"/>
            </w:pPr>
            <w:r>
              <w:rPr>
                <w:sz w:val="17"/>
                <w:szCs w:val="17"/>
              </w:rPr>
              <w:t>LLHLPKRTT</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−9.01 ± 0.06</w:t>
            </w:r>
          </w:p>
        </w:tc>
      </w:tr>
      <w:tr>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llhplrl</w:t>
            </w:r>
          </w:p>
        </w:tc>
        <w:tc>
          <w:tcPr>
            <w:tcW w:w="1040" w:type="dxa"/>
            <w:vAlign w:val="center"/>
          </w:tcPr>
          <w:p>
            <w:pPr>
              <w:pStyle w:val="TableText"/>
              <w:spacing w:before="0" w:after="0" w:line="220" w:lineRule="auto"/>
            </w:pPr>
            <w:r>
              <w:rPr>
                <w:sz w:val="17"/>
                <w:szCs w:val="17"/>
              </w:rPr>
              <w:t>LLHPLRL</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−8.94 ± 0.10</w:t>
            </w:r>
          </w:p>
        </w:tc>
      </w:tr>
      <w:tr>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wllvhlkk</w:t>
            </w:r>
          </w:p>
        </w:tc>
        <w:tc>
          <w:tcPr>
            <w:tcW w:w="1040" w:type="dxa"/>
            <w:vAlign w:val="center"/>
          </w:tcPr>
          <w:p>
            <w:pPr>
              <w:pStyle w:val="TableText"/>
              <w:spacing w:before="0" w:after="0" w:line="220" w:lineRule="auto"/>
            </w:pPr>
            <w:r>
              <w:rPr>
                <w:sz w:val="17"/>
                <w:szCs w:val="17"/>
              </w:rPr>
              <w:t>WLLVHLKK</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 (W)</w:t>
            </w:r>
          </w:p>
        </w:tc>
        <w:tc>
          <w:tcPr>
            <w:tcW w:w="1040" w:type="dxa"/>
            <w:vAlign w:val="center"/>
          </w:tcPr>
          <w:p>
            <w:pPr>
              <w:pStyle w:val="TableText"/>
              <w:spacing w:before="0" w:after="0" w:line="220" w:lineRule="auto"/>
            </w:pPr>
            <w:r>
              <w:rPr>
                <w:sz w:val="17"/>
                <w:szCs w:val="17"/>
              </w:rPr>
              <w:t>−8.94 ± 0.04</w:t>
            </w:r>
          </w:p>
        </w:tc>
      </w:tr>
      <w:tr>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llhplrc</w:t>
            </w:r>
          </w:p>
        </w:tc>
        <w:tc>
          <w:tcPr>
            <w:tcW w:w="1040" w:type="dxa"/>
            <w:vAlign w:val="center"/>
          </w:tcPr>
          <w:p>
            <w:pPr>
              <w:pStyle w:val="TableText"/>
              <w:spacing w:before="0" w:after="0" w:line="220" w:lineRule="auto"/>
            </w:pPr>
            <w:r>
              <w:rPr>
                <w:sz w:val="17"/>
                <w:szCs w:val="17"/>
              </w:rPr>
              <w:t>LLHPLRC</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−8.91 ± 0.08</w:t>
            </w:r>
          </w:p>
        </w:tc>
      </w:tr>
      <w:tr>
        <w:tc>
          <w:tcPr>
            <w:tcW w:w="1040" w:type="dxa"/>
            <w:vAlign w:val="center"/>
          </w:tcPr>
          <w:p>
            <w:pPr>
              <w:pStyle w:val="TableText"/>
              <w:spacing w:before="0" w:after="0" w:line="220" w:lineRule="auto"/>
            </w:pPr>
            <w:r>
              <w:rPr>
                <w:sz w:val="17"/>
                <w:szCs w:val="17"/>
              </w:rPr>
              <w:t>10</w:t>
            </w:r>
          </w:p>
        </w:tc>
        <w:tc>
          <w:tcPr>
            <w:tcW w:w="1040" w:type="dxa"/>
            <w:vAlign w:val="center"/>
          </w:tcPr>
          <w:p>
            <w:pPr>
              <w:pStyle w:val="TableText"/>
              <w:spacing w:before="0" w:after="0" w:line="220" w:lineRule="auto"/>
            </w:pPr>
            <w:r>
              <w:rPr>
                <w:sz w:val="17"/>
                <w:szCs w:val="17"/>
              </w:rPr>
              <w:t>hlltlkkhv</w:t>
            </w:r>
          </w:p>
        </w:tc>
        <w:tc>
          <w:tcPr>
            <w:tcW w:w="1040" w:type="dxa"/>
            <w:vAlign w:val="center"/>
          </w:tcPr>
          <w:p>
            <w:pPr>
              <w:pStyle w:val="TableText"/>
              <w:spacing w:before="0" w:after="0" w:line="220" w:lineRule="auto"/>
            </w:pPr>
            <w:r>
              <w:rPr>
                <w:sz w:val="17"/>
                <w:szCs w:val="17"/>
              </w:rPr>
              <w:t>HLLTLKKHV</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−8.88 ± 0.05</w:t>
            </w:r>
          </w:p>
        </w:tc>
      </w:tr>
      <w:tr>
        <w:tc>
          <w:tcPr>
            <w:tcW w:w="1040" w:type="dxa"/>
            <w:vAlign w:val="center"/>
          </w:tcPr>
          <w:p>
            <w:pPr>
              <w:pStyle w:val="TableText"/>
              <w:spacing w:before="0" w:after="0" w:line="220" w:lineRule="auto"/>
            </w:pPr>
            <w:r>
              <w:rPr>
                <w:sz w:val="17"/>
                <w:szCs w:val="17"/>
              </w:rPr>
              <w:t>11</w:t>
            </w:r>
          </w:p>
        </w:tc>
        <w:tc>
          <w:tcPr>
            <w:tcW w:w="1040" w:type="dxa"/>
            <w:vAlign w:val="center"/>
          </w:tcPr>
          <w:p>
            <w:pPr>
              <w:pStyle w:val="TableText"/>
              <w:spacing w:before="0" w:after="0" w:line="220" w:lineRule="auto"/>
            </w:pPr>
            <w:r>
              <w:rPr>
                <w:sz w:val="17"/>
                <w:szCs w:val="17"/>
              </w:rPr>
              <w:t>hlpllhrcc</w:t>
            </w:r>
          </w:p>
        </w:tc>
        <w:tc>
          <w:tcPr>
            <w:tcW w:w="1040" w:type="dxa"/>
            <w:vAlign w:val="center"/>
          </w:tcPr>
          <w:p>
            <w:pPr>
              <w:pStyle w:val="TableText"/>
              <w:spacing w:before="0" w:after="0" w:line="220" w:lineRule="auto"/>
            </w:pPr>
            <w:r>
              <w:rPr>
                <w:sz w:val="17"/>
                <w:szCs w:val="17"/>
              </w:rPr>
              <w:t>HLPLLHRCC</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−8.35 ± 0.12</w:t>
            </w:r>
          </w:p>
        </w:tc>
      </w:tr>
      <w:tr>
        <w:tc>
          <w:tcPr>
            <w:tcW w:w="1040" w:type="dxa"/>
            <w:vAlign w:val="center"/>
          </w:tcPr>
          <w:p>
            <w:pPr>
              <w:pStyle w:val="TableText"/>
              <w:spacing w:before="0" w:after="0" w:line="220" w:lineRule="auto"/>
            </w:pPr>
            <w:r>
              <w:rPr>
                <w:sz w:val="17"/>
                <w:szCs w:val="17"/>
              </w:rPr>
              <w:t>12</w:t>
            </w:r>
          </w:p>
        </w:tc>
        <w:tc>
          <w:tcPr>
            <w:tcW w:w="1040" w:type="dxa"/>
            <w:vAlign w:val="center"/>
          </w:tcPr>
          <w:p>
            <w:pPr>
              <w:pStyle w:val="TableText"/>
              <w:spacing w:before="0" w:after="0" w:line="220" w:lineRule="auto"/>
            </w:pPr>
            <w:r>
              <w:rPr>
                <w:sz w:val="17"/>
                <w:szCs w:val="17"/>
              </w:rPr>
              <w:t>hvlllrqca</w:t>
            </w:r>
          </w:p>
        </w:tc>
        <w:tc>
          <w:tcPr>
            <w:tcW w:w="1040" w:type="dxa"/>
            <w:vAlign w:val="center"/>
          </w:tcPr>
          <w:p>
            <w:pPr>
              <w:pStyle w:val="TableText"/>
              <w:spacing w:before="0" w:after="0" w:line="220" w:lineRule="auto"/>
            </w:pPr>
            <w:r>
              <w:rPr>
                <w:sz w:val="17"/>
                <w:szCs w:val="17"/>
              </w:rPr>
              <w:t>HVLLLRQCA</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−8.25 ± 0.09</w:t>
            </w:r>
          </w:p>
        </w:tc>
      </w:tr>
    </w:tbl>
    <w:p>
      <w:pPr>
        <w:spacing w:after="40"/>
      </w:pPr>
    </w:p>
    <w:p>
      <w:pPr>
        <w:pStyle w:val="Normal"/>
      </w:pPr>
      <w:r>
        <w:t>组成列直接由序列计数。Vina 打分为作者报告的 mean ± SD；对接方案见 2.10 节。</w:t>
      </w:r>
    </w:p>
    <w:p>
      <w:pPr>
        <w:pStyle w:val="Normal"/>
      </w:pPr>
      <w:r>
        <w:t>结合解有三个定性特征。第一，十二条肽均采取</w:t>
      </w:r>
      <w:r>
        <w:rPr>
          <w:b/>
        </w:rPr>
        <w:t>跨峡部模式</w:t>
      </w:r>
      <w:r>
        <w:t>：密度覆盖 PAS 边环并沿芳香峡部向 CAS 延伸，而非仅在边环做浅表吸附。第二，构象与 PAS 核心残基 Tyr72、Asp74、Tyr124、Trp286、Tyr341 及峡部芳香残基 Trp86、Phe295、Tyr337、Phe338 形成密集氢键与 π–π 堆积网络——这正是引导底物与经典抑制剂下行峡部的同一芳香阶梯 [7,8]。第三，若干最优构象的侧链可及 Ser203 与 His447 附近的催化区，因此后续面板也应把 CAS 纳入打分（4.5 节）。</w:t>
      </w:r>
    </w:p>
    <w:p>
      <w:pPr>
        <w:pStyle w:val="Normal"/>
      </w:pPr>
      <w:r>
        <w:t>排序内部一致：三个最高分（FLLHTTR −9.60；YLSLLQR −9.49；ALLLHRC −9.29）与两个最低分（HLPLLHRCC −8.35；HVLLLRQCA −8.25）相差超过 1 kcal/mol，远超逐肽 SD；中段为近简并簇（−8.88 至 −9.29）。两点注意随排序同行：柔性 7–9 肽的 Vina 分数对起始构象敏感；PAS 单盒分数不能说明 CAS 单盒或外位点结合——两者都在后续清单上。</w:t>
      </w:r>
    </w:p>
    <w:p>
      <w:pPr>
        <w:pStyle w:val="Heading2"/>
        <w:keepNext/>
        <w:pageBreakBefore/>
      </w:pPr>
      <w:r>
        <w:t>4 讨论</w:t>
      </w:r>
    </w:p>
    <w:p>
      <w:pPr>
        <w:pStyle w:val="Heading3"/>
        <w:keepNext/>
      </w:pPr>
      <w:r>
        <w:t>4.1 漏斗是分诊结果，其粒度现在适合对接</w:t>
      </w:r>
    </w:p>
    <w:p>
      <w:pPr>
        <w:pStyle w:val="Normal"/>
      </w:pPr>
      <w:r>
        <w:t>筛选阶段的操作性产物是优先级排序：口腔蛋白质组丢弃 99.7% 以上的翻译 sORF，"BBB 优先、金属其次、清除低"的决策栈把 33,786 条牙周炎支持肽塌缩到 12 条（严格阈值下 8 条）。结构阶段补充的是让名单可执行的读数：十二条候选都能以合理化学占据人 AChE 的 PAS–峡部界面，Vina 打分均低于 −8 kcal/mol。带构象的十二肽名单是一个课题；不带构象的十二肽名单只是一张清单。</w:t>
      </w:r>
    </w:p>
    <w:p>
      <w:pPr>
        <w:pStyle w:val="Heading3"/>
        <w:keepNext/>
      </w:pPr>
      <w:r>
        <w:t>4.2 PAS 对接补充了什么——以及没有补充什么</w:t>
      </w:r>
    </w:p>
    <w:p>
      <w:pPr>
        <w:pStyle w:val="Normal"/>
      </w:pPr>
      <w:r>
        <w:t>选 PAS 作对接靶点有两个已记录的理由：它是 AChE 上加速 Aβ 纤毛组装的表面 [4–6]，又紧邻微秒级模拟识别出的 344–361 Aβ 驻留区 [9]。对接结果因此把口腔候选定位在 AChE–Aβ 交互被认为起始的同一表面。十二条肽的阳离子、芳香、富 His 组成与该表面匹配：PAS 是阴离子芳香边环，每条候选至少带一个 Arg/Lys，11/12 带 His——His 既能参与 PAS 堆积网络，又能参与后续 Cu/Fe/Zn 配位 [27]。His 的这种双重用途——表面锚定与金属锚定——正是 CHEL 高/FRS 低过滤器被设计来富集的化学；对接阶段显示它与疾病相关 AChE 位点在空间上相容。</w:t>
      </w:r>
    </w:p>
    <w:p>
      <w:pPr>
        <w:pStyle w:val="Normal"/>
      </w:pPr>
      <w:r>
        <w:t>这些都不是结合常数。Vina 打分函数是为富集而非亲和力校准的快速近似 [35]；使用单一刚性受体构象；4EY6 的缺失环（残基 259–262 与 492–495 附近）与糖基化状态未在对接近中表现；盒内无显式水与金属离子；未采样肽的质子化状态。MD 尝试（2.11 节）的存在恰因我们不把 −9.60 kcal/mol 当作测得的自由能——它因上述结构原因在压力平衡时失败，故无轨迹可报。读者只需记住一句：</w:t>
      </w:r>
      <w:r>
        <w:rPr>
          <w:b/>
        </w:rPr>
        <w:t>对接给十二条候选排序；它没有认证任何一条。</w:t>
      </w:r>
    </w:p>
    <w:p>
      <w:pPr>
        <w:pStyle w:val="Heading3"/>
        <w:keepNext/>
      </w:pPr>
      <w:r>
        <w:t>4.3 把候选放进外源肽神经毒性模板里读</w:t>
      </w:r>
    </w:p>
    <w:p>
      <w:pPr>
        <w:pStyle w:val="Normal"/>
      </w:pPr>
      <w:r>
        <w:t>最接近"短、金属结合、神经活性肽"的结构先例是 tau26–44：19 残基、本质无序、经 NMDA 受体介导的坏死型通路产生毒性、经组氨酸结合 Cu(II) 并对铜诱导的 Aβ 聚集产生可测影响 [27,28]。我们的候选更短（7–9 aa）且在人蛋白质组之外，由此带来两个后果。有利的一面：尺寸落在预测 BBB 通过最可信的窗口（BBB 阳性短肽集 83.95% 为 8–15 aa；图 4），His/Cys 密度赋予它们与 tau26–44 相同的金属锚定把手。不利的一面：一切未知——没有检验过 NMDA 依赖、膜扰动或聚集交叉播种；细菌淀粉样蛋白先例（口服 curli 喂养 α-突触核蛋白聚集 [29]）是另一套蛋白系统。诚实的表述是：十二条肽在</w:t>
      </w:r>
      <w:r>
        <w:rPr>
          <w:b/>
        </w:rPr>
        <w:t>格式上像</w:t>
      </w:r>
      <w:r>
        <w:t>已知的短神经活性肽，而不是在</w:t>
      </w:r>
      <w:r>
        <w:rPr>
          <w:b/>
        </w:rPr>
        <w:t>行为上像</w:t>
      </w:r>
      <w:r>
        <w:t>。</w:t>
      </w:r>
    </w:p>
    <w:p>
      <w:pPr>
        <w:pStyle w:val="Heading3"/>
        <w:keepNext/>
      </w:pPr>
      <w:r>
        <w:t>4.4 局限</w:t>
      </w:r>
    </w:p>
    <w:p>
      <w:pPr>
        <w:pStyle w:val="Normal"/>
      </w:pPr>
      <w:r>
        <w:t xml:space="preserve">筛选阶段的局限：单一供体集合（具体供体数已在源数据中核实，本文不重复列出具体人数）、精确匹配蛋白质组、固定阈值下的黑箱预测器、忽略供体聚类的肽水平 </w:t>
      </w:r>
      <w:r>
        <w:rPr>
          <w:i/>
        </w:rPr>
        <w:t>P</w:t>
      </w:r>
      <w:r>
        <w:t xml:space="preserve"> 值。结构阶段追加：单一受体构象且不含 4EY6 未解析环段；无糖链、无晶体水、盒内无金属离子；Vina 打分未经 MM/GBSA 复打分（推迟）；柔性肽的起始构象敏感性；分类学——MAG 集合是社区性口腔宏基因组 [33]，在每条序列被归属之前，称十二条序列为"牙龈卟啉单胞菌肽"仍是分类学错误。UniDL4BioPep、NTxPred2、mebipred、AnOxPePred 的软件版本/种子与对接 exhaustiveness/种子设置在投稿版中标记为 </w:t>
      </w:r>
      <w:r>
        <w:rPr>
          <w:rFonts w:ascii="Consolas" w:hAnsi="Consolas" w:eastAsia="等线"/>
          <w:shd w:val="clear" w:color="auto" w:fill="F2F4F7"/>
        </w:rPr>
        <w:t>AUTHOR_INPUT_NEEDED</w:t>
      </w:r>
      <w:r>
        <w:t>。GSE42872 是六样本黑色素瘤芯片 [34]，不得进入 AD 对比。</w:t>
      </w:r>
    </w:p>
    <w:p>
      <w:pPr>
        <w:pStyle w:val="Heading2"/>
        <w:keepNext/>
        <w:pageBreakBefore/>
      </w:pPr>
      <w:r>
        <w:t>参考文献</w:t>
      </w:r>
    </w:p>
    <w:sectPr>
      <w:headerReference w:type="default" r:id="rId4"/>
      <w:footerReference w:type="default" r:id="rId5"/>
      <w:pgSz w:w="11906" w:h="16838"/>
      <w:pgMar w:top="1134" w:right="1134" w:bottom="1134" w:left="1134" w:header="600" w:footer="600" w:gutter="0"/>
      <w:cols w:space="720"/>
      <w:docGrid w:linePitch="312"/>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footer1.xml><?xml version="1.0" encoding="utf-8"?>
<w:ftr xmlns:w="http://schemas.openxmlformats.org/wordprocessingml/2006/main">
  <w:p>
    <w:pPr>
      <w:jc w:val="center"/>
    </w:pPr>
  </w:p>
</w:ftr>
</file>

<file path=word/header1.xml><?xml version="1.0" encoding="utf-8"?>
<w:hdr xmlns:w="http://schemas.openxmlformats.org/wordprocessingml/2006/main">
  <w:p>
    <w:pPr>
      <w:jc w:val="right"/>
    </w:pPr>
  </w:p>
</w:hdr>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2"/>
        <w:szCs w:val="22"/>
        <w:lang w:val="en-US" w:eastAsia="zh-CN"/>
      </w:rPr>
    </w:rPrDefault>
    <w:pPrDefault>
      <w:pPr>
        <w:spacing w:after="120" w:line="276" w:lineRule="auto"/>
        <w:jc w:val="both"/>
      </w:pPr>
    </w:pPrDefault>
  </w:docDefaults>
  <w:style w:type="paragraph" w:default="1" w:styleId="Normal">
    <w:name w:val="Normal"/>
    <w:qFormat/>
    <w:pPr>
      <w:widowControl/>
    </w:pPr>
  </w:style>
  <w:style w:type="paragraph" w:styleId="Heading1">
    <w:name w:val="heading 1"/>
    <w:basedOn w:val="Normal"/>
    <w:next w:val="Normal"/>
    <w:qFormat/>
    <w:pPr>
      <w:keepNext/>
      <w:keepLines/>
      <w:spacing w:before="240" w:after="180"/>
      <w:jc w:val="center"/>
      <w:outlineLvl w:val="0"/>
    </w:pPr>
    <w:rPr>
      <w:rFonts w:ascii="Arial" w:hAnsi="Arial" w:eastAsia="黑体"/>
      <w:b/>
      <w:color w:val="17365D"/>
      <w:sz w:val="36"/>
      <w:szCs w:val="36"/>
    </w:rPr>
  </w:style>
  <w:style w:type="paragraph" w:styleId="Heading2">
    <w:name w:val="heading 2"/>
    <w:basedOn w:val="Normal"/>
    <w:next w:val="Normal"/>
    <w:qFormat/>
    <w:pPr>
      <w:keepNext/>
      <w:keepLines/>
      <w:spacing w:before="280" w:after="140"/>
      <w:outlineLvl w:val="1"/>
    </w:pPr>
    <w:rPr>
      <w:rFonts w:ascii="Arial" w:hAnsi="Arial" w:eastAsia="黑体"/>
      <w:b/>
      <w:color w:val="17365D"/>
      <w:sz w:val="30"/>
      <w:szCs w:val="30"/>
    </w:rPr>
  </w:style>
  <w:style w:type="paragraph" w:styleId="Heading3">
    <w:name w:val="heading 3"/>
    <w:basedOn w:val="Normal"/>
    <w:next w:val="Normal"/>
    <w:qFormat/>
    <w:pPr>
      <w:keepNext/>
      <w:spacing w:before="220" w:after="100"/>
      <w:outlineLvl w:val="2"/>
    </w:pPr>
    <w:rPr>
      <w:rFonts w:ascii="Arial" w:hAnsi="Arial" w:eastAsia="黑体"/>
      <w:b/>
      <w:color w:val="2F5597"/>
      <w:sz w:val="26"/>
      <w:szCs w:val="26"/>
    </w:rPr>
  </w:style>
  <w:style w:type="paragraph" w:styleId="Heading4">
    <w:name w:val="heading 4"/>
    <w:basedOn w:val="Normal"/>
    <w:next w:val="Normal"/>
    <w:qFormat/>
    <w:pPr>
      <w:keepNext/>
      <w:spacing w:before="180" w:after="80"/>
      <w:outlineLvl w:val="3"/>
    </w:pPr>
    <w:rPr>
      <w:rFonts w:ascii="Arial" w:hAnsi="Arial" w:eastAsia="黑体"/>
      <w:b/>
      <w:color w:val="365F91"/>
      <w:sz w:val="23"/>
      <w:szCs w:val="23"/>
    </w:rPr>
  </w:style>
  <w:style w:type="paragraph" w:styleId="Note">
    <w:name w:val="Draft Note"/>
    <w:basedOn w:val="Normal"/>
    <w:pPr>
      <w:spacing w:after="80"/>
      <w:jc w:val="left"/>
    </w:pPr>
    <w:rPr>
      <w:color w:val="5B6573"/>
      <w:i/>
      <w:sz w:val="19"/>
      <w:szCs w:val="19"/>
    </w:rPr>
  </w:style>
  <w:style w:type="paragraph" w:styleId="Keywords">
    <w:name w:val="Keywords"/>
    <w:basedOn w:val="Normal"/>
    <w:pPr>
      <w:spacing w:after="160"/>
    </w:pPr>
    <w:rPr>
      <w:sz w:val="20"/>
      <w:szCs w:val="20"/>
    </w:rPr>
  </w:style>
  <w:style w:type="paragraph" w:styleId="Caption">
    <w:name w:val="Caption"/>
    <w:basedOn w:val="Normal"/>
    <w:pPr>
      <w:keepNext/>
      <w:spacing w:before="60" w:after="120"/>
      <w:jc w:val="left"/>
    </w:pPr>
    <w:rPr>
      <w:i/>
      <w:sz w:val="18"/>
      <w:szCs w:val="18"/>
    </w:rPr>
  </w:style>
  <w:style w:type="paragraph" w:styleId="Figure">
    <w:name w:val="Figure"/>
    <w:basedOn w:val="Normal"/>
    <w:pPr>
      <w:spacing w:before="120" w:after="60"/>
      <w:jc w:val="center"/>
    </w:pPr>
  </w:style>
  <w:style w:type="paragraph" w:styleId="Reference">
    <w:name w:val="Reference"/>
    <w:basedOn w:val="Normal"/>
    <w:pPr>
      <w:spacing w:after="60" w:line="220" w:lineRule="auto"/>
      <w:jc w:val="left"/>
    </w:pPr>
    <w:rPr>
      <w:sz w:val="18"/>
      <w:szCs w:val="18"/>
    </w:rPr>
  </w:style>
  <w:style w:type="paragraph" w:styleId="ListParagraph">
    <w:name w:val="List Paragraph"/>
    <w:basedOn w:val="Normal"/>
    <w:pPr>
      <w:spacing w:after="60"/>
    </w:pPr>
  </w:style>
  <w:style w:type="paragraph" w:styleId="TableText">
    <w:name w:val="Table Text"/>
    <w:basedOn w:val="Normal"/>
    <w:pPr>
      <w:spacing w:after="0"/>
      <w:jc w:val="left"/>
    </w:pPr>
    <w:rPr>
      <w:sz w:val="17"/>
      <w:szCs w:val="17"/>
    </w:rPr>
  </w:style>
  <w:style w:type="table" w:styleId="TableGrid">
    <w:name w:val="Table Grid"/>
    <w:tblPr>
      <w:tblBorders>
        <w:top w:val="single" w:sz="4" w:color="9AA6B2"/>
        <w:left w:val="single" w:sz="4" w:color="9AA6B2"/>
        <w:bottom w:val="single" w:sz="4" w:color="9AA6B2"/>
        <w:right w:val="single" w:sz="4" w:color="9AA6B2"/>
        <w:insideH w:val="single" w:sz="4" w:color="9AA6B2"/>
        <w:insideV w:val="single" w:sz="4" w:color="9AA6B2"/>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牙周炎相关口腔sORF肽对AChE外周阴离子位点的结构筛选</dc:title>
  <dc:subject>Original research scientific-content draft</dc:subject>
  <dc:creator>Accountable authors to be supplied</dc:creator>
  <cp:lastModifiedBy>Arena.ai drafting workflow</cp:lastModifiedBy>
  <dcterms:created xsi:type="dcterms:W3CDTF">2026-08-17T02:54:56Z</dcterms:created>
  <dcterms:modified xsi:type="dcterms:W3CDTF">2026-08-17T02:54:56Z</dcterms:modified>
</cp:coreProperties>
</file>