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keepNext/>
      </w:pPr>
      <w:r>
        <w:t>补充注意事项 / Supplementary Notes</w:t>
      </w:r>
    </w:p>
    <w:p>
      <w:pPr>
        <w:pStyle w:val="Normal"/>
      </w:pPr>
      <w:r>
        <w:t>&gt; 本文档包含从主稿中移出的内容：结论要点、图形说明、机制阶段路线图。主稿正文已按 SCI 投稿标准精简（无标题、无独立结论章节、无页眉页脚页码注释），这些内容作为补充材料保留，供作者后续审阅和正式投稿时参考。</w:t>
      </w:r>
    </w:p>
    <w:p>
      <w:pPr>
        <w:pStyle w:val="Normal"/>
      </w:pPr>
      <w:r>
        <w:t>---</w:t>
      </w:r>
    </w:p>
    <w:p>
      <w:pPr>
        <w:pStyle w:val="Normal"/>
      </w:pPr>
      <w:r>
        <w:rPr>
          <w:b/>
        </w:rPr>
        <w:t>结论：</w:t>
      </w:r>
      <w:r>
        <w:t xml:space="preserve"> 该流程把未被清点的口腔肽组转化为一个有排序、结构上合理的十二肽候选名单，且定位在疾病相关的 AChE 表面。对接打分是构象排序工具，不是结合常数。100 ns 分子动力学核查已尝试，因压力不稳定被排除。只有金属结合、Cu/Fe 依赖活性氧、脂质过氧化、胆碱酯酶活性、Aβ 聚集与神经元存活实验，才能把任何候选升格为机制结论。</w:t>
      </w:r>
    </w:p>
    <w:p>
      <w:pPr>
        <w:pStyle w:val="Normal"/>
      </w:pPr>
      <w:r>
        <w:rPr>
          <w:b/>
        </w:rPr>
        <w:t>2.9 图形</w:t>
      </w:r>
    </w:p>
    <w:p>
      <w:pPr>
        <w:pStyle w:val="Normal"/>
      </w:pPr>
      <w:r>
        <w:t>图形用 Python 3（matplotlib）绘制，采用色盲安全配色（蓝 #0072B2、朱红 #D55E00）。矢量 PDF 为投稿母版；PNG 为预览。</w:t>
      </w:r>
    </w:p>
    <w:p>
      <w:pPr>
        <w:pStyle w:val="Normal"/>
      </w:pPr>
      <w:r>
        <w:rPr>
          <w:b/>
        </w:rPr>
        <w:t>4.5 机制阶段路线图</w:t>
      </w:r>
    </w:p>
    <w:p>
      <w:pPr>
        <w:pStyle w:val="Normal"/>
      </w:pPr>
      <w:r>
        <w:t>采纳作者的前进方案，压缩如下。</w:t>
      </w:r>
      <w:r>
        <w:rPr>
          <w:b/>
        </w:rPr>
        <w:t>（i）肽结构。</w:t>
      </w:r>
      <w:r>
        <w:t xml:space="preserve"> 对 7–9 肽做多构象建模而非单一静态结构；用 AlphaFold3 [42] 做肽–蛋白与肽–金属复合物建模，作为参考框架，经构象采样、置信指标与 MD 验证——不能替代实验结构。</w:t>
      </w:r>
      <w:r>
        <w:rPr>
          <w:b/>
        </w:rPr>
        <w:t>（ii）靶点面板。</w:t>
      </w:r>
      <w:r>
        <w:t xml:space="preserve"> PAS 之外：AChE CAS 与 344–361 Aβ 驻留区，再及 BChE、Aβ42、tau、ApoE4、铁蛋白与转铁蛋白——Aβ/tau 靶点检验对病理性聚集或构象稳定性的影响；铁蛋白/转铁蛋白检验与铁稳态机制的交互。</w:t>
      </w:r>
      <w:r>
        <w:rPr>
          <w:b/>
        </w:rPr>
        <w:t>（iii）金属。</w:t>
      </w:r>
      <w:r>
        <w:t xml:space="preserve"> Cu²⁺、Fe²⁺/Fe³⁺、Zn²⁺：对接与结构建模筛查配位构象；MD 分析金属–配体距离、配位数与稳定性；MM/GBSA 或 MM/PBSA 做相对结合自由能比较 [43]；仅对稳定配位壳层做 QM/MM 或 DFT，分析几何、配位能、电荷分布与可能的电子转移特征。</w:t>
      </w:r>
      <w:r>
        <w:rPr>
          <w:b/>
        </w:rPr>
        <w:t>（iv）对接升级。</w:t>
      </w:r>
      <w:r>
        <w:t xml:space="preserve"> 待参数体系与柔性采样完全掌握后改用 Rosetta FlexPepDocking [37]；本阶段 Vina 为经验证的过渡。</w:t>
      </w:r>
      <w:r>
        <w:rPr>
          <w:b/>
        </w:rPr>
        <w:t>（v）MD。</w:t>
      </w:r>
      <w:r>
        <w:t xml:space="preserve"> 在修复 Z 轴压力不稳定（压缩率/τ_p 松弛梯度、断裂环段 ACE/NME 封端、肽去碰撞）后，按 100 ns AChE–Aβ 方案 [9] 于 GROMACS [38] 执行。</w:t>
      </w:r>
      <w:r>
        <w:rPr>
          <w:b/>
        </w:rPr>
        <w:t>（vi）湿实验验证级联。</w:t>
      </w:r>
      <w:r>
        <w:t xml:space="preserve"> 金属结合（ITC/光谱）、Cu/Fe 依赖 ROS、脂质过氧化、AChE/BChE 活性、Aβ 聚集与神经元活力——终止规则：只有金属条件下 ROS/脂质过氧化升高并伴随神经元损伤，才支持"金属相关促氧化神经毒性"的表述。</w:t>
      </w:r>
    </w:p>
    <w:p>
      <w:pPr>
        <w:pStyle w:val="Normal"/>
      </w:pPr>
      <w:r>
        <w:t>---</w:t>
      </w:r>
    </w:p>
    <w:p>
      <w:pPr>
        <w:pStyle w:val="Normal"/>
      </w:pPr>
      <w:r>
        <w:rPr>
          <w:i/>
        </w:rPr>
        <w:t>关于供体数量：296 个高质量 MAG（PRJNA678453 / PRJEB65451）的数量已在源数据中核实并与文献描述一致；具体健康对照与牙周炎患者人数（24 与 26）未在本稿正文中重复列出，避免不必要的精确性声明。如需在正式投稿中补充，应直接引用源数据表格并注明独立实验单位为供体。</w:t>
      </w:r>
    </w:p>
    <w:sectPr>
      <w:headerReference w:type="default" r:id="rId4"/>
      <w:footerReference w:type="default" r:id="rId5"/>
      <w:pgSz w:w="11906" w:h="16838"/>
      <w:pgMar w:top="1134" w:right="1134" w:bottom="1134" w:left="1134" w:header="600" w:footer="600" w:gutter="0"/>
      <w:cols w:space="720"/>
      <w:docGrid w:linePitch="312"/>
    </w:sectPr>
  </w:body>
</w:document>
</file>

<file path=word/fontTable.xml><?xml version="1.0" encoding="utf-8"?>
<w:fonts xmlns:w="http://schemas.openxmlformats.org/wordprocessingml/2006/main">
  <w:font w:name="Times New Roman"/>
  <w:font w:name="Arial"/>
  <w:font w:name="宋体"/>
  <w:font w:name="黑体"/>
  <w:font w:name="Consolas"/>
  <w:font w:name="等线"/>
</w:fonts>
</file>

<file path=word/footer1.xml><?xml version="1.0" encoding="utf-8"?>
<w:ftr xmlns:w="http://schemas.openxmlformats.org/wordprocessingml/2006/main">
  <w:p>
    <w:pPr>
      <w:jc w:val="center"/>
    </w:pPr>
  </w:p>
</w:ftr>
</file>

<file path=word/header1.xml><?xml version="1.0" encoding="utf-8"?>
<w:hdr xmlns:w="http://schemas.openxmlformats.org/wordprocessingml/2006/main">
  <w:p>
    <w:pPr>
      <w:jc w:val="right"/>
    </w:pP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2"/>
        <w:szCs w:val="22"/>
        <w:lang w:val="en-US" w:eastAsia="zh-CN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  <w:qFormat/>
    <w:pPr>
      <w:widowControl/>
    </w:pPr>
  </w:style>
  <w:style w:type="paragraph" w:styleId="Heading1">
    <w:name w:val="heading 1"/>
    <w:basedOn w:val="Normal"/>
    <w:next w:val="Normal"/>
    <w:qFormat/>
    <w:pPr>
      <w:keepNext/>
      <w:keepLines/>
      <w:spacing w:before="240" w:after="180"/>
      <w:jc w:val="center"/>
      <w:outlineLvl w:val="0"/>
    </w:pPr>
    <w:rPr>
      <w:rFonts w:ascii="Arial" w:hAnsi="Arial" w:eastAsia="黑体"/>
      <w:b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40"/>
      <w:outlineLvl w:val="1"/>
    </w:pPr>
    <w:rPr>
      <w:rFonts w:ascii="Arial" w:hAnsi="Arial" w:eastAsia="黑体"/>
      <w:b/>
      <w:color w:val="17365D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before="220" w:after="100"/>
      <w:outlineLvl w:val="2"/>
    </w:pPr>
    <w:rPr>
      <w:rFonts w:ascii="Arial" w:hAnsi="Arial" w:eastAsia="黑体"/>
      <w:b/>
      <w:color w:val="2F5597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80" w:after="80"/>
      <w:outlineLvl w:val="3"/>
    </w:pPr>
    <w:rPr>
      <w:rFonts w:ascii="Arial" w:hAnsi="Arial" w:eastAsia="黑体"/>
      <w:b/>
      <w:color w:val="365F91"/>
      <w:sz w:val="23"/>
      <w:szCs w:val="23"/>
    </w:rPr>
  </w:style>
  <w:style w:type="paragraph" w:styleId="Note">
    <w:name w:val="Draft Note"/>
    <w:basedOn w:val="Normal"/>
    <w:pPr>
      <w:spacing w:after="80"/>
      <w:jc w:val="left"/>
    </w:pPr>
    <w:rPr>
      <w:color w:val="5B6573"/>
      <w:i/>
      <w:sz w:val="19"/>
      <w:szCs w:val="19"/>
    </w:rPr>
  </w:style>
  <w:style w:type="paragraph" w:styleId="Keywords">
    <w:name w:val="Keywords"/>
    <w:basedOn w:val="Normal"/>
    <w:pPr>
      <w:spacing w:after="160"/>
    </w:pPr>
    <w:rPr>
      <w:sz w:val="20"/>
      <w:szCs w:val="20"/>
    </w:rPr>
  </w:style>
  <w:style w:type="paragraph" w:styleId="Caption">
    <w:name w:val="Caption"/>
    <w:basedOn w:val="Normal"/>
    <w:pPr>
      <w:keepNext/>
      <w:spacing w:before="60" w:after="120"/>
      <w:jc w:val="left"/>
    </w:pPr>
    <w:rPr>
      <w:i/>
      <w:sz w:val="18"/>
      <w:szCs w:val="18"/>
    </w:rPr>
  </w:style>
  <w:style w:type="paragraph" w:styleId="Figure">
    <w:name w:val="Figure"/>
    <w:basedOn w:val="Normal"/>
    <w:pPr>
      <w:spacing w:before="120" w:after="60"/>
      <w:jc w:val="center"/>
    </w:pPr>
  </w:style>
  <w:style w:type="paragraph" w:styleId="Reference">
    <w:name w:val="Reference"/>
    <w:basedOn w:val="Normal"/>
    <w:pPr>
      <w:spacing w:after="60" w:line="220" w:lineRule="auto"/>
      <w:jc w:val="left"/>
    </w:pPr>
    <w:rPr>
      <w:sz w:val="18"/>
      <w:szCs w:val="18"/>
    </w:rPr>
  </w:style>
  <w:style w:type="paragraph" w:styleId="ListParagraph">
    <w:name w:val="List Paragraph"/>
    <w:basedOn w:val="Normal"/>
    <w:pPr>
      <w:spacing w:after="60"/>
    </w:pPr>
  </w:style>
  <w:style w:type="paragraph" w:styleId="TableText">
    <w:name w:val="Table Text"/>
    <w:basedOn w:val="Normal"/>
    <w:pPr>
      <w:spacing w:after="0"/>
      <w:jc w:val="left"/>
    </w:pPr>
    <w:rPr>
      <w:sz w:val="17"/>
      <w:szCs w:val="17"/>
    </w:rPr>
  </w:style>
  <w:style w:type="table" w:styleId="TableGrid">
    <w:name w:val="Table Grid"/>
    <w:tblPr>
      <w:tblBorders>
        <w:top w:val="single" w:sz="4" w:color="9AA6B2"/>
        <w:left w:val="single" w:sz="4" w:color="9AA6B2"/>
        <w:bottom w:val="single" w:sz="4" w:color="9AA6B2"/>
        <w:right w:val="single" w:sz="4" w:color="9AA6B2"/>
        <w:insideH w:val="single" w:sz="4" w:color="9AA6B2"/>
        <w:insideV w:val="single" w:sz="4" w:color="9AA6B2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header" Target="header1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Dependency-free OOXML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Notes: Conclusions, Figures, Roadmap</dc:title>
  <dc:subject>Original research scientific-content draft</dc:subject>
  <dc:creator>Accountable authors to be supplied</dc:creator>
  <cp:lastModifiedBy>Arena.ai drafting workflow</cp:lastModifiedBy>
  <dcterms:created xsi:type="dcterms:W3CDTF">2026-08-17T02:54:58Z</dcterms:created>
  <dcterms:modified xsi:type="dcterms:W3CDTF">2026-08-17T02:54:58Z</dcterms:modified>
</cp:coreProperties>
</file>