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Supplementary Tables / 补充表</w:t>
      </w:r>
    </w:p>
    <w:p>
      <w:pPr>
        <w:pStyle w:val="Normal"/>
      </w:pPr>
      <w:r>
        <w:rPr>
          <w:b/>
        </w:rPr>
        <w:t>Linked manuscript:</w:t>
      </w:r>
      <w:r>
        <w:t xml:space="preserve"> manuscript_bilingual.md（A Proteome-Supported Screen of Periodontitis-Associated Oral sORF Peptides…）</w:t>
      </w:r>
    </w:p>
    <w:p>
      <w:pPr>
        <w:pStyle w:val="Note"/>
      </w:pPr>
      <w:r>
        <w:rPr>
          <w:b/>
        </w:rPr>
        <w:t>Bilingual format:</w:t>
      </w:r>
      <w:r>
        <w:t xml:space="preserve"> column headers are bilingual; counts are identical to the main text. / 列名双语；全部数值与正文一致。</w:t>
      </w:r>
    </w:p>
    <w:p>
      <w:pPr>
        <w:pStyle w:val="Heading2"/>
        <w:keepNext/>
      </w:pPr>
      <w:r>
        <w:t>Table S1. Long-peptide UniDL4BioPep high-confidence counts (P ≥ 0.8) / 表 S1. 长肽 UniDL4BioPep 高置信计数（P ≥ 0.8）</w:t>
      </w:r>
    </w:p>
    <w:p>
      <w:pPr>
        <w:pStyle w:val="Normal"/>
      </w:pPr>
      <w:r>
        <w:t>Backgrounds / 背景: healthy / 健康 953; periodontitis / 牙周炎 1,032.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Model / 模型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n (%) / 健康 n (%)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n (%) / 牙周炎 n (%)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ACP_Anticancer_alt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91 (9.55)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121 (11.72)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BBB_Peptides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40 (4.20)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72 (6.98)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Quorum_sensing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173 (18.15)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190 (18.41)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Antimicrobial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206 (21.62)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238 (23.06)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Antibacterial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111 (11.65)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153 (14.83)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Anti-MRSA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47 (4.93)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62 (6.01)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CPP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 (1.57)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29 (2.81)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Antifungal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73 (7.66)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96 (9.30)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Toxicity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13 (1.36)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18 (1.74)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Umami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17 (1.78)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 (1.45)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Antimalarial_alt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 (1.26)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 (1.36)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TTCA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(0.10)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(0.10)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Antioxidant_FRS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43 (4.51)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41 (3.97)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DPPIV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 (0.00)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 (0.00)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Antimalarial_main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 (0.00)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 (0.00)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Anti-parasitic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288 (30.22)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280 (27.13)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NeuroPred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82 (8.60)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77 (7.46)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ACP_Anticancer_main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37 (3.88)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31 (3.00)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ACE_inhibitory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 (2.10)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 (1.36)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Allergenicity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16 (1.68)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 (1.07)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Antiviral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55 (5.77)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52 (5.04)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Bitter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635 (66.63)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641 (62.11)</w:t>
            </w:r>
          </w:p>
        </w:tc>
      </w:tr>
    </w:tbl>
    <w:p>
      <w:pPr>
        <w:spacing w:after="40"/>
      </w:pPr>
    </w:p>
    <w:p>
      <w:pPr>
        <w:pStyle w:val="Normal"/>
      </w:pPr>
      <w:r>
        <w:t>Interpretation boundary / 解读边界: Bitter is the most frequent call and is not treated as an AD phenotype; exploratory Fisher tests ignore donor clustering. / 苦味为最高频判读，不作为 AD 表型；探索性 Fisher 检验忽略供体聚类。</w:t>
      </w:r>
    </w:p>
    <w:p>
      <w:pPr>
        <w:pStyle w:val="Heading2"/>
        <w:keepNext/>
        <w:pageBreakBefore/>
      </w:pPr>
      <w:r>
        <w:t>Table S2. Short-peptide UniDL4BioPep high-confidence counts (P ≥ 0.8) / 表 S2. 短肽 UniDL4BioPep 高置信计数（P ≥ 0.8）</w:t>
      </w:r>
    </w:p>
    <w:p>
      <w:pPr>
        <w:pStyle w:val="Normal"/>
      </w:pPr>
      <w:r>
        <w:t>Backgrounds / 背景: healthy / 健康 30,557; periodontitis / 牙周炎 32,754.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Model / 模型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n (%) / 健康 n (%)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n (%) / 牙周炎 n (%)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ACE_inhibitory_activity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2,781 (9.10)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2,856 (8.72)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TTCA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9,123 (29.86)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9,161 (27.97)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BBB_Peptides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3,359 (10.99)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3,446 (10.52)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APP_Anti-parasitic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21,185 (69.33)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22,010 (67.20)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NeuroPred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3,876 (12.68)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4,019 (12.27)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Antibacterial_AB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9,269 (30.33)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9,273 (28.31)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Antifungal_AF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8,732 (28.58)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8,475 (25.87)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AV_Antiviral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7,501 (24.55)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7,221 (22.05)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Toxicity_2021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2,770 (9.07)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2,751 (8.40)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Antioxidant_FRS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4,171 (13.65)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4,093 (12.50)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Allergenicity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8,599 (28.14)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9,422 (28.77)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DPPIV_inhibitory_activity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207 (0.68)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266 (0.81)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CPP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4,435 (14.51)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4,133 (12.62)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Bitter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5,037 (16.48)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4,986 (15.22)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Umami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6,095 (19.95)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6,094 (18.61)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Antimicrobial_activity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30,537 (99.93)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32,721 (99.90)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Antimalarial_alt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1,724 (5.64)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1,695 (5.17)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Antimalarial_main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6,496 (21.26)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6,586 (20.11)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Quorum_sensing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11,834 (38.73)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12,674 (38.69)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ACP_Anticancer_alt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7,878 (25.78)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8,380 (25.58)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ACP_Anticancer_main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11,370 (37.21)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12,023 (36.71)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Anti-MRSA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4,315 (14.12)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4,728 (14.43)</w:t>
            </w:r>
          </w:p>
        </w:tc>
      </w:tr>
    </w:tbl>
    <w:p>
      <w:pPr>
        <w:spacing w:after="40"/>
      </w:pPr>
    </w:p>
    <w:p>
      <w:pPr>
        <w:pStyle w:val="Normal"/>
      </w:pPr>
      <w:r>
        <w:t xml:space="preserve">Interpretation boundary / 解读边界: </w:t>
      </w:r>
      <w:r>
        <w:rPr>
          <w:rFonts w:ascii="Consolas" w:hAnsi="Consolas" w:eastAsia="等线"/>
          <w:shd w:val="clear" w:color="auto" w:fill="F2F4F7"/>
        </w:rPr>
        <w:t>Antimicrobial_activity</w:t>
      </w:r>
      <w:r>
        <w:t xml:space="preserve"> saturation (99.93% / 99.90%) is a property of that classifier head, not a census of oral antibiotics. / 广谱抗微生物头饱和是该分类头性质，不是口腔抗生素普查。</w:t>
      </w:r>
    </w:p>
    <w:p>
      <w:pPr>
        <w:pStyle w:val="Heading2"/>
        <w:keepNext/>
        <w:pageBreakBefore/>
      </w:pPr>
      <w:r>
        <w:t>Table S3. Three-model funnel with denominators / 表 S3. 三模型漏斗（含分母）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Stage / 阶段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Rule / 规则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</w:t>
            </w:r>
          </w:p>
        </w:tc>
        <w:tc>
          <w:tcPr>
            <w:tcW w:w="23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Denominator basis / 分母依据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short / BBB 短肽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≥ 0.8, 5–30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3,446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periodontitis-supported short set / 牙周炎支持短肽集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long / BBB 长肽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≥ 0.8, 31–50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periodontitis-supported long set / 牙周炎支持长肽集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total / BBB 合计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 ≥ 0.8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3,446 + 72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skipped / NTxPred2 跳过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&lt; 7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3,518 − 3,299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scored / NTxPred2 打分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≥ 7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length gate / 长度门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Neurotoxic / 神经毒性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= Neurotoxic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 ≤ 30 aa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Cu/Fe/Zn binders / Cu/Fe/Zn 结合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mebipred 0.5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of 3,299 scored / 于 3,299 条打分序列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 ≥ 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AnOxPePred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of 111 / 于 111 条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Main set / 主集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 ≥ 0.25 and FRS &lt; 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b/>
                <w:sz w:val="17"/>
                <w:szCs w:val="17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of 15 / 于 15 条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High-confidence subset / 高置信子集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 ≥ 0.25 and FRS &lt; 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b/>
                <w:sz w:val="17"/>
                <w:szCs w:val="17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of 15 / 于 15 条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Table S4. Twelve main candidates — sequences, composition and PAS-focused docking / 表 S4. 十二条主候选——序列、组成与 PAS 聚焦对接</w:t>
      </w:r>
    </w:p>
    <w:p>
      <w:pPr>
        <w:pStyle w:val="Normal"/>
      </w:pPr>
      <w:r>
        <w:t>Receptor / 受体: human AChE, PDB 4EY6 [8]; box / 盒子: 40 × 40 × 40 Å³ centred on the PAS / 以 PAS 为中心; engine / 引擎: AutoDock Vina 1.2.5 [35,36].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Rank / 排名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Peptide ID / 肽 ID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Sequence / 序列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Length (aa) / 长度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His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Cys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Arg+Lys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Aromatic (F/Y/W) / 芳香族</w:t>
            </w:r>
          </w:p>
        </w:tc>
        <w:tc>
          <w:tcPr>
            <w:tcW w:w="104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Vina score mean ± SD (kcal/mol) / Vina 打分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fllhttr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FLLHTTR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(F)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−9.60 ± 0.08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ylsllqr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YLSLLQR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(Y)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−9.49 ± 0.05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alllhrc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ALLLHRC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−9.29 ± 0.11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fclhlqlr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FCLHLQLR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(F)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−9.27 ± 0.09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yhhllcrr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YHHLLCRR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(Y)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−9.03 ± 0.07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llhlpkrtt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LLHLPKRTT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−9.01 ± 0.06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llhplrl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LLHPLRL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−8.94 ± 0.10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wllvhlkk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WLLVHLKK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 (W)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−8.94 ± 0.04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LLHPLRC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−8.91 ± 0.08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hlltlkkhv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HLLTLKKHV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−8.88 ± 0.05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hlpllhrcc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HLPLLHRCC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−8.35 ± 0.12</w:t>
            </w:r>
          </w:p>
        </w:tc>
      </w:tr>
      <w:tr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hvlllrqca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HVLLLRQCA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4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−8.25 ± 0.09</w:t>
            </w:r>
          </w:p>
        </w:tc>
      </w:tr>
    </w:tbl>
    <w:p>
      <w:pPr>
        <w:spacing w:after="40"/>
      </w:pPr>
    </w:p>
    <w:p>
      <w:pPr>
        <w:pStyle w:val="Normal"/>
      </w:pPr>
      <w:r>
        <w:t>Composition columns counted directly from the sequences / 组成列由序列直接计数. Qualitative pose contacts / 构象定性接触: PAS core / PAS 核心 — Tyr72, Asp74, Tyr124, Trp286, Tyr341; gorge aromatics / 峡部芳香族 — Trp86, Phe295, Tyr337, Phe338; catalytic reach / 催化区可及 — Ser203, His447. Vina scores rank poses; they are not binding constants / Vina 打分为构象排序，不是结合常数.</w:t>
      </w:r>
    </w:p>
    <w:p>
      <w:pPr>
        <w:pStyle w:val="Heading2"/>
        <w:keepNext/>
        <w:pageBreakBefore/>
      </w:pPr>
      <w:r>
        <w:t>Table S5. Evidence boundaries for predicted labels / 表 S5. 预测标签的证据边界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Predictor output / 预测器输出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It is / 它是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It is not / 它不是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UniDL4BioPep BBB ≥ 0.8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classifier call on sequence / 序列层面的分类器判读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measured BBB transport or brain exposure / 实测 BBB 转运或脑暴露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= Neurotoxic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predictor label / 预测器标签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experimental neurotoxicity / 实验神经毒性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mebipred Cu/Fe/Zn positive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metal-binding potential call / 金属结合潜力判读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affinity, stoichiometry or coordination evidence / 亲和力、化学计量或配位证据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CHEL-high / FRS-low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priority rule for synthesis / 合成优先级规则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demonstrated pro-oxidant activity / 已证明的促氧化活性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Vina score ≤ −8 kcal/mol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within-set pose ranking / 集合内构象排序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 dissociation constant or binding free energy / 解离常数或结合自由能</w:t>
            </w:r>
          </w:p>
        </w:tc>
      </w:tr>
    </w:tbl>
    <w:p>
      <w:pPr>
        <w:spacing w:after="40"/>
      </w:pPr>
    </w:p>
    <w:p>
      <w:pPr>
        <w:pStyle w:val="Normal"/>
      </w:pPr>
      <w:r>
        <w:rPr>
          <w:i/>
        </w:rPr>
        <w:t>Shared reference list with the main manuscript. / 与主稿共用同一参考文献表。</w:t>
      </w:r>
    </w:p>
    <w:sectPr>
      <w:headerReference w:type="default" r:id="rId4"/>
      <w:footerReference w:type="default" r:id="rId5"/>
      <w:pgSz w:w="11906" w:h="16838"/>
      <w:pgMar w:top="1134" w:right="1134" w:bottom="1134" w:left="1134" w:header="600" w:footer="60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  <w:color w:val="60758A"/>
      </w:rPr>
      <w:t xml:space="preserve">Page </w:t>
    </w:r>
    <w:fldSimple w:instr="PAGE">
      <w:r>
        <w:rPr>
          <w:sz w:val="18"/>
          <w:color w:val="60758A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B7C9E2"/>
      </w:pBdr>
    </w:pPr>
    <w:r>
      <w:rPr>
        <w:sz w:val="17"/>
        <w:szCs w:val="17"/>
        <w:color w:val="60758A"/>
      </w:rPr>
      <w:t>Bilingual scientific-content draft | 中英文科学内容草案 | 2026-08-12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Normal"/>
    <w:qFormat/>
    <w:pPr>
      <w:keepNext/>
      <w:keepLines/>
      <w:spacing w:before="240" w:after="180"/>
      <w:jc w:val="center"/>
      <w:outlineLvl w:val="0"/>
    </w:pPr>
    <w:rPr>
      <w:rFonts w:ascii="Arial" w:hAnsi="Arial" w:eastAsia="黑体"/>
      <w:b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ascii="Arial" w:hAnsi="Arial" w:eastAsia="黑体"/>
      <w:b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ascii="Arial" w:hAnsi="Arial" w:eastAsia="黑体"/>
      <w:b/>
      <w:color w:val="2F5597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rFonts w:ascii="Arial" w:hAnsi="Arial" w:eastAsia="黑体"/>
      <w:b/>
      <w:color w:val="365F91"/>
      <w:sz w:val="23"/>
      <w:szCs w:val="23"/>
    </w:rPr>
  </w:style>
  <w:style w:type="paragraph" w:styleId="Note">
    <w:name w:val="Draft Note"/>
    <w:basedOn w:val="Normal"/>
    <w:pPr>
      <w:spacing w:after="80"/>
      <w:jc w:val="left"/>
    </w:pPr>
    <w:rPr>
      <w:color w:val="5B6573"/>
      <w:i/>
      <w:sz w:val="19"/>
      <w:szCs w:val="19"/>
    </w:rPr>
  </w:style>
  <w:style w:type="paragraph" w:styleId="Keywords">
    <w:name w:val="Keywords"/>
    <w:basedOn w:val="Normal"/>
    <w:pPr>
      <w:spacing w:after="160"/>
    </w:pPr>
    <w:rPr>
      <w:sz w:val="20"/>
      <w:szCs w:val="20"/>
    </w:rPr>
  </w:style>
  <w:style w:type="paragraph" w:styleId="Caption">
    <w:name w:val="Caption"/>
    <w:basedOn w:val="Normal"/>
    <w:pPr>
      <w:keepNext/>
      <w:spacing w:before="60" w:after="120"/>
      <w:jc w:val="left"/>
    </w:pPr>
    <w:rPr>
      <w:i/>
      <w:sz w:val="18"/>
      <w:szCs w:val="18"/>
    </w:rPr>
  </w:style>
  <w:style w:type="paragraph" w:styleId="Figure">
    <w:name w:val="Figure"/>
    <w:basedOn w:val="Normal"/>
    <w:pPr>
      <w:spacing w:before="120" w:after="60"/>
      <w:jc w:val="center"/>
    </w:pPr>
  </w:style>
  <w:style w:type="paragraph" w:styleId="Reference">
    <w:name w:val="Reference"/>
    <w:basedOn w:val="Normal"/>
    <w:pPr>
      <w:spacing w:after="60" w:line="220" w:lineRule="auto"/>
      <w:jc w:val="left"/>
    </w:pPr>
    <w:rPr>
      <w:sz w:val="18"/>
      <w:szCs w:val="18"/>
    </w:rPr>
  </w:style>
  <w:style w:type="paragraph" w:styleId="ListParagraph">
    <w:name w:val="List Paragraph"/>
    <w:basedOn w:val="Normal"/>
    <w:pPr>
      <w:spacing w:after="60"/>
    </w:pPr>
  </w:style>
  <w:style w:type="paragraph" w:styleId="TableText">
    <w:name w:val="Table Text"/>
    <w:basedOn w:val="Normal"/>
    <w:pPr>
      <w:spacing w:after="0"/>
      <w:jc w:val="left"/>
    </w:pPr>
    <w:rPr>
      <w:sz w:val="17"/>
      <w:szCs w:val="17"/>
    </w:rPr>
  </w:style>
  <w:style w:type="table" w:styleId="TableGrid">
    <w:name w:val="Table Grid"/>
    <w:tblPr>
      <w:tblBorders>
        <w:top w:val="single" w:sz="4" w:color="9AA6B2"/>
        <w:left w:val="single" w:sz="4" w:color="9AA6B2"/>
        <w:bottom w:val="single" w:sz="4" w:color="9AA6B2"/>
        <w:right w:val="single" w:sz="4" w:color="9AA6B2"/>
        <w:insideH w:val="single" w:sz="4" w:color="9AA6B2"/>
        <w:insideV w:val="single" w:sz="4" w:color="9AA6B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supplementary tables v0.5</dc:title>
  <dc:subject>Original research scientific-content draft</dc:subject>
  <dc:creator>Accountable authors to be supplied</dc:creator>
  <cp:lastModifiedBy>Arena.ai drafting workflow</cp:lastModifiedBy>
  <dcterms:created xsi:type="dcterms:W3CDTF">2026-08-12T07:13:38Z</dcterms:created>
  <dcterms:modified xsi:type="dcterms:W3CDTF">2026-08-12T07:13:38Z</dcterms:modified>
</cp:coreProperties>
</file>