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keepNext/>
      </w:pPr>
      <w:r>
        <w:t>Supplementary Tables</w:t>
      </w:r>
    </w:p>
    <w:p>
      <w:pPr>
        <w:pStyle w:val="Normal"/>
      </w:pPr>
      <w:r>
        <w:rPr>
          <w:b/>
          <w:bCs/>
        </w:rPr>
        <w:t>Linked manuscript:</w:t>
      </w:r>
      <w:r>
        <w:t xml:space="preserve"> Proteome-supported screening of periodontitis-associated peptides encoded by small open reading frames identifies candidates with predicted metal binding, blood–brain barrier permeability and acetylcholinesterase docking potential</w:t>
      </w:r>
    </w:p>
    <w:p>
      <w:pPr>
        <w:pStyle w:val="Heading1"/>
        <w:keepNext/>
      </w:pPr>
      <w:r>
        <w:t>Supplementary Table S1. Long-peptide UniDL4BioPep high-confidence counts (</w:t>
      </w:r>
      <w:r>
        <w:rPr>
          <w:i/>
          <w:iCs/>
        </w:rPr>
        <w:t>P</w:t>
      </w:r>
      <w:r>
        <w:t xml:space="preserve"> ≥ 0.8)</w:t>
      </w:r>
    </w:p>
    <w:p>
      <w:pPr>
        <w:pStyle w:val="Normal"/>
      </w:pPr>
      <w:r>
        <w:t>Background: healthy, 953; periodontitis, 1,032.</w:t>
      </w:r>
    </w:p>
    <w:tbl>
      <w:tblPr>
        <w:tblStyle w:val="ThreeLineTable"/>
        <w:tblW w:w="5000" w:type="pct"/>
        <w:tblLayout w:type="fixed"/>
        <w:tblLook w:val="04A0" w:firstRow="1" w:lastRow="0" w:firstColumn="0" w:lastColumn="0" w:noHBand="1" w:noVBand="1"/>
        <w:tblBorders>
          <w:top w:val="single" w:sz="12" w:space="0" w:color="000000"/>
          <w:left w:val="nil"/>
          <w:bottom w:val="single" w:sz="12" w:space="0" w:color="000000"/>
          <w:right w:val="nil"/>
          <w:insideH w:val="nil"/>
          <w:insideV w:val="nil"/>
        </w:tblBorders>
      </w:tblPr>
      <w:tblGrid>
        <w:gridCol w:w="2400"/>
        <w:gridCol w:w="3550"/>
        <w:gridCol w:w="3076"/>
      </w:tblGrid>
      <w:tr>
        <w:trPr>
          <w:tblHeader/>
          <w:cantSplit/>
        </w:trPr>
        <w:tc>
          <w:tcPr>
            <w:tcW w:w="240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left"/>
              <w:keepLines/>
            </w:pPr>
            <w:r>
              <w:rPr>
                <w:b/>
                <w:bCs/>
                <w:sz w:val="18"/>
                <w:szCs w:val="18"/>
              </w:rPr>
              <w:t>Model</w:t>
            </w:r>
          </w:p>
        </w:tc>
        <w:tc>
          <w:tcPr>
            <w:tcW w:w="355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8"/>
                <w:szCs w:val="18"/>
              </w:rPr>
              <w:t xml:space="preserve">Healthy </w:t>
            </w:r>
            <w:r>
              <w:rPr>
                <w:i/>
                <w:iCs/>
                <w:sz w:val="18"/>
                <w:szCs w:val="18"/>
              </w:rPr>
              <w:t>n</w:t>
            </w:r>
            <w:r>
              <w:rPr>
                <w:b/>
                <w:bCs/>
                <w:sz w:val="18"/>
                <w:szCs w:val="18"/>
              </w:rPr>
              <w:t xml:space="preserve"> (%)</w:t>
            </w:r>
          </w:p>
        </w:tc>
        <w:tc>
          <w:tcPr>
            <w:tcW w:w="3076"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8"/>
                <w:szCs w:val="18"/>
              </w:rPr>
              <w:t xml:space="preserve">Periodontitis </w:t>
            </w:r>
            <w:r>
              <w:rPr>
                <w:i/>
                <w:iCs/>
                <w:sz w:val="18"/>
                <w:szCs w:val="18"/>
              </w:rPr>
              <w:t>n</w:t>
            </w:r>
            <w:r>
              <w:rPr>
                <w:b/>
                <w:bCs/>
                <w:sz w:val="18"/>
                <w:szCs w:val="18"/>
              </w:rPr>
              <w:t xml:space="preserve"> (%)</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ACP_Anticancer_alt</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91 (9.55)</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121 (11.72)</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BBB_Peptides</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40 (4.20)</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72 (6.98)</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Quorum_sensing</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173 (18.15)</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190 (18.41)</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Antimicrobial</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206 (21.62)</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238 (23.06)</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Antibacterial</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111 (11.65)</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153 (14.83)</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Anti-MRSA</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47 (4.93)</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62 (6.01)</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CPP</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15 (1.57)</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29 (2.81)</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Antifungal</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73 (7.66)</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96 (9.30)</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Toxicity</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13 (1.36)</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18 (1.74)</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Umami</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17 (1.78)</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15 (1.45)</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Antimalarial_alt</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12 (1.26)</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14 (1.36)</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TTCA</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 (0.10)</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 (0.10)</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Antioxidant_FRS</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43 (4.51)</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41 (3.97)</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DPPIV</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0 (0.00)</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0 (0.00)</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Antimalarial_main</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0 (0.00)</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0 (0.00)</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Anti-parasitic</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288 (30.22)</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280 (27.13)</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NeuroPred</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82 (8.60)</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77 (7.46)</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ACP_Anticancer_main</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37 (3.88)</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31 (3.00)</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ACE_inhibitory</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20 (2.10)</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14 (1.36)</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Allergenicity</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16 (1.68)</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11 (1.07)</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Antiviral</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55 (5.77)</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52 (5.04)</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Bitter</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635 (66.63)</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641 (62.11)</w:t>
            </w:r>
          </w:p>
        </w:tc>
      </w:tr>
    </w:tbl>
    <w:p>
      <w:pPr>
        <w:spacing w:after="80"/>
      </w:pPr>
    </w:p>
    <w:p>
      <w:pPr>
        <w:pStyle w:val="TableNote"/>
      </w:pPr>
      <w:r>
        <w:rPr>
          <w:b/>
          <w:bCs/>
        </w:rPr>
        <w:t>Note.</w:t>
      </w:r>
      <w:r>
        <w:t xml:space="preserve"> Bitter is the most frequent call and is not treated as an AD phenotype; exploratory Fisher tests ignore donor clustering.</w:t>
      </w:r>
    </w:p>
    <w:p>
      <w:pPr>
        <w:pStyle w:val="Heading1"/>
        <w:keepNext/>
      </w:pPr>
      <w:r>
        <w:t>Supplementary Table S2. Short-peptide UniDL4BioPep high-confidence counts (</w:t>
      </w:r>
      <w:r>
        <w:rPr>
          <w:i/>
          <w:iCs/>
        </w:rPr>
        <w:t>P</w:t>
      </w:r>
      <w:r>
        <w:t xml:space="preserve"> ≥ 0.8)</w:t>
      </w:r>
    </w:p>
    <w:p>
      <w:pPr>
        <w:pStyle w:val="Normal"/>
      </w:pPr>
      <w:r>
        <w:t>Background: healthy, 30,557; periodontitis, 32,754.</w:t>
      </w:r>
    </w:p>
    <w:tbl>
      <w:tblPr>
        <w:tblStyle w:val="ThreeLineTable"/>
        <w:tblW w:w="5000" w:type="pct"/>
        <w:tblLayout w:type="fixed"/>
        <w:tblLook w:val="04A0" w:firstRow="1" w:lastRow="0" w:firstColumn="0" w:lastColumn="0" w:noHBand="1" w:noVBand="1"/>
        <w:tblBorders>
          <w:top w:val="single" w:sz="12" w:space="0" w:color="000000"/>
          <w:left w:val="nil"/>
          <w:bottom w:val="single" w:sz="12" w:space="0" w:color="000000"/>
          <w:right w:val="nil"/>
          <w:insideH w:val="nil"/>
          <w:insideV w:val="nil"/>
        </w:tblBorders>
      </w:tblPr>
      <w:tblGrid>
        <w:gridCol w:w="2400"/>
        <w:gridCol w:w="3550"/>
        <w:gridCol w:w="3076"/>
      </w:tblGrid>
      <w:tr>
        <w:trPr>
          <w:tblHeader/>
          <w:cantSplit/>
        </w:trPr>
        <w:tc>
          <w:tcPr>
            <w:tcW w:w="240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left"/>
              <w:keepLines/>
            </w:pPr>
            <w:r>
              <w:rPr>
                <w:b/>
                <w:bCs/>
                <w:sz w:val="18"/>
                <w:szCs w:val="18"/>
              </w:rPr>
              <w:t>Model</w:t>
            </w:r>
          </w:p>
        </w:tc>
        <w:tc>
          <w:tcPr>
            <w:tcW w:w="355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8"/>
                <w:szCs w:val="18"/>
              </w:rPr>
              <w:t xml:space="preserve">Healthy </w:t>
            </w:r>
            <w:r>
              <w:rPr>
                <w:i/>
                <w:iCs/>
                <w:sz w:val="18"/>
                <w:szCs w:val="18"/>
              </w:rPr>
              <w:t>n</w:t>
            </w:r>
            <w:r>
              <w:rPr>
                <w:b/>
                <w:bCs/>
                <w:sz w:val="18"/>
                <w:szCs w:val="18"/>
              </w:rPr>
              <w:t xml:space="preserve"> (%)</w:t>
            </w:r>
          </w:p>
        </w:tc>
        <w:tc>
          <w:tcPr>
            <w:tcW w:w="3076"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8"/>
                <w:szCs w:val="18"/>
              </w:rPr>
              <w:t xml:space="preserve">Periodontitis </w:t>
            </w:r>
            <w:r>
              <w:rPr>
                <w:i/>
                <w:iCs/>
                <w:sz w:val="18"/>
                <w:szCs w:val="18"/>
              </w:rPr>
              <w:t>n</w:t>
            </w:r>
            <w:r>
              <w:rPr>
                <w:b/>
                <w:bCs/>
                <w:sz w:val="18"/>
                <w:szCs w:val="18"/>
              </w:rPr>
              <w:t xml:space="preserve"> (%)</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ACE_inhibitory_activity</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2,781 (9.10)</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2,856 (8.72)</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TTCA</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9,123 (29.86)</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9,161 (27.97)</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BBB_Peptides</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3,359 (10.99)</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3,446 (10.52)</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APP_Anti-parasitic</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21,185 (69.33)</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22,010 (67.20)</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NeuroPred</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3,876 (12.68)</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4,019 (12.27)</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Antibacterial_AB</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9,269 (30.33)</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9,273 (28.31)</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Antifungal_AF</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8,732 (28.58)</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8,475 (25.87)</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AV_Antiviral</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7,501 (24.55)</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7,221 (22.05)</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Toxicity_2021</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2,770 (9.07)</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2,751 (8.40)</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Antioxidant_FRS</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4,171 (13.65)</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4,093 (12.50)</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Allergenicity</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8,599 (28.14)</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9,422 (28.77)</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DPPIV_inhibitory_activity</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207 (0.68)</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266 (0.81)</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CPP</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4,435 (14.51)</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4,133 (12.62)</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Bitter</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5,037 (16.48)</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4,986 (15.22)</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Umami</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6,095 (19.95)</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6,094 (18.61)</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Antimicrobial_activity</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30,537 (99.93)</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32,721 (99.90)</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Antimalarial_alt</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1,724 (5.64)</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1,695 (5.17)</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Antimalarial_main</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6,496 (21.26)</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6,586 (20.11)</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Quorum_sensing</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11,834 (38.73)</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12,674 (38.69)</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ACP_Anticancer_alt</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7,878 (25.78)</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8,380 (25.58)</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ACP_Anticancer_main</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11,370 (37.21)</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12,023 (36.71)</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Anti-MRSA</w:t>
            </w:r>
          </w:p>
        </w:tc>
        <w:tc>
          <w:tcPr>
            <w:tcW w:w="35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4,315 (14.12)</w:t>
            </w:r>
          </w:p>
        </w:tc>
        <w:tc>
          <w:tcPr>
            <w:tcW w:w="3076" w:type="dxa"/>
            <w:vAlign w:val="center"/>
            <w:tcMar>
              <w:top w:w="50" w:type="dxa"/>
              <w:left w:w="45" w:type="dxa"/>
              <w:bottom w:w="50" w:type="dxa"/>
              <w:right w:w="45" w:type="dxa"/>
            </w:tcMar>
          </w:tcPr>
          <w:p>
            <w:pPr>
              <w:pStyle w:val="TableText"/>
              <w:spacing w:before="0" w:after="0" w:line="190" w:lineRule="auto"/>
              <w:jc w:val="right"/>
              <w:keepLines/>
            </w:pPr>
            <w:r>
              <w:rPr>
                <w:sz w:val="18"/>
                <w:szCs w:val="18"/>
              </w:rPr>
              <w:t>4,728 (14.43)</w:t>
            </w:r>
          </w:p>
        </w:tc>
      </w:tr>
    </w:tbl>
    <w:p>
      <w:pPr>
        <w:spacing w:after="80"/>
      </w:pPr>
    </w:p>
    <w:p>
      <w:pPr>
        <w:pStyle w:val="TableNote"/>
      </w:pPr>
      <w:r>
        <w:rPr>
          <w:b/>
          <w:bCs/>
        </w:rPr>
        <w:t>Note.</w:t>
      </w:r>
      <w:r>
        <w:t xml:space="preserve"> </w:t>
      </w:r>
      <w:r>
        <w:rPr>
          <w:rFonts w:ascii="Courier New" w:hAnsi="Courier New"/>
        </w:rPr>
        <w:t>Antimicrobial_activity</w:t>
      </w:r>
      <w:r>
        <w:t xml:space="preserve"> saturation (99.93% / 99.90%) is a property of that classifier head, not a census of oral antibiotics.</w:t>
      </w:r>
    </w:p>
    <w:p>
      <w:pPr>
        <w:pStyle w:val="Heading1"/>
        <w:keepNext/>
      </w:pPr>
      <w:r>
        <w:t>Supplementary Table S3. Three-model funnel with denominators</w:t>
      </w:r>
    </w:p>
    <w:tbl>
      <w:tblPr>
        <w:tblStyle w:val="ThreeLineTable"/>
        <w:tblW w:w="5000" w:type="pct"/>
        <w:tblLayout w:type="fixed"/>
        <w:tblLook w:val="04A0" w:firstRow="1" w:lastRow="0" w:firstColumn="0" w:lastColumn="0" w:noHBand="1" w:noVBand="1"/>
        <w:tblBorders>
          <w:top w:val="single" w:sz="12" w:space="0" w:color="000000"/>
          <w:left w:val="nil"/>
          <w:bottom w:val="single" w:sz="12" w:space="0" w:color="000000"/>
          <w:right w:val="nil"/>
          <w:insideH w:val="nil"/>
          <w:insideV w:val="nil"/>
        </w:tblBorders>
      </w:tblPr>
      <w:tblGrid>
        <w:gridCol w:w="1800"/>
        <w:gridCol w:w="2300"/>
        <w:gridCol w:w="1250"/>
        <w:gridCol w:w="3676"/>
      </w:tblGrid>
      <w:tr>
        <w:trPr>
          <w:tblHeader/>
          <w:cantSplit/>
        </w:trPr>
        <w:tc>
          <w:tcPr>
            <w:tcW w:w="180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left"/>
              <w:keepLines/>
            </w:pPr>
            <w:r>
              <w:rPr>
                <w:b/>
                <w:bCs/>
                <w:sz w:val="18"/>
                <w:szCs w:val="18"/>
              </w:rPr>
              <w:t>Stage</w:t>
            </w:r>
          </w:p>
        </w:tc>
        <w:tc>
          <w:tcPr>
            <w:tcW w:w="230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left"/>
              <w:keepLines/>
            </w:pPr>
            <w:r>
              <w:rPr>
                <w:b/>
                <w:bCs/>
                <w:sz w:val="18"/>
                <w:szCs w:val="18"/>
              </w:rPr>
              <w:t>Rule</w:t>
            </w:r>
          </w:p>
        </w:tc>
        <w:tc>
          <w:tcPr>
            <w:tcW w:w="125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i/>
                <w:iCs/>
                <w:sz w:val="18"/>
                <w:szCs w:val="18"/>
              </w:rPr>
              <w:t>n</w:t>
            </w:r>
          </w:p>
        </w:tc>
        <w:tc>
          <w:tcPr>
            <w:tcW w:w="3676"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left"/>
              <w:keepLines/>
            </w:pPr>
            <w:r>
              <w:rPr>
                <w:b/>
                <w:bCs/>
                <w:sz w:val="18"/>
                <w:szCs w:val="18"/>
              </w:rPr>
              <w:t>Denominator basis</w:t>
            </w:r>
          </w:p>
        </w:tc>
      </w:tr>
      <w:tr>
        <w:trPr>
          <w:cantSplit/>
        </w:trPr>
        <w:tc>
          <w:tcPr>
            <w:tcW w:w="18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BBB short</w:t>
            </w:r>
          </w:p>
        </w:tc>
        <w:tc>
          <w:tcPr>
            <w:tcW w:w="23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BBB ≥ 0.8, 5–30 aa</w:t>
            </w:r>
          </w:p>
        </w:tc>
        <w:tc>
          <w:tcPr>
            <w:tcW w:w="12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3,446</w:t>
            </w:r>
          </w:p>
        </w:tc>
        <w:tc>
          <w:tcPr>
            <w:tcW w:w="3676" w:type="dxa"/>
            <w:vAlign w:val="center"/>
            <w:tcMar>
              <w:top w:w="50" w:type="dxa"/>
              <w:left w:w="45" w:type="dxa"/>
              <w:bottom w:w="50" w:type="dxa"/>
              <w:right w:w="45" w:type="dxa"/>
            </w:tcMar>
          </w:tcPr>
          <w:p>
            <w:pPr>
              <w:pStyle w:val="TableText"/>
              <w:spacing w:before="0" w:after="0" w:line="190" w:lineRule="auto"/>
              <w:jc w:val="left"/>
              <w:keepLines/>
            </w:pPr>
            <w:r>
              <w:rPr>
                <w:sz w:val="18"/>
                <w:szCs w:val="18"/>
              </w:rPr>
              <w:t>periodontitis-supported short set</w:t>
            </w:r>
          </w:p>
        </w:tc>
      </w:tr>
      <w:tr>
        <w:trPr>
          <w:cantSplit/>
        </w:trPr>
        <w:tc>
          <w:tcPr>
            <w:tcW w:w="18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BBB long</w:t>
            </w:r>
          </w:p>
        </w:tc>
        <w:tc>
          <w:tcPr>
            <w:tcW w:w="23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BBB ≥ 0.8, 31–50 aa</w:t>
            </w:r>
          </w:p>
        </w:tc>
        <w:tc>
          <w:tcPr>
            <w:tcW w:w="12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72</w:t>
            </w:r>
          </w:p>
        </w:tc>
        <w:tc>
          <w:tcPr>
            <w:tcW w:w="3676" w:type="dxa"/>
            <w:vAlign w:val="center"/>
            <w:tcMar>
              <w:top w:w="50" w:type="dxa"/>
              <w:left w:w="45" w:type="dxa"/>
              <w:bottom w:w="50" w:type="dxa"/>
              <w:right w:w="45" w:type="dxa"/>
            </w:tcMar>
          </w:tcPr>
          <w:p>
            <w:pPr>
              <w:pStyle w:val="TableText"/>
              <w:spacing w:before="0" w:after="0" w:line="190" w:lineRule="auto"/>
              <w:jc w:val="left"/>
              <w:keepLines/>
            </w:pPr>
            <w:r>
              <w:rPr>
                <w:sz w:val="18"/>
                <w:szCs w:val="18"/>
              </w:rPr>
              <w:t>periodontitis-supported long set</w:t>
            </w:r>
          </w:p>
        </w:tc>
      </w:tr>
      <w:tr>
        <w:trPr>
          <w:cantSplit/>
        </w:trPr>
        <w:tc>
          <w:tcPr>
            <w:tcW w:w="18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BBB total</w:t>
            </w:r>
          </w:p>
        </w:tc>
        <w:tc>
          <w:tcPr>
            <w:tcW w:w="23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BBB ≥ 0.8</w:t>
            </w:r>
          </w:p>
        </w:tc>
        <w:tc>
          <w:tcPr>
            <w:tcW w:w="12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3,518</w:t>
            </w:r>
          </w:p>
        </w:tc>
        <w:tc>
          <w:tcPr>
            <w:tcW w:w="3676" w:type="dxa"/>
            <w:vAlign w:val="center"/>
            <w:tcMar>
              <w:top w:w="50" w:type="dxa"/>
              <w:left w:w="45" w:type="dxa"/>
              <w:bottom w:w="50" w:type="dxa"/>
              <w:right w:w="45" w:type="dxa"/>
            </w:tcMar>
          </w:tcPr>
          <w:p>
            <w:pPr>
              <w:pStyle w:val="TableText"/>
              <w:spacing w:before="0" w:after="0" w:line="190" w:lineRule="auto"/>
              <w:jc w:val="left"/>
              <w:keepLines/>
            </w:pPr>
            <w:r>
              <w:rPr>
                <w:sz w:val="18"/>
                <w:szCs w:val="18"/>
              </w:rPr>
              <w:t>3,446 + 72</w:t>
            </w:r>
          </w:p>
        </w:tc>
      </w:tr>
      <w:tr>
        <w:trPr>
          <w:cantSplit/>
        </w:trPr>
        <w:tc>
          <w:tcPr>
            <w:tcW w:w="18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NTxPred2 skipped</w:t>
            </w:r>
          </w:p>
        </w:tc>
        <w:tc>
          <w:tcPr>
            <w:tcW w:w="23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&lt; 7 aa</w:t>
            </w:r>
          </w:p>
        </w:tc>
        <w:tc>
          <w:tcPr>
            <w:tcW w:w="12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219</w:t>
            </w:r>
          </w:p>
        </w:tc>
        <w:tc>
          <w:tcPr>
            <w:tcW w:w="3676" w:type="dxa"/>
            <w:vAlign w:val="center"/>
            <w:tcMar>
              <w:top w:w="50" w:type="dxa"/>
              <w:left w:w="45" w:type="dxa"/>
              <w:bottom w:w="50" w:type="dxa"/>
              <w:right w:w="45" w:type="dxa"/>
            </w:tcMar>
          </w:tcPr>
          <w:p>
            <w:pPr>
              <w:pStyle w:val="TableText"/>
              <w:spacing w:before="0" w:after="0" w:line="190" w:lineRule="auto"/>
              <w:jc w:val="left"/>
              <w:keepLines/>
            </w:pPr>
            <w:r>
              <w:rPr>
                <w:sz w:val="18"/>
                <w:szCs w:val="18"/>
              </w:rPr>
              <w:t>3,518 − 3,299</w:t>
            </w:r>
          </w:p>
        </w:tc>
      </w:tr>
      <w:tr>
        <w:trPr>
          <w:cantSplit/>
        </w:trPr>
        <w:tc>
          <w:tcPr>
            <w:tcW w:w="18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NTxPred2 scored</w:t>
            </w:r>
          </w:p>
        </w:tc>
        <w:tc>
          <w:tcPr>
            <w:tcW w:w="23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 7 aa</w:t>
            </w:r>
          </w:p>
        </w:tc>
        <w:tc>
          <w:tcPr>
            <w:tcW w:w="12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3,299</w:t>
            </w:r>
          </w:p>
        </w:tc>
        <w:tc>
          <w:tcPr>
            <w:tcW w:w="3676" w:type="dxa"/>
            <w:vAlign w:val="center"/>
            <w:tcMar>
              <w:top w:w="50" w:type="dxa"/>
              <w:left w:w="45" w:type="dxa"/>
              <w:bottom w:w="50" w:type="dxa"/>
              <w:right w:w="45" w:type="dxa"/>
            </w:tcMar>
          </w:tcPr>
          <w:p>
            <w:pPr>
              <w:pStyle w:val="TableText"/>
              <w:spacing w:before="0" w:after="0" w:line="190" w:lineRule="auto"/>
              <w:jc w:val="left"/>
              <w:keepLines/>
            </w:pPr>
            <w:r>
              <w:rPr>
                <w:sz w:val="18"/>
                <w:szCs w:val="18"/>
              </w:rPr>
              <w:t>length gate</w:t>
            </w:r>
          </w:p>
        </w:tc>
      </w:tr>
      <w:tr>
        <w:trPr>
          <w:cantSplit/>
        </w:trPr>
        <w:tc>
          <w:tcPr>
            <w:tcW w:w="18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Neurotoxic</w:t>
            </w:r>
          </w:p>
        </w:tc>
        <w:tc>
          <w:tcPr>
            <w:tcW w:w="23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NTxPred2 = Neurotoxic</w:t>
            </w:r>
          </w:p>
        </w:tc>
        <w:tc>
          <w:tcPr>
            <w:tcW w:w="12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923</w:t>
            </w:r>
          </w:p>
        </w:tc>
        <w:tc>
          <w:tcPr>
            <w:tcW w:w="3676" w:type="dxa"/>
            <w:vAlign w:val="center"/>
            <w:tcMar>
              <w:top w:w="50" w:type="dxa"/>
              <w:left w:w="45" w:type="dxa"/>
              <w:bottom w:w="50" w:type="dxa"/>
              <w:right w:w="45" w:type="dxa"/>
            </w:tcMar>
          </w:tcPr>
          <w:p>
            <w:pPr>
              <w:pStyle w:val="TableText"/>
              <w:spacing w:before="0" w:after="0" w:line="190" w:lineRule="auto"/>
              <w:jc w:val="left"/>
              <w:keepLines/>
            </w:pPr>
            <w:r>
              <w:rPr>
                <w:sz w:val="18"/>
                <w:szCs w:val="18"/>
              </w:rPr>
              <w:t>all ≤ 30 aa</w:t>
            </w:r>
          </w:p>
        </w:tc>
      </w:tr>
      <w:tr>
        <w:trPr>
          <w:cantSplit/>
        </w:trPr>
        <w:tc>
          <w:tcPr>
            <w:tcW w:w="18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Cu/Fe/Zn binders</w:t>
            </w:r>
          </w:p>
        </w:tc>
        <w:tc>
          <w:tcPr>
            <w:tcW w:w="23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mebipred 0.5</w:t>
            </w:r>
          </w:p>
        </w:tc>
        <w:tc>
          <w:tcPr>
            <w:tcW w:w="12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111</w:t>
            </w:r>
          </w:p>
        </w:tc>
        <w:tc>
          <w:tcPr>
            <w:tcW w:w="3676" w:type="dxa"/>
            <w:vAlign w:val="center"/>
            <w:tcMar>
              <w:top w:w="50" w:type="dxa"/>
              <w:left w:w="45" w:type="dxa"/>
              <w:bottom w:w="50" w:type="dxa"/>
              <w:right w:w="45" w:type="dxa"/>
            </w:tcMar>
          </w:tcPr>
          <w:p>
            <w:pPr>
              <w:pStyle w:val="TableText"/>
              <w:spacing w:before="0" w:after="0" w:line="190" w:lineRule="auto"/>
              <w:jc w:val="left"/>
              <w:keepLines/>
            </w:pPr>
            <w:r>
              <w:rPr>
                <w:sz w:val="18"/>
                <w:szCs w:val="18"/>
              </w:rPr>
              <w:t>of 3,299 scored</w:t>
            </w:r>
          </w:p>
        </w:tc>
      </w:tr>
      <w:tr>
        <w:trPr>
          <w:cantSplit/>
        </w:trPr>
        <w:tc>
          <w:tcPr>
            <w:tcW w:w="18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CHEL ≥ 0.25</w:t>
            </w:r>
          </w:p>
        </w:tc>
        <w:tc>
          <w:tcPr>
            <w:tcW w:w="23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AnOxPePred</w:t>
            </w:r>
          </w:p>
        </w:tc>
        <w:tc>
          <w:tcPr>
            <w:tcW w:w="1250" w:type="dxa"/>
            <w:vAlign w:val="center"/>
            <w:tcMar>
              <w:top w:w="50" w:type="dxa"/>
              <w:left w:w="45" w:type="dxa"/>
              <w:bottom w:w="50" w:type="dxa"/>
              <w:right w:w="45" w:type="dxa"/>
            </w:tcMar>
          </w:tcPr>
          <w:p>
            <w:pPr>
              <w:pStyle w:val="TableText"/>
              <w:spacing w:before="0" w:after="0" w:line="190" w:lineRule="auto"/>
              <w:jc w:val="right"/>
              <w:keepLines/>
            </w:pPr>
            <w:r>
              <w:rPr>
                <w:sz w:val="18"/>
                <w:szCs w:val="18"/>
              </w:rPr>
              <w:t>15</w:t>
            </w:r>
          </w:p>
        </w:tc>
        <w:tc>
          <w:tcPr>
            <w:tcW w:w="3676" w:type="dxa"/>
            <w:vAlign w:val="center"/>
            <w:tcMar>
              <w:top w:w="50" w:type="dxa"/>
              <w:left w:w="45" w:type="dxa"/>
              <w:bottom w:w="50" w:type="dxa"/>
              <w:right w:w="45" w:type="dxa"/>
            </w:tcMar>
          </w:tcPr>
          <w:p>
            <w:pPr>
              <w:pStyle w:val="TableText"/>
              <w:spacing w:before="0" w:after="0" w:line="190" w:lineRule="auto"/>
              <w:jc w:val="left"/>
              <w:keepLines/>
            </w:pPr>
            <w:r>
              <w:rPr>
                <w:sz w:val="18"/>
                <w:szCs w:val="18"/>
              </w:rPr>
              <w:t>of 111</w:t>
            </w:r>
          </w:p>
        </w:tc>
      </w:tr>
      <w:tr>
        <w:trPr>
          <w:cantSplit/>
        </w:trPr>
        <w:tc>
          <w:tcPr>
            <w:tcW w:w="18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Main set</w:t>
            </w:r>
          </w:p>
        </w:tc>
        <w:tc>
          <w:tcPr>
            <w:tcW w:w="23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CHEL ≥ 0.25 and FRS &lt; 0.50</w:t>
            </w:r>
          </w:p>
        </w:tc>
        <w:tc>
          <w:tcPr>
            <w:tcW w:w="1250" w:type="dxa"/>
            <w:vAlign w:val="center"/>
            <w:tcMar>
              <w:top w:w="50" w:type="dxa"/>
              <w:left w:w="45" w:type="dxa"/>
              <w:bottom w:w="50" w:type="dxa"/>
              <w:right w:w="45" w:type="dxa"/>
            </w:tcMar>
          </w:tcPr>
          <w:p>
            <w:pPr>
              <w:pStyle w:val="TableText"/>
              <w:spacing w:before="0" w:after="0" w:line="190" w:lineRule="auto"/>
              <w:jc w:val="right"/>
              <w:keepLines/>
            </w:pPr>
            <w:r>
              <w:rPr>
                <w:b/>
                <w:bCs/>
                <w:sz w:val="18"/>
                <w:szCs w:val="18"/>
              </w:rPr>
              <w:t>12</w:t>
            </w:r>
          </w:p>
        </w:tc>
        <w:tc>
          <w:tcPr>
            <w:tcW w:w="3676" w:type="dxa"/>
            <w:vAlign w:val="center"/>
            <w:tcMar>
              <w:top w:w="50" w:type="dxa"/>
              <w:left w:w="45" w:type="dxa"/>
              <w:bottom w:w="50" w:type="dxa"/>
              <w:right w:w="45" w:type="dxa"/>
            </w:tcMar>
          </w:tcPr>
          <w:p>
            <w:pPr>
              <w:pStyle w:val="TableText"/>
              <w:spacing w:before="0" w:after="0" w:line="190" w:lineRule="auto"/>
              <w:jc w:val="left"/>
              <w:keepLines/>
            </w:pPr>
            <w:r>
              <w:rPr>
                <w:sz w:val="18"/>
                <w:szCs w:val="18"/>
              </w:rPr>
              <w:t>of 15</w:t>
            </w:r>
          </w:p>
        </w:tc>
      </w:tr>
      <w:tr>
        <w:trPr>
          <w:cantSplit/>
        </w:trPr>
        <w:tc>
          <w:tcPr>
            <w:tcW w:w="18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High-confidence subset</w:t>
            </w:r>
          </w:p>
        </w:tc>
        <w:tc>
          <w:tcPr>
            <w:tcW w:w="23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CHEL ≥ 0.25 and FRS &lt; 0.45</w:t>
            </w:r>
          </w:p>
        </w:tc>
        <w:tc>
          <w:tcPr>
            <w:tcW w:w="1250" w:type="dxa"/>
            <w:vAlign w:val="center"/>
            <w:tcMar>
              <w:top w:w="50" w:type="dxa"/>
              <w:left w:w="45" w:type="dxa"/>
              <w:bottom w:w="50" w:type="dxa"/>
              <w:right w:w="45" w:type="dxa"/>
            </w:tcMar>
          </w:tcPr>
          <w:p>
            <w:pPr>
              <w:pStyle w:val="TableText"/>
              <w:spacing w:before="0" w:after="0" w:line="190" w:lineRule="auto"/>
              <w:jc w:val="right"/>
              <w:keepLines/>
            </w:pPr>
            <w:r>
              <w:rPr>
                <w:b/>
                <w:bCs/>
                <w:sz w:val="18"/>
                <w:szCs w:val="18"/>
              </w:rPr>
              <w:t>8</w:t>
            </w:r>
          </w:p>
        </w:tc>
        <w:tc>
          <w:tcPr>
            <w:tcW w:w="3676" w:type="dxa"/>
            <w:vAlign w:val="center"/>
            <w:tcMar>
              <w:top w:w="50" w:type="dxa"/>
              <w:left w:w="45" w:type="dxa"/>
              <w:bottom w:w="50" w:type="dxa"/>
              <w:right w:w="45" w:type="dxa"/>
            </w:tcMar>
          </w:tcPr>
          <w:p>
            <w:pPr>
              <w:pStyle w:val="TableText"/>
              <w:spacing w:before="0" w:after="0" w:line="190" w:lineRule="auto"/>
              <w:jc w:val="left"/>
              <w:keepLines/>
            </w:pPr>
            <w:r>
              <w:rPr>
                <w:sz w:val="18"/>
                <w:szCs w:val="18"/>
              </w:rPr>
              <w:t>of 15</w:t>
            </w:r>
          </w:p>
        </w:tc>
      </w:tr>
    </w:tbl>
    <w:p>
      <w:pPr>
        <w:spacing w:after="80"/>
      </w:pPr>
    </w:p>
    <w:p>
      <w:pPr>
        <w:pStyle w:val="Heading1"/>
        <w:keepNext/>
      </w:pPr>
      <w:r>
        <w:t>Supplementary Table S4. Twelve main candidates — sequences, composition and PAS-focused docking</w:t>
      </w:r>
    </w:p>
    <w:p>
      <w:pPr>
        <w:pStyle w:val="Normal"/>
      </w:pPr>
      <w:r>
        <w:t>Receptor: human AChE, PDB 4EY6 [8]; search box: 40 × 40 × 40 Å³ centred on the PAS; engine: AutoDock Vina 1.2.5 [34,35].</w:t>
      </w:r>
    </w:p>
    <w:tbl>
      <w:tblPr>
        <w:tblStyle w:val="ThreeLineTable"/>
        <w:tblW w:w="5000" w:type="pct"/>
        <w:tblLayout w:type="fixed"/>
        <w:tblLook w:val="04A0" w:firstRow="1" w:lastRow="0" w:firstColumn="0" w:lastColumn="0" w:noHBand="1" w:noVBand="1"/>
        <w:tblBorders>
          <w:top w:val="single" w:sz="12" w:space="0" w:color="000000"/>
          <w:left w:val="nil"/>
          <w:bottom w:val="single" w:sz="12" w:space="0" w:color="000000"/>
          <w:right w:val="nil"/>
          <w:insideH w:val="nil"/>
          <w:insideV w:val="nil"/>
        </w:tblBorders>
      </w:tblPr>
      <w:tblGrid>
        <w:gridCol w:w="550"/>
        <w:gridCol w:w="880"/>
        <w:gridCol w:w="900"/>
        <w:gridCol w:w="700"/>
        <w:gridCol w:w="390"/>
        <w:gridCol w:w="390"/>
        <w:gridCol w:w="620"/>
        <w:gridCol w:w="1120"/>
        <w:gridCol w:w="3476"/>
      </w:tblGrid>
      <w:tr>
        <w:trPr>
          <w:tblHeader/>
          <w:cantSplit/>
        </w:trPr>
        <w:tc>
          <w:tcPr>
            <w:tcW w:w="55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5"/>
                <w:szCs w:val="15"/>
              </w:rPr>
              <w:t>Rank</w:t>
            </w:r>
          </w:p>
        </w:tc>
        <w:tc>
          <w:tcPr>
            <w:tcW w:w="88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left"/>
              <w:keepLines/>
            </w:pPr>
            <w:r>
              <w:rPr>
                <w:b/>
                <w:bCs/>
                <w:sz w:val="15"/>
                <w:szCs w:val="15"/>
              </w:rPr>
              <w:t>Peptide ID</w:t>
            </w:r>
          </w:p>
        </w:tc>
        <w:tc>
          <w:tcPr>
            <w:tcW w:w="90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left"/>
              <w:keepLines/>
            </w:pPr>
            <w:r>
              <w:rPr>
                <w:b/>
                <w:bCs/>
                <w:sz w:val="15"/>
                <w:szCs w:val="15"/>
              </w:rPr>
              <w:t>Sequence</w:t>
            </w:r>
          </w:p>
        </w:tc>
        <w:tc>
          <w:tcPr>
            <w:tcW w:w="70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5"/>
                <w:szCs w:val="15"/>
              </w:rPr>
              <w:t>Length (aa)</w:t>
            </w:r>
          </w:p>
        </w:tc>
        <w:tc>
          <w:tcPr>
            <w:tcW w:w="39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5"/>
                <w:szCs w:val="15"/>
              </w:rPr>
              <w:t>His</w:t>
            </w:r>
          </w:p>
        </w:tc>
        <w:tc>
          <w:tcPr>
            <w:tcW w:w="39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5"/>
                <w:szCs w:val="15"/>
              </w:rPr>
              <w:t>Cys</w:t>
            </w:r>
          </w:p>
        </w:tc>
        <w:tc>
          <w:tcPr>
            <w:tcW w:w="62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5"/>
                <w:szCs w:val="15"/>
              </w:rPr>
              <w:t>Arg+Lys</w:t>
            </w:r>
          </w:p>
        </w:tc>
        <w:tc>
          <w:tcPr>
            <w:tcW w:w="112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5"/>
                <w:szCs w:val="15"/>
              </w:rPr>
              <w:t>Aromatic (F/Y/W)</w:t>
            </w:r>
          </w:p>
        </w:tc>
        <w:tc>
          <w:tcPr>
            <w:tcW w:w="3476"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right"/>
              <w:keepLines/>
            </w:pPr>
            <w:r>
              <w:rPr>
                <w:b/>
                <w:bCs/>
                <w:sz w:val="15"/>
                <w:szCs w:val="15"/>
              </w:rPr>
              <w:t>Vina score mean ± SD (kcal/mol)</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fllhttr</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FLLHTTR</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7</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 (F)</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−9.60 ± 0.08</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2</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ylsllqr</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YLSLLQR</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7</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 (Y)</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−9.49 ± 0.05</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3</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alllhrc</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ALLLHRC</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7</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−9.29 ± 0.11</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4</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fclhlqlr</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FCLHLQLR</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 (F)</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−9.27 ± 0.09</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5</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yhhllcrr</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YHHLLCRR</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2</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2</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 (Y)</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−9.03 ± 0.07</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6</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llhlpkrtt</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LLHLPKRTT</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2</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−9.01 ± 0.06</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7</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llhplrl</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LLHPLRL</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7</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−8.94 ± 0.10</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wllvhlkk</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WLLVHLKK</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2</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 (W)</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−8.94 ± 0.04</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llhplrc</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LLHPLRC</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7</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−8.91 ± 0.08</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10</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hlltlkkhv</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HLLTLKKHV</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2</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2</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−8.88 ± 0.05</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11</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hlpllhrcc</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HLPLLHRCC</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2</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−8.35 ± 0.12</w:t>
            </w:r>
          </w:p>
        </w:tc>
      </w:tr>
      <w:tr>
        <w:trPr>
          <w:cantSplit/>
        </w:trPr>
        <w:tc>
          <w:tcPr>
            <w:tcW w:w="55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12</w:t>
            </w:r>
          </w:p>
        </w:tc>
        <w:tc>
          <w:tcPr>
            <w:tcW w:w="880" w:type="dxa"/>
            <w:vAlign w:val="center"/>
            <w:tcMar>
              <w:top w:w="50" w:type="dxa"/>
              <w:left w:w="45" w:type="dxa"/>
              <w:bottom w:w="50" w:type="dxa"/>
              <w:right w:w="45" w:type="dxa"/>
            </w:tcMar>
          </w:tcPr>
          <w:p>
            <w:pPr>
              <w:pStyle w:val="TableText"/>
              <w:spacing w:before="0" w:after="0" w:line="190" w:lineRule="auto"/>
              <w:jc w:val="left"/>
              <w:keepLines/>
            </w:pPr>
            <w:r>
              <w:rPr>
                <w:sz w:val="15"/>
                <w:szCs w:val="15"/>
              </w:rPr>
              <w:t>hvlllrqca</w:t>
            </w:r>
          </w:p>
        </w:tc>
        <w:tc>
          <w:tcPr>
            <w:tcW w:w="900" w:type="dxa"/>
            <w:vAlign w:val="center"/>
            <w:tcMar>
              <w:top w:w="50" w:type="dxa"/>
              <w:left w:w="45" w:type="dxa"/>
              <w:bottom w:w="50" w:type="dxa"/>
              <w:right w:w="45" w:type="dxa"/>
            </w:tcMar>
          </w:tcPr>
          <w:p>
            <w:pPr>
              <w:pStyle w:val="TableText"/>
              <w:spacing w:before="0" w:after="0" w:line="190" w:lineRule="auto"/>
              <w:jc w:val="left"/>
              <w:keepLines/>
            </w:pPr>
            <w:r>
              <w:rPr>
                <w:sz w:val="15"/>
                <w:szCs w:val="15"/>
              </w:rPr>
              <w:t>HVLLLRQCA</w:t>
            </w:r>
          </w:p>
        </w:tc>
        <w:tc>
          <w:tcPr>
            <w:tcW w:w="70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9</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39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6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1</w:t>
            </w:r>
          </w:p>
        </w:tc>
        <w:tc>
          <w:tcPr>
            <w:tcW w:w="1120" w:type="dxa"/>
            <w:vAlign w:val="center"/>
            <w:tcMar>
              <w:top w:w="50" w:type="dxa"/>
              <w:left w:w="45" w:type="dxa"/>
              <w:bottom w:w="50" w:type="dxa"/>
              <w:right w:w="45" w:type="dxa"/>
            </w:tcMar>
          </w:tcPr>
          <w:p>
            <w:pPr>
              <w:pStyle w:val="TableText"/>
              <w:spacing w:before="0" w:after="0" w:line="190" w:lineRule="auto"/>
              <w:jc w:val="right"/>
              <w:keepLines/>
            </w:pPr>
            <w:r>
              <w:rPr>
                <w:sz w:val="15"/>
                <w:szCs w:val="15"/>
              </w:rPr>
              <w:t>0</w:t>
            </w:r>
          </w:p>
        </w:tc>
        <w:tc>
          <w:tcPr>
            <w:tcW w:w="3476" w:type="dxa"/>
            <w:vAlign w:val="center"/>
            <w:tcMar>
              <w:top w:w="50" w:type="dxa"/>
              <w:left w:w="45" w:type="dxa"/>
              <w:bottom w:w="50" w:type="dxa"/>
              <w:right w:w="45" w:type="dxa"/>
            </w:tcMar>
          </w:tcPr>
          <w:p>
            <w:pPr>
              <w:pStyle w:val="TableText"/>
              <w:spacing w:before="0" w:after="0" w:line="190" w:lineRule="auto"/>
              <w:jc w:val="right"/>
              <w:keepLines/>
            </w:pPr>
            <w:r>
              <w:rPr>
                <w:sz w:val="15"/>
                <w:szCs w:val="15"/>
              </w:rPr>
              <w:t>−8.25 ± 0.09</w:t>
            </w:r>
          </w:p>
        </w:tc>
      </w:tr>
    </w:tbl>
    <w:p>
      <w:pPr>
        <w:spacing w:after="80"/>
      </w:pPr>
    </w:p>
    <w:p>
      <w:pPr>
        <w:pStyle w:val="TableNote"/>
      </w:pPr>
      <w:r>
        <w:rPr>
          <w:b/>
          <w:bCs/>
        </w:rPr>
        <w:t>Note.</w:t>
      </w:r>
      <w:r>
        <w:t xml:space="preserve"> Composition columns were counted directly from the sequences. Pose contacts were inspected qualitatively at the PAS core (Tyr72, Asp74, Tyr124, Trp286 and Tyr341), gorge aromatics (Trp86, Phe295, Tyr337 and Phe338), and catalytic region (Ser203 and His447). Vina scores are pose-ranking outputs, not binding constants.</w:t>
      </w:r>
    </w:p>
    <w:p>
      <w:pPr>
        <w:pStyle w:val="Heading1"/>
        <w:keepNext/>
      </w:pPr>
      <w:r>
        <w:t>Supplementary Table S5. Evidence boundaries for predicted labels</w:t>
      </w:r>
    </w:p>
    <w:tbl>
      <w:tblPr>
        <w:tblStyle w:val="ThreeLineTable"/>
        <w:tblW w:w="5000" w:type="pct"/>
        <w:tblLayout w:type="fixed"/>
        <w:tblLook w:val="04A0" w:firstRow="1" w:lastRow="0" w:firstColumn="0" w:lastColumn="0" w:noHBand="1" w:noVBand="1"/>
        <w:tblBorders>
          <w:top w:val="single" w:sz="12" w:space="0" w:color="000000"/>
          <w:left w:val="nil"/>
          <w:bottom w:val="single" w:sz="12" w:space="0" w:color="000000"/>
          <w:right w:val="nil"/>
          <w:insideH w:val="nil"/>
          <w:insideV w:val="nil"/>
        </w:tblBorders>
      </w:tblPr>
      <w:tblGrid>
        <w:gridCol w:w="2400"/>
        <w:gridCol w:w="3550"/>
        <w:gridCol w:w="3076"/>
      </w:tblGrid>
      <w:tr>
        <w:trPr>
          <w:tblHeader/>
          <w:cantSplit/>
        </w:trPr>
        <w:tc>
          <w:tcPr>
            <w:tcW w:w="240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left"/>
              <w:keepLines/>
            </w:pPr>
            <w:r>
              <w:rPr>
                <w:b/>
                <w:bCs/>
                <w:sz w:val="18"/>
                <w:szCs w:val="18"/>
              </w:rPr>
              <w:t>Predictor output</w:t>
            </w:r>
          </w:p>
        </w:tc>
        <w:tc>
          <w:tcPr>
            <w:tcW w:w="3550"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left"/>
              <w:keepLines/>
            </w:pPr>
            <w:r>
              <w:rPr>
                <w:b/>
                <w:bCs/>
                <w:sz w:val="18"/>
                <w:szCs w:val="18"/>
              </w:rPr>
              <w:t>It is</w:t>
            </w:r>
          </w:p>
        </w:tc>
        <w:tc>
          <w:tcPr>
            <w:tcW w:w="3076" w:type="dxa"/>
            <w:tcBorders>
              <w:bottom w:val="single" w:sz="8" w:space="0" w:color="000000"/>
            </w:tcBorders>
            <w:vAlign w:val="center"/>
            <w:tcMar>
              <w:top w:w="50" w:type="dxa"/>
              <w:left w:w="45" w:type="dxa"/>
              <w:bottom w:w="50" w:type="dxa"/>
              <w:right w:w="45" w:type="dxa"/>
            </w:tcMar>
          </w:tcPr>
          <w:p>
            <w:pPr>
              <w:pStyle w:val="TableText"/>
              <w:spacing w:before="0" w:after="0" w:line="190" w:lineRule="auto"/>
              <w:jc w:val="left"/>
              <w:keepLines/>
            </w:pPr>
            <w:r>
              <w:rPr>
                <w:b/>
                <w:bCs/>
                <w:sz w:val="18"/>
                <w:szCs w:val="18"/>
              </w:rPr>
              <w:t>It is not</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UniDL4BioPep BBB ≥ 0.8</w:t>
            </w:r>
          </w:p>
        </w:tc>
        <w:tc>
          <w:tcPr>
            <w:tcW w:w="355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 classifier call on sequence</w:t>
            </w:r>
          </w:p>
        </w:tc>
        <w:tc>
          <w:tcPr>
            <w:tcW w:w="3076" w:type="dxa"/>
            <w:vAlign w:val="center"/>
            <w:tcMar>
              <w:top w:w="50" w:type="dxa"/>
              <w:left w:w="45" w:type="dxa"/>
              <w:bottom w:w="50" w:type="dxa"/>
              <w:right w:w="45" w:type="dxa"/>
            </w:tcMar>
          </w:tcPr>
          <w:p>
            <w:pPr>
              <w:pStyle w:val="TableText"/>
              <w:spacing w:before="0" w:after="0" w:line="190" w:lineRule="auto"/>
              <w:jc w:val="left"/>
              <w:keepLines/>
            </w:pPr>
            <w:r>
              <w:rPr>
                <w:sz w:val="18"/>
                <w:szCs w:val="18"/>
              </w:rPr>
              <w:t>measured BBB transport or brain exposure</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NTxPred2 = Neurotoxic</w:t>
            </w:r>
          </w:p>
        </w:tc>
        <w:tc>
          <w:tcPr>
            <w:tcW w:w="355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 predictor label</w:t>
            </w:r>
          </w:p>
        </w:tc>
        <w:tc>
          <w:tcPr>
            <w:tcW w:w="3076" w:type="dxa"/>
            <w:vAlign w:val="center"/>
            <w:tcMar>
              <w:top w:w="50" w:type="dxa"/>
              <w:left w:w="45" w:type="dxa"/>
              <w:bottom w:w="50" w:type="dxa"/>
              <w:right w:w="45" w:type="dxa"/>
            </w:tcMar>
          </w:tcPr>
          <w:p>
            <w:pPr>
              <w:pStyle w:val="TableText"/>
              <w:spacing w:before="0" w:after="0" w:line="190" w:lineRule="auto"/>
              <w:jc w:val="left"/>
              <w:keepLines/>
            </w:pPr>
            <w:r>
              <w:rPr>
                <w:sz w:val="18"/>
                <w:szCs w:val="18"/>
              </w:rPr>
              <w:t>experimental neurotoxicity</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mebipred Cu/Fe/Zn positive</w:t>
            </w:r>
          </w:p>
        </w:tc>
        <w:tc>
          <w:tcPr>
            <w:tcW w:w="355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 metal-binding potential call</w:t>
            </w:r>
          </w:p>
        </w:tc>
        <w:tc>
          <w:tcPr>
            <w:tcW w:w="3076" w:type="dxa"/>
            <w:vAlign w:val="center"/>
            <w:tcMar>
              <w:top w:w="50" w:type="dxa"/>
              <w:left w:w="45" w:type="dxa"/>
              <w:bottom w:w="50" w:type="dxa"/>
              <w:right w:w="45" w:type="dxa"/>
            </w:tcMar>
          </w:tcPr>
          <w:p>
            <w:pPr>
              <w:pStyle w:val="TableText"/>
              <w:spacing w:before="0" w:after="0" w:line="190" w:lineRule="auto"/>
              <w:jc w:val="left"/>
              <w:keepLines/>
            </w:pPr>
            <w:r>
              <w:rPr>
                <w:sz w:val="18"/>
                <w:szCs w:val="18"/>
              </w:rPr>
              <w:t>affinity, stoichiometry or coordination evidence</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CHEL-high / FRS-low</w:t>
            </w:r>
          </w:p>
        </w:tc>
        <w:tc>
          <w:tcPr>
            <w:tcW w:w="355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 priority rule for synthesis</w:t>
            </w:r>
          </w:p>
        </w:tc>
        <w:tc>
          <w:tcPr>
            <w:tcW w:w="3076" w:type="dxa"/>
            <w:vAlign w:val="center"/>
            <w:tcMar>
              <w:top w:w="50" w:type="dxa"/>
              <w:left w:w="45" w:type="dxa"/>
              <w:bottom w:w="50" w:type="dxa"/>
              <w:right w:w="45" w:type="dxa"/>
            </w:tcMar>
          </w:tcPr>
          <w:p>
            <w:pPr>
              <w:pStyle w:val="TableText"/>
              <w:spacing w:before="0" w:after="0" w:line="190" w:lineRule="auto"/>
              <w:jc w:val="left"/>
              <w:keepLines/>
            </w:pPr>
            <w:r>
              <w:rPr>
                <w:sz w:val="18"/>
                <w:szCs w:val="18"/>
              </w:rPr>
              <w:t>demonstrated pro-oxidant activity</w:t>
            </w:r>
          </w:p>
        </w:tc>
      </w:tr>
      <w:tr>
        <w:trPr>
          <w:cantSplit/>
        </w:trPr>
        <w:tc>
          <w:tcPr>
            <w:tcW w:w="2400" w:type="dxa"/>
            <w:vAlign w:val="center"/>
            <w:tcMar>
              <w:top w:w="50" w:type="dxa"/>
              <w:left w:w="45" w:type="dxa"/>
              <w:bottom w:w="50" w:type="dxa"/>
              <w:right w:w="45" w:type="dxa"/>
            </w:tcMar>
          </w:tcPr>
          <w:p>
            <w:pPr>
              <w:pStyle w:val="TableText"/>
              <w:spacing w:before="0" w:after="0" w:line="190" w:lineRule="auto"/>
              <w:jc w:val="left"/>
              <w:keepLines/>
            </w:pPr>
            <w:r>
              <w:rPr>
                <w:sz w:val="18"/>
                <w:szCs w:val="18"/>
              </w:rPr>
              <w:t>Vina score ≤ −8 kcal/mol</w:t>
            </w:r>
          </w:p>
        </w:tc>
        <w:tc>
          <w:tcPr>
            <w:tcW w:w="3550" w:type="dxa"/>
            <w:vAlign w:val="center"/>
            <w:tcMar>
              <w:top w:w="50" w:type="dxa"/>
              <w:left w:w="45" w:type="dxa"/>
              <w:bottom w:w="50" w:type="dxa"/>
              <w:right w:w="45" w:type="dxa"/>
            </w:tcMar>
          </w:tcPr>
          <w:p>
            <w:pPr>
              <w:pStyle w:val="TableText"/>
              <w:spacing w:before="0" w:after="0" w:line="190" w:lineRule="auto"/>
              <w:jc w:val="left"/>
              <w:keepLines/>
            </w:pPr>
            <w:r>
              <w:rPr>
                <w:sz w:val="18"/>
                <w:szCs w:val="18"/>
              </w:rPr>
              <w:t>a within-set pose ranking</w:t>
            </w:r>
          </w:p>
        </w:tc>
        <w:tc>
          <w:tcPr>
            <w:tcW w:w="3076" w:type="dxa"/>
            <w:vAlign w:val="center"/>
            <w:tcMar>
              <w:top w:w="50" w:type="dxa"/>
              <w:left w:w="45" w:type="dxa"/>
              <w:bottom w:w="50" w:type="dxa"/>
              <w:right w:w="45" w:type="dxa"/>
            </w:tcMar>
          </w:tcPr>
          <w:p>
            <w:pPr>
              <w:pStyle w:val="TableText"/>
              <w:spacing w:before="0" w:after="0" w:line="190" w:lineRule="auto"/>
              <w:jc w:val="left"/>
              <w:keepLines/>
            </w:pPr>
            <w:r>
              <w:rPr>
                <w:sz w:val="18"/>
                <w:szCs w:val="18"/>
              </w:rPr>
              <w:t>a dissociation constant or binding free energy</w:t>
            </w:r>
          </w:p>
        </w:tc>
      </w:tr>
    </w:tbl>
    <w:p>
      <w:pPr>
        <w:spacing w:after="80"/>
      </w:pPr>
    </w:p>
    <w:p>
      <w:pPr>
        <w:pStyle w:val="Normal"/>
      </w:pPr>
      <w:r>
        <w:rPr>
          <w:i/>
          <w:iCs/>
        </w:rPr>
        <w:t>References are listed in the main manuscript.</w:t>
      </w:r>
    </w:p>
    <w:sectPr>
      <w:footerReference w:type="default" r:id="rId4"/>
      <w:pgSz w:w="11906" w:h="16838"/>
      <w:pgMar w:top="1440" w:right="1440" w:bottom="1440" w:left="1440" w:header="720" w:footer="720" w:gutter="0"/>
      <w:lnNumType w:countBy="1" w:distance="360" w:restart="continuous"/>
      <w:cols w:space="720"/>
      <w:docGrid w:linePitch="312"/>
    </w:sectPr>
  </w:body>
</w:document>
</file>

<file path=word/fontTable.xml><?xml version="1.0" encoding="utf-8"?>
<w:fonts xmlns:w="http://schemas.openxmlformats.org/wordprocessingml/2006/main">
  <w:font w:name="Times New Roman"/>
  <w:font w:name="Courier New"/>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zoom w:percent="100"/>
  <w:defaultTabStop w:val="720"/>
  <w:updateFields w:val="true"/>
  <w:doNotTrackFormatting/>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GB"/>
      </w:rPr>
    </w:rPrDefault>
    <w:pPrDefault>
      <w:pPr>
        <w:spacing w:before="0" w:after="0" w:line="480" w:lineRule="auto"/>
        <w:jc w:val="both"/>
        <w:widowControl/>
      </w:pPr>
    </w:pPrDefault>
  </w:docDefaults>
  <w:style w:type="paragraph" w:default="1" w:styleId="Normal">
    <w:name w:val="Normal"/>
    <w:qFormat/>
    <w:pPr>
      <w:spacing w:before="0" w:after="0" w:line="480" w:lineRule="auto"/>
      <w:jc w:val="both"/>
      <w:widowControl/>
    </w:pPr>
  </w:style>
  <w:style w:type="paragraph" w:styleId="Title">
    <w:name w:val="Title"/>
    <w:basedOn w:val="Normal"/>
    <w:next w:val="Heading1"/>
    <w:qFormat/>
    <w:pPr>
      <w:keepNext/>
      <w:keepLines/>
      <w:spacing w:before="0" w:after="240" w:line="360" w:lineRule="auto"/>
      <w:jc w:val="center"/>
      <w:outlineLvl w:val="0"/>
    </w:pPr>
    <w:rPr>
      <w:b/>
      <w:bCs/>
      <w:sz w:val="32"/>
      <w:szCs w:val="32"/>
    </w:rPr>
  </w:style>
  <w:style w:type="paragraph" w:styleId="Heading1">
    <w:name w:val="Heading 1"/>
    <w:basedOn w:val="Normal"/>
    <w:next w:val="Normal"/>
    <w:qFormat/>
    <w:pPr>
      <w:keepNext/>
      <w:keepLines/>
      <w:spacing w:before="240" w:after="60" w:line="300" w:lineRule="auto"/>
      <w:outlineLvl w:val="1"/>
    </w:pPr>
    <w:rPr>
      <w:b/>
      <w:bCs/>
      <w:sz w:val="28"/>
      <w:szCs w:val="28"/>
    </w:rPr>
  </w:style>
  <w:style w:type="paragraph" w:styleId="Heading2">
    <w:name w:val="Heading 2"/>
    <w:basedOn w:val="Normal"/>
    <w:next w:val="Normal"/>
    <w:qFormat/>
    <w:pPr>
      <w:keepNext/>
      <w:keepLines/>
      <w:spacing w:before="180" w:after="30" w:line="276" w:lineRule="auto"/>
      <w:outlineLvl w:val="2"/>
    </w:pPr>
    <w:rPr>
      <w:b/>
      <w:bCs/>
      <w:sz w:val="24"/>
      <w:szCs w:val="24"/>
    </w:rPr>
  </w:style>
  <w:style w:type="paragraph" w:styleId="AbstractText">
    <w:name w:val="Abstract Text"/>
    <w:basedOn w:val="Normal"/>
    <w:pPr>
      <w:spacing w:before="0" w:after="80" w:line="300" w:lineRule="auto"/>
      <w:jc w:val="both"/>
    </w:pPr>
    <w:rPr>
      <w:sz w:val="22"/>
      <w:szCs w:val="22"/>
    </w:rPr>
  </w:style>
  <w:style w:type="paragraph" w:styleId="Keywords">
    <w:name w:val="Keywords"/>
    <w:basedOn w:val="AbstractText"/>
    <w:pPr>
      <w:spacing w:after="160" w:line="300" w:lineRule="auto"/>
    </w:pPr>
  </w:style>
  <w:style w:type="paragraph" w:styleId="TableCaption">
    <w:name w:val="Table Caption"/>
    <w:basedOn w:val="Normal"/>
    <w:pPr>
      <w:keepNext/>
      <w:keepLines/>
      <w:spacing w:before="120" w:after="50" w:line="240" w:lineRule="auto"/>
      <w:jc w:val="left"/>
    </w:pPr>
    <w:rPr>
      <w:sz w:val="20"/>
      <w:szCs w:val="20"/>
    </w:rPr>
  </w:style>
  <w:style w:type="paragraph" w:styleId="TableNote">
    <w:name w:val="Table Note"/>
    <w:basedOn w:val="Normal"/>
    <w:pPr>
      <w:spacing w:before="40" w:after="100" w:line="220" w:lineRule="auto"/>
      <w:jc w:val="left"/>
    </w:pPr>
    <w:rPr>
      <w:sz w:val="18"/>
      <w:szCs w:val="18"/>
    </w:rPr>
  </w:style>
  <w:style w:type="paragraph" w:styleId="Reference">
    <w:name w:val="Reference"/>
    <w:basedOn w:val="Normal"/>
    <w:pPr>
      <w:ind w:left="360" w:hanging="360"/>
      <w:spacing w:before="0" w:after="40" w:line="240" w:lineRule="auto"/>
      <w:jc w:val="left"/>
      <w:widowControl/>
    </w:pPr>
    <w:rPr>
      <w:sz w:val="20"/>
      <w:szCs w:val="20"/>
    </w:rPr>
  </w:style>
  <w:style w:type="paragraph" w:styleId="TableText">
    <w:name w:val="Table Text"/>
    <w:basedOn w:val="Normal"/>
    <w:pPr>
      <w:spacing w:before="0" w:after="0" w:line="190" w:lineRule="auto"/>
      <w:jc w:val="left"/>
    </w:pPr>
    <w:rPr>
      <w:sz w:val="18"/>
      <w:szCs w:val="18"/>
    </w:rPr>
  </w:style>
  <w:style w:type="table" w:styleId="ThreeLineTable">
    <w:name w:val="Three-line Table"/>
    <w:uiPriority w:val="1"/>
    <w:qFormat/>
    <w:tblPr>
      <w:tblCellMar>
        <w:top w:w="50" w:type="dxa"/>
        <w:left w:w="45" w:type="dxa"/>
        <w:bottom w:w="50" w:type="dxa"/>
        <w:right w:w="45"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footer" Target="footer1.xml"/>
</Relationships>
</file>

<file path=docProps/app.xml><?xml version="1.0" encoding="utf-8"?>
<Properties xmlns="http://schemas.openxmlformats.org/officeDocument/2006/extended-properties">
  <Application>Office Open XML</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Supplementary tables — periodontitis-associated sORF peptide screen</dc:title>
  <dc:subject>Blinded scientific manuscript</dc:subject>
  <dc:creator/>
  <cp:lastModifiedBy/>
  <dcterms:created xsi:type="dcterms:W3CDTF">2026-08-17T03:13:04Z</dcterms:created>
  <dcterms:modified xsi:type="dcterms:W3CDTF">2026-08-17T03:13:04Z</dcterms:modified>
</cp:coreProperties>
</file>