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jc w:val="left"/>
            </w:pPr>
            <w:r>
              <w:rPr>
                <w:rFonts w:ascii="宋体" w:hAnsi="宋体"/>
                <w:sz w:val="28"/>
              </w:rPr>
              <w:t>作   者   姓   名</w:t>
            </w:r>
          </w:p>
        </w:tc>
        <w:tc>
          <w:tcPr>
            <w:tcW w:type="dxa" w:w="4252"/>
          </w:tcPr>
          <w:p>
            <w:pPr>
              <w:spacing w:before="60" w:after="60"/>
              <w:jc w:val="left"/>
            </w:pPr>
            <w:r>
              <w:rPr>
                <w:rFonts w:ascii="宋体" w:hAnsi="宋体"/>
                <w:b/>
                <w:sz w:val="28"/>
              </w:rPr>
              <w:t>温少华</w:t>
            </w:r>
          </w:p>
        </w:tc>
      </w:tr>
      <w:tr>
        <w:tc>
          <w:tcPr>
            <w:tcW w:type="dxa" w:w="2835"/>
          </w:tcPr>
          <w:p>
            <w:pPr>
              <w:spacing w:before="60" w:after="60"/>
              <w:jc w:val="left"/>
            </w:pPr>
            <w:r>
              <w:rPr>
                <w:rFonts w:ascii="宋体" w:hAnsi="宋体"/>
                <w:sz w:val="28"/>
              </w:rPr>
              <w:t>指导教师姓名职称</w:t>
            </w:r>
          </w:p>
        </w:tc>
        <w:tc>
          <w:tcPr>
            <w:tcW w:type="dxa" w:w="4252"/>
          </w:tcPr>
          <w:p>
            <w:pPr>
              <w:spacing w:before="60" w:after="60"/>
              <w:jc w:val="left"/>
            </w:pPr>
            <w:r>
              <w:rPr>
                <w:rFonts w:ascii="宋体" w:hAnsi="宋体"/>
                <w:b/>
                <w:sz w:val="28"/>
              </w:rPr>
              <w:t>陈建国  教授</w:t>
            </w:r>
          </w:p>
        </w:tc>
      </w:tr>
      <w:tr>
        <w:tc>
          <w:tcPr>
            <w:tcW w:type="dxa" w:w="2835"/>
          </w:tcPr>
          <w:p>
            <w:pPr>
              <w:spacing w:before="60" w:after="60"/>
              <w:jc w:val="left"/>
            </w:pPr>
            <w:r>
              <w:rPr>
                <w:rFonts w:ascii="宋体" w:hAnsi="宋体"/>
                <w:sz w:val="28"/>
              </w:rPr>
              <w:t>学 科 专 业 名 称</w:t>
            </w:r>
          </w:p>
        </w:tc>
        <w:tc>
          <w:tcPr>
            <w:tcW w:type="dxa" w:w="4252"/>
          </w:tcPr>
          <w:p>
            <w:pPr>
              <w:spacing w:before="60" w:after="60"/>
              <w:jc w:val="left"/>
            </w:pPr>
            <w:r>
              <w:rPr>
                <w:rFonts w:ascii="宋体" w:hAnsi="宋体"/>
                <w:b/>
                <w:sz w:val="28"/>
              </w:rPr>
              <w:t>计算机科学与技术</w:t>
            </w:r>
          </w:p>
        </w:tc>
      </w:tr>
      <w:tr>
        <w:tc>
          <w:tcPr>
            <w:tcW w:type="dxa" w:w="2835"/>
          </w:tcPr>
          <w:p>
            <w:pPr>
              <w:spacing w:before="60" w:after="60"/>
              <w:jc w:val="left"/>
            </w:pPr>
            <w:r>
              <w:rPr>
                <w:rFonts w:ascii="宋体" w:hAnsi="宋体"/>
                <w:sz w:val="28"/>
              </w:rPr>
              <w:t>研   究   方   向</w:t>
            </w:r>
          </w:p>
        </w:tc>
        <w:tc>
          <w:tcPr>
            <w:tcW w:type="dxa" w:w="4252"/>
          </w:tcPr>
          <w:p>
            <w:pPr>
              <w:spacing w:before="60" w:after="60"/>
              <w:jc w:val="left"/>
            </w:pPr>
            <w:r>
              <w:rPr>
                <w:rFonts w:ascii="宋体" w:hAnsi="宋体"/>
                <w:b/>
                <w:sz w:val="28"/>
              </w:rPr>
              <w:t>智能排版与自然语言处理</w:t>
            </w:r>
          </w:p>
        </w:tc>
      </w:tr>
      <w:tr>
        <w:tc>
          <w:tcPr>
            <w:tcW w:type="dxa" w:w="2835"/>
          </w:tcPr>
          <w:p>
            <w:pPr>
              <w:spacing w:before="60" w:after="60"/>
              <w:jc w:val="left"/>
            </w:pPr>
            <w:r>
              <w:rPr>
                <w:rFonts w:ascii="宋体" w:hAnsi="宋体"/>
                <w:sz w:val="28"/>
              </w:rPr>
              <w:t>论 文 答 辩 日 期</w:t>
            </w:r>
          </w:p>
        </w:tc>
        <w:tc>
          <w:tcPr>
            <w:tcW w:type="dxa" w:w="4252"/>
          </w:tcPr>
          <w:p>
            <w:pPr>
              <w:spacing w:before="60" w:after="60"/>
              <w:jc w:val="left"/>
            </w:pPr>
            <w:r>
              <w:rPr>
                <w:rFonts w:ascii="宋体" w:hAnsi="宋体"/>
                <w:b/>
                <w:sz w:val="28"/>
              </w:rPr>
              <w:t>2026 年 5 月 28 日</w:t>
            </w:r>
          </w:p>
        </w:tc>
      </w:tr>
      <w:tr>
        <w:tc>
          <w:tcPr>
            <w:tcW w:type="dxa" w:w="2835"/>
          </w:tcPr>
          <w:p>
            <w:pPr>
              <w:spacing w:before="60" w:after="60"/>
              <w:jc w:val="left"/>
            </w:pPr>
            <w:r>
              <w:rPr>
                <w:rFonts w:ascii="宋体" w:hAnsi="宋体"/>
                <w:sz w:val="28"/>
              </w:rPr>
              <w:t>答辩委员会主席</w:t>
            </w:r>
          </w:p>
        </w:tc>
        <w:tc>
          <w:tcPr>
            <w:tcW w:type="dxa" w:w="4252"/>
          </w:tcPr>
          <w:p>
            <w:pPr>
              <w:spacing w:before="60" w:after="60"/>
              <w:jc w:val="left"/>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编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然而，在实际写作过程中，由于文字处理软件样式系统的复杂性，学生常常面临格式调整耗时费力、模板版本不一致、导出格式漂移等难题。研发一套符合学校官方规范的智能排版系统具有重要的应用价值与现实意义。</w:t>
      </w:r>
    </w:p>
    <w:p>
      <w:pPr>
        <w:pStyle w:val="Heading2"/>
      </w:pPr>
      <w:r>
        <w:t>国内外研究现状</w:t>
      </w:r>
    </w:p>
    <w:p>
      <w:r>
        <w:t>目前，学术界与工业界在科技文献与学位论文排版方面主要形成了基于标记语言（如 LaTeX）和基于字处理宏扩展两条主要技术路线。</w:t>
      </w:r>
    </w:p>
    <w:p>
      <w:pPr>
        <w:pStyle w:val="Heading3"/>
      </w:pPr>
      <w:r>
        <w:t>基于标记语言的排版系统</w:t>
      </w:r>
    </w:p>
    <w:p>
      <w:r>
        <w:t>以 LaTeX 为代表的标记语言排版系统在数学公式、交叉引用和自动化编号方面具有极高精度，但其语法陡峭，对非计算机学科研究生学习成本较高。</w:t>
      </w:r>
    </w:p>
    <w:p>
      <w:pPr>
        <w:pStyle w:val="Heading3"/>
      </w:pPr>
      <w:r>
        <w:t>基于宏与脚本的Word扩展插件</w:t>
      </w:r>
    </w:p>
    <w:p>
      <w:r>
        <w:t>基于 Python-docx 或 VBA 的脚本工具能够对 Word 文档进行批处理，但现有工具多缺乏全局语义分区感知能力，容易出现封面被误冲刷、跨节页眉页码紊乱等问题。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根据学校写作规范，版面统一采用A4纸张（210mm×297mm），页边距设置为上3.0cm、下2.5cm、左3.0cm、右3.0cm，页眉距边界2.0cm，页脚距边界2.2cm。系统预置的核心页面参数如表2.1所示。</w:t>
      </w:r>
    </w:p>
    <w:p>
      <w:pPr>
        <w:pStyle w:val="Heading2"/>
      </w:pPr>
      <w:r>
        <w:t>系统核心版面参数配置表</w:t>
      </w:r>
    </w:p>
    <w:p>
      <w:r>
        <w:t>表2.1 鲁东大学学术学位论文版面与字体规范参数表</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学校规范要求所有表格统一使用标准三线表。顶线与底线粗度为1.0磅，栏目线（表头下线）粗度为0.5磅。系统对常规表格的重构处理流程如图3.1所示。</w:t>
      </w:r>
    </w:p>
    <w:p>
      <w:pPr>
        <w:pStyle w:val="Heading2"/>
      </w:pPr>
      <w:r>
        <w:t>算法流程展示</w:t>
      </w:r>
    </w:p>
    <w:p>
      <w:r>
        <w:t>（此处为算法流程示意图）</w:t>
      </w:r>
    </w:p>
    <w:p>
      <w:r>
        <w:t>图3.1 表格重构与多级编号管道处理流程示意图</w:t>
      </w:r>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[1]59-60。此外，根据文献[2]中蓝田生物群的演化发现，文献[3]在经济数学模型方面的理论推导，以及文献[10]在自然生态保护方面的最新研究成果，本研究算法具备了广泛的跨学科适应性。</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t>[1] 陈登原. 国史旧闻：第1卷[M]. 北京：中华书局，2000：29.</w:t>
      </w:r>
    </w:p>
    <w:p>
      <w:r>
        <w:t>[2] 袁训来，陈哲，肖书海，等. 蓝田生物群：一个认识多细胞生物起源和早期演化的新窗口[J]. 科学通报，2012，55(34)：3219.</w:t>
      </w:r>
    </w:p>
    <w:p>
      <w:r>
        <w:t>[3] 哈里森，沃尔德伦. 经济数学与金融数学[M]. 谢远涛，译. 北京：中国人民大学出版社，2012：235-236.</w:t>
      </w:r>
    </w:p>
    <w:p>
      <w:r>
        <w:t>[4] 马克思. 政治经济学批判[M]//马克思，恩格斯. 马克思恩格斯全集：第35卷. 北京：人民出版社，2013：302.</w:t>
      </w:r>
    </w:p>
    <w:p>
      <w:r>
        <w:t>[5] 冯西桥. 核反应堆压力管道与压力容器的LBB分析[R]. 北京：清华大学核能技术设计研究院，1997.</w:t>
      </w:r>
    </w:p>
    <w:p>
      <w:r>
        <w:t>[6] 陈志勇. 中国财税文化价值研究：“中国财税文化国际学术研讨会”论文集[C/OL]. 北京：经济科学出版社，2011[2013-10-14]. http://apabi.lib.pku.edu.cn/usp/pku/pub.mvc?pid=book.detail&amp;metaid=m.20110628-BPO-889-0135&amp;cult=CN.</w:t>
      </w:r>
    </w:p>
    <w:p>
      <w:r>
        <w:t>[7] 谢希德. 创造学习的新思路[N]. 人民日报，1998-12-25(10).</w:t>
      </w:r>
    </w:p>
    <w:p>
      <w:r>
        <w:t>[8] 全国信息与文献标准化技术委员会. 文献著录：第4部分非书资料：GB/T 3792.4-2009[S]. 北京：中国标准出版社，2010：3.</w:t>
      </w:r>
    </w:p>
    <w:p>
      <w:r>
        <w:t>[9] 萧钰. 出版业信息化迈入快车道[EB/OL]. (2001-12-19)[2002-04-15]. http://www.creader.com/news/20011219/200112190019.html.</w:t>
      </w:r>
    </w:p>
    <w:p>
      <w:r>
        <w:t>[10] Cao S. Months away at sea to protect China’s only population of Bryde’s whales[J]. Nature, 2024, 634(8036): 1252-1252.</w:t>
      </w:r>
    </w:p>
    <w:p>
      <w:r>
        <w:t>[11] 张凯军. 轨道火车及高速轨道火车紧急安全制动辅助装置：201220158825.2[P]. 2012-04-05.</w:t>
      </w:r>
    </w:p>
    <w:p>
      <w:r>
        <w:t>[12] 李明. 对脚背内侧踢定位球技术的生物力学研究——踢球腿主要关节运动速度的研究[D]. 苏州：苏州大学，2004.</w:t>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r>
        <w:t>[3] 李明. 对脚背内侧踢定位球技术的生物力学研究——踢球腿主要关节运动速度的研究[D]. 苏州：苏州大学，2003.</w:t>
      </w:r>
    </w:p>
    <w:p>
      <w:r>
        <w:t>[4] 冯西桥. 核反应堆压力管道与压力容器的LBB分析[R]. 北京：清华大学核能技术设计研究院，1997.</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