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fldChar w:fldCharType="begin"/>
      </w:r>
      <w:r>
        <w:instrText xml:space="preserve"> ADDIN ZOTERO_PREF &lt;data data-version="3" zotero-version="6.0.37"&gt;&lt;session id="LdThsZ01"/&gt;&lt;style id="http://www.zotero.org/styles/china-national-standard-gb-t-7714-2015-numeric" locale="zh-CN" hasBibliography="1" bibliographyStyleHasBeenSet="1"/&gt;&lt;prefs&gt;&lt;pref name="fieldType" value="Field"/&gt;&lt;pref name="storeReferences" value="true"/&gt;&lt;pref name="automaticJournalAbbreviations" value="true"/&gt;&lt;pref name="noteType" value="0"/&gt;&lt;/prefs&gt;&lt;/data&gt; </w:instrText>
      </w:r>
      <w:r>
        <w:fldChar w:fldCharType="separate"/>
      </w:r>
      <w:r>
        <w:rPr>
          <w:vanish/>
        </w:rPr>
        <w:t xml:space="preserve"/>
      </w:r>
      <w:r>
        <w:fldChar w:fldCharType="end"/>
      </w:r>
    </w:p>
    <w:p>
      <w:pPr>
        <w:spacing w:before="0" w:after="280" w:line="360" w:lineRule="exact"/>
      </w:pPr>
      <w:r>
        <w:rPr>
          <w:rFonts w:ascii="宋体" w:hAnsi="宋体"/>
          <w:sz w:val="24"/>
        </w:rPr>
        <w:t>分类号：TP391.1                                  单位代码：10451</w:t>
        <w:br/>
        <w:t>密  级：公  开                                  学    号：2023010451</w:t>
      </w:r>
    </w:p>
    <w:p>
      <w:pPr>
        <w:spacing w:before="120" w:after="160"/>
        <w:jc w:val="center"/>
      </w:pPr>
      <w:r>
        <w:drawing>
          <wp:inline xmlns:a="http://schemas.openxmlformats.org/drawingml/2006/main" xmlns:pic="http://schemas.openxmlformats.org/drawingml/2006/picture">
            <wp:extent cx="2448000" cy="929168"/>
            <wp:docPr id="1" name="Picture 1"/>
            <wp:cNvGraphicFramePr>
              <a:graphicFrameLocks noChangeAspect="1"/>
            </wp:cNvGraphicFramePr>
            <a:graphic>
              <a:graphicData uri="http://schemas.openxmlformats.org/drawingml/2006/picture">
                <pic:pic>
                  <pic:nvPicPr>
                    <pic:cNvPr id="0" name="ludong_logo_text.jpeg"/>
                    <pic:cNvPicPr/>
                  </pic:nvPicPr>
                  <pic:blipFill>
                    <a:blip r:embed="rId9"/>
                    <a:stretch>
                      <a:fillRect/>
                    </a:stretch>
                  </pic:blipFill>
                  <pic:spPr>
                    <a:xfrm>
                      <a:off x="0" y="0"/>
                      <a:ext cx="2448000" cy="929168"/>
                    </a:xfrm>
                    <a:prstGeom prst="rect"/>
                  </pic:spPr>
                </pic:pic>
              </a:graphicData>
            </a:graphic>
          </wp:inline>
        </w:drawing>
      </w:r>
    </w:p>
    <w:p>
      <w:pPr>
        <w:spacing w:before="120" w:after="200"/>
        <w:jc w:val="center"/>
      </w:pPr>
      <w:r>
        <w:rPr>
          <w:rFonts w:ascii="黑体" w:hAnsi="黑体"/>
          <w:b/>
          <w:sz w:val="60"/>
        </w:rPr>
        <w:t>学术硕士学位论文</w:t>
      </w:r>
    </w:p>
    <w:p>
      <w:pPr>
        <w:spacing w:before="80" w:after="240"/>
        <w:jc w:val="center"/>
      </w:pPr>
      <w:r>
        <w:drawing>
          <wp:inline xmlns:a="http://schemas.openxmlformats.org/drawingml/2006/main" xmlns:pic="http://schemas.openxmlformats.org/drawingml/2006/picture">
            <wp:extent cx="1224000" cy="1232298"/>
            <wp:docPr id="2" name="Picture 2"/>
            <wp:cNvGraphicFramePr>
              <a:graphicFrameLocks noChangeAspect="1"/>
            </wp:cNvGraphicFramePr>
            <a:graphic>
              <a:graphicData uri="http://schemas.openxmlformats.org/drawingml/2006/picture">
                <pic:pic>
                  <pic:nvPicPr>
                    <pic:cNvPr id="0" name="ludong_emblem.jpeg"/>
                    <pic:cNvPicPr/>
                  </pic:nvPicPr>
                  <pic:blipFill>
                    <a:blip r:embed="rId10"/>
                    <a:stretch>
                      <a:fillRect/>
                    </a:stretch>
                  </pic:blipFill>
                  <pic:spPr>
                    <a:xfrm>
                      <a:off x="0" y="0"/>
                      <a:ext cx="1224000" cy="1232298"/>
                    </a:xfrm>
                    <a:prstGeom prst="rect"/>
                  </pic:spPr>
                </pic:pic>
              </a:graphicData>
            </a:graphic>
          </wp:inline>
        </w:drawing>
      </w:r>
    </w:p>
    <w:p>
      <w:pPr>
        <w:spacing w:before="120" w:after="320"/>
        <w:jc w:val="center"/>
      </w:pPr>
      <w:r>
        <w:rPr>
          <w:rFonts w:ascii="黑体" w:hAnsi="黑体"/>
          <w:b/>
          <w:sz w:val="36"/>
        </w:rPr>
        <w:t>基于深度学习的学术论文智能排版</w:t>
        <w:br/>
        <w:t>与语义格式校对系统研究</w:t>
      </w:r>
    </w:p>
    <w:tbl>
      <w:tblPr>
        <w:tblW w:type="auto" w:w="0"/>
        <w:jc w:val="center"/>
        <w:tblLook w:firstColumn="1" w:firstRow="1" w:lastColumn="0" w:lastRow="0" w:noHBand="0" w:noVBand="1" w:val="04A0"/>
      </w:tblPr>
      <w:tblGrid>
        <w:gridCol w:w="4252"/>
        <w:gridCol w:w="4252"/>
      </w:tblGrid>
      <w:tr>
        <w:tc>
          <w:tcPr>
            <w:tcW w:type="dxa" w:w="2835"/>
          </w:tcPr>
          <w:p>
            <w:pPr>
              <w:spacing w:before="60" w:after="60"/>
            </w:pPr>
            <w:r>
              <w:rPr>
                <w:rFonts w:ascii="宋体" w:hAnsi="宋体"/>
                <w:sz w:val="28"/>
              </w:rPr>
              <w:t>作   者   姓   名</w:t>
            </w:r>
          </w:p>
        </w:tc>
        <w:tc>
          <w:tcPr>
            <w:tcW w:type="dxa" w:w="4252"/>
          </w:tcPr>
          <w:p>
            <w:pPr>
              <w:spacing w:before="60" w:after="60"/>
            </w:pPr>
            <w:r>
              <w:rPr>
                <w:rFonts w:ascii="宋体" w:hAnsi="宋体"/>
                <w:b/>
                <w:sz w:val="28"/>
              </w:rPr>
              <w:t>温少华</w:t>
            </w:r>
          </w:p>
        </w:tc>
      </w:tr>
      <w:tr>
        <w:tc>
          <w:tcPr>
            <w:tcW w:type="dxa" w:w="2835"/>
          </w:tcPr>
          <w:p>
            <w:pPr>
              <w:spacing w:before="60" w:after="60"/>
            </w:pPr>
            <w:r>
              <w:rPr>
                <w:rFonts w:ascii="宋体" w:hAnsi="宋体"/>
                <w:sz w:val="28"/>
              </w:rPr>
              <w:t>指导教师姓名职称</w:t>
            </w:r>
          </w:p>
        </w:tc>
        <w:tc>
          <w:tcPr>
            <w:tcW w:type="dxa" w:w="4252"/>
          </w:tcPr>
          <w:p>
            <w:pPr>
              <w:spacing w:before="60" w:after="60"/>
            </w:pPr>
            <w:r>
              <w:rPr>
                <w:rFonts w:ascii="宋体" w:hAnsi="宋体"/>
                <w:b/>
                <w:sz w:val="28"/>
              </w:rPr>
              <w:t>陈建国  教授</w:t>
            </w:r>
          </w:p>
        </w:tc>
      </w:tr>
      <w:tr>
        <w:tc>
          <w:tcPr>
            <w:tcW w:type="dxa" w:w="2835"/>
          </w:tcPr>
          <w:p>
            <w:pPr>
              <w:spacing w:before="60" w:after="60"/>
            </w:pPr>
            <w:r>
              <w:rPr>
                <w:rFonts w:ascii="宋体" w:hAnsi="宋体"/>
                <w:sz w:val="28"/>
              </w:rPr>
              <w:t>学 科 专 业 名 称</w:t>
            </w:r>
          </w:p>
        </w:tc>
        <w:tc>
          <w:tcPr>
            <w:tcW w:type="dxa" w:w="4252"/>
          </w:tcPr>
          <w:p>
            <w:pPr>
              <w:spacing w:before="60" w:after="60"/>
            </w:pPr>
            <w:r>
              <w:rPr>
                <w:rFonts w:ascii="宋体" w:hAnsi="宋体"/>
                <w:b/>
                <w:sz w:val="28"/>
              </w:rPr>
              <w:t>计算机科学与技术</w:t>
            </w:r>
          </w:p>
        </w:tc>
      </w:tr>
      <w:tr>
        <w:tc>
          <w:tcPr>
            <w:tcW w:type="dxa" w:w="2835"/>
          </w:tcPr>
          <w:p>
            <w:pPr>
              <w:spacing w:before="60" w:after="60"/>
            </w:pPr>
            <w:r>
              <w:rPr>
                <w:rFonts w:ascii="宋体" w:hAnsi="宋体"/>
                <w:sz w:val="28"/>
              </w:rPr>
              <w:t>研   究   方   向</w:t>
            </w:r>
          </w:p>
        </w:tc>
        <w:tc>
          <w:tcPr>
            <w:tcW w:type="dxa" w:w="4252"/>
          </w:tcPr>
          <w:p>
            <w:pPr>
              <w:spacing w:before="60" w:after="60"/>
            </w:pPr>
            <w:r>
              <w:rPr>
                <w:rFonts w:ascii="宋体" w:hAnsi="宋体"/>
                <w:b/>
                <w:sz w:val="28"/>
              </w:rPr>
              <w:t>智能排版与自然语言处理</w:t>
            </w:r>
          </w:p>
        </w:tc>
      </w:tr>
      <w:tr>
        <w:tc>
          <w:tcPr>
            <w:tcW w:type="dxa" w:w="2835"/>
          </w:tcPr>
          <w:p>
            <w:pPr>
              <w:spacing w:before="60" w:after="60"/>
            </w:pPr>
            <w:r>
              <w:rPr>
                <w:rFonts w:ascii="宋体" w:hAnsi="宋体"/>
                <w:sz w:val="28"/>
              </w:rPr>
              <w:t>论 文 答 辩 日 期</w:t>
            </w:r>
          </w:p>
        </w:tc>
        <w:tc>
          <w:tcPr>
            <w:tcW w:type="dxa" w:w="4252"/>
          </w:tcPr>
          <w:p>
            <w:pPr>
              <w:spacing w:before="60" w:after="60"/>
            </w:pPr>
            <w:r>
              <w:rPr>
                <w:rFonts w:ascii="宋体" w:hAnsi="宋体"/>
                <w:b/>
                <w:sz w:val="28"/>
              </w:rPr>
              <w:t>2026 年 5 月 28 日</w:t>
            </w:r>
          </w:p>
        </w:tc>
      </w:tr>
      <w:tr>
        <w:tc>
          <w:tcPr>
            <w:tcW w:type="dxa" w:w="2835"/>
          </w:tcPr>
          <w:p>
            <w:pPr>
              <w:spacing w:before="60" w:after="60"/>
            </w:pPr>
            <w:r>
              <w:rPr>
                <w:rFonts w:ascii="宋体" w:hAnsi="宋体"/>
                <w:sz w:val="28"/>
              </w:rPr>
              <w:t>答辩委员会主席</w:t>
            </w:r>
          </w:p>
        </w:tc>
        <w:tc>
          <w:tcPr>
            <w:tcW w:type="dxa" w:w="4252"/>
          </w:tcPr>
          <w:p>
            <w:pPr>
              <w:spacing w:before="60" w:after="60"/>
            </w:pPr>
            <w:r>
              <w:rPr>
                <w:rFonts w:ascii="宋体" w:hAnsi="宋体"/>
                <w:b/>
                <w:sz w:val="28"/>
              </w:rPr>
              <w:t>张晓明  教授</w:t>
            </w:r>
          </w:p>
        </w:tc>
      </w:tr>
    </w:tbl>
    <w:p>
      <w:r>
        <w:br w:type="page"/>
      </w:r>
    </w:p>
    <w:p>
      <w:r>
        <w:br/>
        <w:br/>
      </w:r>
    </w:p>
    <w:p>
      <w:pPr>
        <w:jc w:val="center"/>
      </w:pPr>
      <w:r>
        <w:rPr>
          <w:rFonts w:ascii="宋体" w:hAnsi="宋体"/>
          <w:b/>
          <w:sz w:val="48"/>
        </w:rPr>
        <w:t>鲁东大学硕士学位论文</w:t>
      </w:r>
    </w:p>
    <w:p>
      <w:r>
        <w:br/>
      </w:r>
    </w:p>
    <w:p>
      <w:pPr>
        <w:jc w:val="center"/>
      </w:pPr>
      <w:r>
        <w:rPr>
          <w:rFonts w:ascii="宋体" w:hAnsi="宋体"/>
          <w:b/>
          <w:sz w:val="48"/>
        </w:rPr>
        <w:t>基于深度学习的学术论文智能排版</w:t>
        <w:br/>
        <w:t>与语义格式校对系统研究</w:t>
      </w:r>
    </w:p>
    <w:p>
      <w:r>
        <w:br/>
        <w:br/>
      </w:r>
    </w:p>
    <w:p>
      <w:pPr>
        <w:spacing w:line="560" w:lineRule="exact"/>
        <w:jc w:val="center"/>
      </w:pPr>
      <w:r>
        <w:rPr>
          <w:rFonts w:ascii="宋体" w:hAnsi="宋体"/>
          <w:sz w:val="32"/>
        </w:rPr>
        <w:t>作者姓名：温少华</w:t>
        <w:br/>
        <w:t>指导教师：陈建国 教授</w:t>
        <w:br/>
        <w:t>学科专业：计算机科学与技术</w:t>
        <w:br/>
        <w:t>研究方向：智能排版与自然语言处理</w:t>
        <w:br/>
        <w:br/>
        <w:br/>
        <w:t>鲁东大学信息与电气工程学院</w:t>
        <w:br/>
        <w:t>二○二六年五月</w:t>
      </w:r>
    </w:p>
    <w:p>
      <w:r>
        <w:br w:type="page"/>
      </w:r>
    </w:p>
    <w:p>
      <w:pPr>
        <w:jc w:val="center"/>
      </w:pPr>
      <w:r>
        <w:rPr>
          <w:rFonts w:ascii="Times New Roman" w:hAnsi="Times New Roman"/>
          <w:b/>
          <w:sz w:val="44"/>
        </w:rPr>
        <w:t>A Thesis Submitted to Ludong University</w:t>
        <w:br/>
        <w:t>for the Degree of Master</w:t>
        <w:br/>
        <w:br/>
      </w:r>
    </w:p>
    <w:p>
      <w:pPr>
        <w:jc w:val="center"/>
      </w:pPr>
      <w:r>
        <w:rPr>
          <w:rFonts w:ascii="Times New Roman" w:hAnsi="Times New Roman"/>
          <w:b/>
          <w:sz w:val="44"/>
        </w:rPr>
        <w:t>Research on Intelligent Document Typesetting and Semantic Proofreading System Based on Deep Learning</w:t>
        <w:br/>
        <w:br/>
        <w:br/>
      </w:r>
    </w:p>
    <w:p>
      <w:pPr>
        <w:spacing w:line="480" w:lineRule="exact"/>
        <w:jc w:val="center"/>
      </w:pPr>
      <w:r>
        <w:rPr>
          <w:rFonts w:ascii="Times New Roman" w:hAnsi="Times New Roman"/>
          <w:sz w:val="32"/>
        </w:rPr>
        <w:t>M.D. Candidate: Shaohua Wen</w:t>
        <w:br/>
        <w:t>Supervisor: Prof. Jianguo Chen</w:t>
        <w:br/>
        <w:t>Major: Computer Science and Technology</w:t>
        <w:br/>
        <w:t>Research Interests: Intelligent Typesetting and NLP</w:t>
        <w:br/>
        <w:br/>
        <w:br/>
        <w:t>School of Information and Electrical Engineering, Ludong University</w:t>
        <w:br/>
        <w:t>May, 2026</w:t>
      </w:r>
    </w:p>
    <w:p>
      <w:r>
        <w:br w:type="page"/>
      </w:r>
    </w:p>
    <w:p>
      <w:pPr>
        <w:jc w:val="center"/>
      </w:pPr>
      <w:r>
        <w:rPr>
          <w:rFonts w:ascii="黑体" w:hAnsi="黑体"/>
          <w:b/>
          <w:sz w:val="32"/>
        </w:rPr>
        <w:t>学位论文原创性声明和使用授权说明</w:t>
        <w:br/>
      </w:r>
    </w:p>
    <w:p>
      <w:pPr>
        <w:jc w:val="center"/>
      </w:pPr>
      <w:r>
        <w:rPr>
          <w:rFonts w:ascii="黑体" w:hAnsi="黑体"/>
          <w:b/>
          <w:sz w:val="28"/>
        </w:rPr>
        <w:t>学位论文原创性声明</w:t>
      </w:r>
    </w:p>
    <w:p>
      <w:pPr>
        <w:spacing w:line="400" w:lineRule="exact"/>
        <w:ind w:firstLine="480"/>
      </w:pPr>
      <w: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pPr>
        <w:spacing w:line="480" w:lineRule="exact"/>
      </w:pPr>
      <w:r>
        <w:t>作者签名：温少华                                  日期：2026年5月28日</w:t>
        <w:br/>
      </w:r>
    </w:p>
    <w:p>
      <w:pPr>
        <w:jc w:val="center"/>
      </w:pPr>
      <w:r>
        <w:rPr>
          <w:rFonts w:ascii="黑体" w:hAnsi="黑体"/>
          <w:b/>
          <w:sz w:val="28"/>
        </w:rPr>
        <w:t>学位论文版权使用授权书</w:t>
      </w:r>
    </w:p>
    <w:p>
      <w:pPr>
        <w:spacing w:line="400" w:lineRule="exact"/>
        <w:ind w:firstLine="480"/>
      </w:pPr>
      <w:r>
        <w:t>本学位论文作者完全了解学校有关保留、使用学位论文的规定，同意学校保留并向国家有关部门或机构送交论文的复印件和电子版，允许论文被查阅和借阅。本人授权鲁东大学可以将本学位论文的全部或部分内容编入有关数据库进行检索，可以采用影印、缩印或扫描等复制手段保存和汇编本学位论文。</w:t>
      </w:r>
    </w:p>
    <w:p>
      <w:pPr>
        <w:spacing w:line="400" w:lineRule="exact"/>
      </w:pPr>
      <w:r>
        <w:t>本学位论文属于      保密□，在      年解密后适用本授权书。</w:t>
        <w:br/>
        <w:t xml:space="preserve">                    不保密□√。</w:t>
        <w:br/>
        <w:t>（请在以上相应方框内打“√”）</w:t>
      </w:r>
    </w:p>
    <w:p>
      <w:pPr>
        <w:spacing w:line="480" w:lineRule="exact"/>
      </w:pPr>
      <w:r>
        <w:t>作者签名：温少华                                  日期：2026年5月28日</w:t>
        <w:br/>
        <w:t>导师签名：陈建国                                  日期：2026年5月28日</w:t>
      </w:r>
    </w:p>
    <w:p>
      <w:r>
        <w:br w:type="page"/>
      </w:r>
    </w:p>
    <w:p>
      <w:pPr>
        <w:pStyle w:val="Heading1"/>
      </w:pPr>
      <w:r>
        <w:t>摘要</w:t>
      </w:r>
    </w:p>
    <w:p>
      <w:r>
        <w:t>学位论文排版与格式审查是研究生培养与学位申请中的关键环节。传统的论文排版过程高度依赖人工调整，存在格式规范繁杂、多级标题编号易错、三线表与图表公式交叉引用断裂、参考文献序号不同步等痛点。针对上述问题，本研究结合鲁东大学学术学位研究生学位论文写作规范，设计并实现了一套高保真、模块化的学位论文智能排版与语义校对系统。</w:t>
      </w:r>
    </w:p>
    <w:p>
      <w:r>
        <w:t>本论文的主要研究内容包括：首先，建立了面向学术学位论文的层次化样式模型，将页面边距、行间距、多级标题（模式一：第X章、1.1、1.1.1、1.1.1.1）、图表题注及参考文献等规范映射为形式化配置规则；其次，提出了一种基于文档对象模型树（DocTree）的分区识别与边界校准算法，实现了封面、摘要、目录、正文及后置分区的自动化精准识别与隔离保护；最后，构建了公式智能转三线表对齐引擎及参考文献顺序编码自动关联算法，支持上标引文与文末条目的动态同步。实验评估表明，本系统在典型硕博论文测试集上的排版合格率达到99.2%，单篇论文处理时间缩短至秒级，有效提升了论文写作与规范化审查的效率。</w:t>
      </w:r>
    </w:p>
    <w:p>
      <w:r>
        <w:t>关键词：学术学位；学位论文；智能排版；多级编号；样式引擎；鲁东大学</w:t>
      </w:r>
    </w:p>
    <w:p>
      <w:pPr>
        <w:pStyle w:val="Heading1"/>
      </w:pPr>
      <w:r>
        <w:t>Abstract</w:t>
      </w:r>
    </w:p>
    <w:p>
      <w:r>
        <w:t>Typesetting and formatting compliance checking of academic theses are crucial components in postgraduate education and degree application. Traditional thesis formatting relies heavily on manual adjustments, suffering from complex formatting specifications, error-prone multi-level heading numbering, broken cross-references for three-line tables and equations, and out-of-sync bibliographic citations. To address these challenges, this study designs and implements a high-fidelity, modular intelligent thesis typesetting and semantic proofreading system in compliance with the academic degree thesis writing standards of Ludong University.</w:t>
      </w:r>
    </w:p>
    <w:p>
      <w:r>
        <w:t>The main contributions of this thesis are as follows: First, a hierarchical style model for academic theses is established, formally mapping page margins, line spacing, multi-level headings (Mode 1: Chapter X, 1.1, 1.1.1, 1.1.1.1), captions, and references into declarative configurations. Second, a Document Object Model Tree (DocTree) partition recognition and boundary calibration algorithm is proposed, enabling precise automatic identification and isolated protection of cover pages, abstracts, tables of contents, body text, and post-sections. Finally, an equation-to-table alignment engine and a sequential reference linking algorithm are constructed to support dynamic synchronization between superscript citations and bibliographic entries. Experimental results demonstrate that the proposed system achieves a 99.2% formatting compliance rate on representative postgraduate thesis datasets and reduces per-document processing time to seconds, substantially improving writing efficiency and standardization review.</w:t>
      </w:r>
    </w:p>
    <w:p>
      <w:r>
        <w:t>KeyWords: Academic Degree; Thesis Typesetting; Hierarchical Numbering; Style Engine; Semantic Proofreading; Ludong University</w:t>
      </w:r>
    </w:p>
    <w:p>
      <w:pPr>
        <w:pStyle w:val="Heading1"/>
      </w:pPr>
      <w:r>
        <w:t>目录</w:t>
      </w:r>
    </w:p>
    <w:p>
      <w:pPr>
        <w:pStyle w:val="Heading1"/>
      </w:pPr>
      <w:r>
        <w:t>引言</w:t>
      </w:r>
    </w:p>
    <w:p>
      <w:r>
        <w:t>学位论文是研究生在学期间学术科研成果的集中体现，其撰写与排版质量不仅反映了研究生的学术素养与严谨作风，也是学位授权点建设与论文盲审的重要评价指标。</w:t>
      </w:r>
    </w:p>
    <w:p>
      <w:pPr>
        <w:pStyle w:val="Heading2"/>
      </w:pPr>
      <w:r>
        <w:t>研究背景与意义</w:t>
      </w:r>
    </w:p>
    <w:p>
      <w:r>
        <w:t>随着教育部及高校对研究生学位论文规范化要求的不断深化，各高校均制定了详尽的学位论文写作规范</w:t>
      </w:r>
      <w:r>
        <w:fldChar w:fldCharType="begin"/>
      </w:r>
      <w:r>
        <w:instrText xml:space="preserve"> ADDIN ZOTERO_ITEM CSL_CITATION {"citationID":"cCiteA01","properties":{"formattedCitation":"[1]","plainCitation":"[1]","noteIndex":0},"citationItems":[{"id":1,"itemData":{"id":1,"type":"book","title":"国史旧闻：第1卷","author":[{"family":"陈","given":"登原"}],"publisher":"中华书局","publisher-place":"北京","issued":{"date-parts":[[2000]]},"page":"29"}}],"schema":"https://github.com/citation-style-language/schema/raw/master/csl-citation.json"} </w:instrText>
      </w:r>
      <w:r>
        <w:fldChar w:fldCharType="separate"/>
      </w:r>
      <w:r>
        <w:rPr>
          <w:vertAlign w:val="superscript"/>
          <w:rFonts w:ascii="Times New Roman" w:eastAsia="宋体" w:hAnsi="Times New Roman"/>
        </w:rPr>
        <w:t>[1]</w:t>
      </w:r>
      <w:r>
        <w:fldChar w:fldCharType="end"/>
      </w:r>
      <w:r>
        <w:t>。然而，在实际写作过程中，学生常常面临格式调整耗时费力、模板版本不一致、导出格式漂移等难题</w:t>
      </w:r>
      <w:r>
        <w:fldChar w:fldCharType="begin"/>
      </w:r>
      <w:r>
        <w:instrText xml:space="preserve"> ADDIN ZOTERO_ITEM CSL_CITATION {"citationID":"cCiteA02","properties":{"formattedCitation":"[2]","plainCitation":"[2]","noteIndex":0},"citationItems":[{"id":2,"itemData":{"id":2,"type":"article-journal","title":"蓝田生物群：一个认识多细胞生物起源和早期演化的新窗口","author":[{"family":"袁","given":"训来"},{"family":"陈","given":"哲"},{"family":"肖","given":"书海"}],"container-title":"科学通报","volume":"55","issue":"34","page":"3219","issued":{"date-parts":[[2012]]}}}],"schema":"https://github.com/citation-style-language/schema/raw/master/csl-citation.json"} </w:instrText>
      </w:r>
      <w:r>
        <w:fldChar w:fldCharType="separate"/>
      </w:r>
      <w:r>
        <w:rPr>
          <w:vertAlign w:val="superscript"/>
          <w:rFonts w:ascii="Times New Roman" w:eastAsia="宋体" w:hAnsi="Times New Roman"/>
        </w:rPr>
        <w:t>[2]</w:t>
      </w:r>
      <w:r>
        <w:fldChar w:fldCharType="end"/>
      </w:r>
      <w:r>
        <w:t>。</w:t>
      </w:r>
    </w:p>
    <w:p>
      <w:pPr>
        <w:pStyle w:val="Heading2"/>
      </w:pPr>
      <w:r>
        <w:t>国内外研究现状</w:t>
      </w:r>
    </w:p>
    <w:p>
      <w:r>
        <w:t>目前，学术界与工业界在科技文献与学位论文排版方面主要形成了基于标记语言和基于字处理宏扩展两条主要技术路线</w:t>
      </w:r>
      <w:r>
        <w:fldChar w:fldCharType="begin"/>
      </w:r>
      <w:r>
        <w:instrText xml:space="preserve"> ADDIN ZOTERO_ITEM CSL_CITATION {"citationID":"cCiteA03","properties":{"formattedCitation":"[3]","plainCitation":"[3]","noteIndex":0},"citationItems":[{"id":3,"itemData":{"id":3,"type":"book","title":"经济数学与金融数学","author":[{"family":"哈里森","given":""},{"family":"沃尔德伦","given":""}],"translator":[{"family":"谢","given":"远涛"}],"publisher":"中国人民大学出版社","publisher-place":"北京","issued":{"date-parts":[[2012]]},"page":"235-236"}}],"schema":"https://github.com/citation-style-language/schema/raw/master/csl-citation.json"} </w:instrText>
      </w:r>
      <w:r>
        <w:fldChar w:fldCharType="separate"/>
      </w:r>
      <w:r>
        <w:rPr>
          <w:vertAlign w:val="superscript"/>
          <w:rFonts w:ascii="Times New Roman" w:eastAsia="宋体" w:hAnsi="Times New Roman"/>
        </w:rPr>
        <w:t>[3]</w:t>
      </w:r>
      <w:r>
        <w:fldChar w:fldCharType="end"/>
      </w:r>
      <w:r>
        <w:t>。</w:t>
      </w:r>
    </w:p>
    <w:p>
      <w:pPr>
        <w:pStyle w:val="Heading3"/>
      </w:pPr>
      <w:r>
        <w:t>基于标记语言的排版系统</w:t>
      </w:r>
    </w:p>
    <w:p>
      <w:r>
        <w:t>以 LaTeX 为代表的标记语言排版系统在数学公式、交叉引用和自动化编号方面具有极高精度</w:t>
      </w:r>
      <w:r>
        <w:fldChar w:fldCharType="begin"/>
      </w:r>
      <w:r>
        <w:instrText xml:space="preserve"> ADDIN ZOTERO_ITEM CSL_CITATION {"citationID":"cCiteA04","properties":{"formattedCitation":"[4]","plainCitation":"[4]","noteIndex":0},"citationItems":[{"id":4,"itemData":{"id":4,"type":"chapter","title":"政治经济学批判","author":[{"family":"马克思","given":""}],"container-author":[{"family":"马克思","given":""},{"family":"恩格斯","given":""}],"container-title":"马克思恩格斯全集：第35卷","publisher":"人民出版社","publisher-place":"北京","issued":{"date-parts":[[2013]]},"page":"302"}}],"schema":"https://github.com/citation-style-language/schema/raw/master/csl-citation.json"} </w:instrText>
      </w:r>
      <w:r>
        <w:fldChar w:fldCharType="separate"/>
      </w:r>
      <w:r>
        <w:rPr>
          <w:vertAlign w:val="superscript"/>
          <w:rFonts w:ascii="Times New Roman" w:eastAsia="宋体" w:hAnsi="Times New Roman"/>
        </w:rPr>
        <w:t>[4]</w:t>
      </w:r>
      <w:r>
        <w:fldChar w:fldCharType="end"/>
      </w:r>
      <w:r>
        <w:t>，但其语法陡峭，对非计算机学科研究生学习成本较高。</w:t>
      </w:r>
    </w:p>
    <w:p>
      <w:pPr>
        <w:pStyle w:val="Heading3"/>
      </w:pPr>
      <w:r>
        <w:t>基于宏与脚本的Word扩展插件</w:t>
      </w:r>
    </w:p>
    <w:p>
      <w:r>
        <w:t>基于 Python-docx 或 VBA 的脚本工具能够对 Word 文档进行批处理</w:t>
      </w:r>
      <w:r>
        <w:fldChar w:fldCharType="begin"/>
      </w:r>
      <w:r>
        <w:instrText xml:space="preserve"> ADDIN ZOTERO_ITEM CSL_CITATION {"citationID":"cCiteA05","properties":{"formattedCitation":"[5]","plainCitation":"[5]","noteIndex":0},"citationItems":[{"id":5,"itemData":{"id":5,"type":"report","title":"核反应堆压力管道与压力容器的LBB分析","author":[{"family":"冯","given":"西桥"}],"publisher":"清华大学核能技术设计研究院","publisher-place":"北京","issued":{"date-parts":[[1997]]}}}],"schema":"https://github.com/citation-style-language/schema/raw/master/csl-citation.json"} </w:instrText>
      </w:r>
      <w:r>
        <w:fldChar w:fldCharType="separate"/>
      </w:r>
      <w:r>
        <w:rPr>
          <w:vertAlign w:val="superscript"/>
          <w:rFonts w:ascii="Times New Roman" w:eastAsia="宋体" w:hAnsi="Times New Roman"/>
        </w:rPr>
        <w:t>[5]</w:t>
      </w:r>
      <w:r>
        <w:fldChar w:fldCharType="end"/>
      </w:r>
      <w:r>
        <w:t>，但现有工具多缺乏全局语义分区感知能力，容易出现封面被误冲刷、跨节页眉页码紊乱等问题。</w:t>
      </w:r>
    </w:p>
    <w:p>
      <w:pPr>
        <w:pStyle w:val="Heading4"/>
      </w:pPr>
      <w:r>
        <w:t>模式一多级编号的规范要求</w:t>
      </w:r>
    </w:p>
    <w:p>
      <w:r>
        <w:t>根据《鲁东大学研究生学位论文写作规范》，本系统正文采用模式一分级编号体系：章标题居中，各节层次序号均左顶格起排，各级序号之间以小圆点相隔，末位不加点号。</w:t>
      </w:r>
    </w:p>
    <w:p>
      <w:pPr>
        <w:pStyle w:val="Heading1"/>
      </w:pPr>
      <w:r>
        <w:t>系统架构与规则模型设计</w:t>
      </w:r>
    </w:p>
    <w:p>
      <w:r>
        <w:t>本章系统介绍排版引擎的分层架构设计以及面向鲁东大学学术学位规范的规则模型构建。</w:t>
      </w:r>
    </w:p>
    <w:p>
      <w:pPr>
        <w:pStyle w:val="Heading2"/>
      </w:pPr>
      <w:r>
        <w:t>系统整体架构</w:t>
      </w:r>
    </w:p>
    <w:p>
      <w:r>
        <w:t>系统采用管道过滤器（Pipeline-Filter）架构，整体流程由文档解析、文档对象树构建、样式规范化、多级列表注册、图表公式重构和页眉页脚装配等阶段构成。</w:t>
      </w:r>
    </w:p>
    <w:p>
      <w:pPr>
        <w:pStyle w:val="Heading2"/>
      </w:pPr>
      <w:r>
        <w:t>版面与页面参数规范模型</w:t>
      </w:r>
    </w:p>
    <w:p>
      <w:r>
        <w:t>根据学校写作规范，版面统一采用A4纸张（210mm×297mm），页边距设置为上3.0cm、下2.5cm、左3.0cm、右3.0cm，页眉距边界2.0cm，页脚距边界2.2cm。系统预置的核心页面参数如</w:t>
      </w:r>
      <w:r>
        <w:fldChar w:fldCharType="begin"/>
      </w:r>
      <w:r>
        <w:instrText xml:space="preserve"> REF _RefTable2_1 \h </w:instrText>
      </w:r>
      <w:r>
        <w:fldChar w:fldCharType="separate"/>
      </w:r>
      <w:r>
        <w:rPr>
          <w:rFonts w:ascii="Times New Roman" w:eastAsia="宋体" w:hAnsi="Times New Roman"/>
          <w:color w:val="000000"/>
        </w:rPr>
        <w:t>表2.1</w:t>
      </w:r>
      <w:r>
        <w:fldChar w:fldCharType="end"/>
      </w:r>
      <w:r>
        <w:t>所示。</w:t>
      </w:r>
    </w:p>
    <w:p>
      <w:pPr>
        <w:pStyle w:val="Heading2"/>
      </w:pPr>
      <w:r>
        <w:t>系统核心版面参数配置表</w:t>
      </w:r>
    </w:p>
    <w:p>
      <w:bookmarkStart w:id="101" w:name="_RefTable2_1"/>
      <w:r>
        <w:t>表2.1 鲁东大学学术学位论文版面与字体规范参数表</w:t>
      </w:r>
      <w:bookmarkEnd w:id="101"/>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r>
              <w:t>排版要素</w:t>
            </w:r>
          </w:p>
        </w:tc>
        <w:tc>
          <w:tcPr>
            <w:tcW w:type="dxa" w:w="2126"/>
          </w:tcPr>
          <w:p>
            <w:r>
              <w:t>字体 / 字号</w:t>
            </w:r>
          </w:p>
        </w:tc>
        <w:tc>
          <w:tcPr>
            <w:tcW w:type="dxa" w:w="2126"/>
          </w:tcPr>
          <w:p>
            <w:r>
              <w:t>行距 / 段间距</w:t>
            </w:r>
          </w:p>
        </w:tc>
        <w:tc>
          <w:tcPr>
            <w:tcW w:type="dxa" w:w="2126"/>
          </w:tcPr>
          <w:p>
            <w:r>
              <w:t>对齐与缩进</w:t>
            </w:r>
          </w:p>
        </w:tc>
      </w:tr>
      <w:tr>
        <w:tc>
          <w:tcPr>
            <w:tcW w:type="dxa" w:w="2126"/>
          </w:tcPr>
          <w:p>
            <w:r>
              <w:t>章标题（一级）</w:t>
            </w:r>
          </w:p>
        </w:tc>
        <w:tc>
          <w:tcPr>
            <w:tcW w:type="dxa" w:w="2126"/>
          </w:tcPr>
          <w:p>
            <w:r>
              <w:t>黑体三号（16pt）加粗</w:t>
            </w:r>
          </w:p>
        </w:tc>
        <w:tc>
          <w:tcPr>
            <w:tcW w:type="dxa" w:w="2126"/>
          </w:tcPr>
          <w:p>
            <w:r>
              <w:t>单倍行距 / 段前24pt 段后18pt</w:t>
            </w:r>
          </w:p>
        </w:tc>
        <w:tc>
          <w:tcPr>
            <w:tcW w:type="dxa" w:w="2126"/>
          </w:tcPr>
          <w:p>
            <w:r>
              <w:t>居中对齐，无缩进</w:t>
            </w:r>
          </w:p>
        </w:tc>
      </w:tr>
      <w:tr>
        <w:tc>
          <w:tcPr>
            <w:tcW w:type="dxa" w:w="2126"/>
          </w:tcPr>
          <w:p>
            <w:r>
              <w:t>一级节标题（二级）</w:t>
            </w:r>
          </w:p>
        </w:tc>
        <w:tc>
          <w:tcPr>
            <w:tcW w:type="dxa" w:w="2126"/>
          </w:tcPr>
          <w:p>
            <w:r>
              <w:t>黑体四号（14pt）加粗</w:t>
            </w:r>
          </w:p>
        </w:tc>
        <w:tc>
          <w:tcPr>
            <w:tcW w:type="dxa" w:w="2126"/>
          </w:tcPr>
          <w:p>
            <w:r>
              <w:t>单倍行距 / 段前24pt 段后6pt</w:t>
            </w:r>
          </w:p>
        </w:tc>
        <w:tc>
          <w:tcPr>
            <w:tcW w:type="dxa" w:w="2126"/>
          </w:tcPr>
          <w:p>
            <w:r>
              <w:t>居左顶格，无缩进</w:t>
            </w:r>
          </w:p>
        </w:tc>
      </w:tr>
      <w:tr>
        <w:tc>
          <w:tcPr>
            <w:tcW w:type="dxa" w:w="2126"/>
          </w:tcPr>
          <w:p>
            <w:r>
              <w:t>二级节标题（三级）</w:t>
            </w:r>
          </w:p>
        </w:tc>
        <w:tc>
          <w:tcPr>
            <w:tcW w:type="dxa" w:w="2126"/>
          </w:tcPr>
          <w:p>
            <w:r>
              <w:t>黑体小四（12pt）加粗</w:t>
            </w:r>
          </w:p>
        </w:tc>
        <w:tc>
          <w:tcPr>
            <w:tcW w:type="dxa" w:w="2126"/>
          </w:tcPr>
          <w:p>
            <w:r>
              <w:t>单倍行距 / 段前12pt 段后6pt</w:t>
            </w:r>
          </w:p>
        </w:tc>
        <w:tc>
          <w:tcPr>
            <w:tcW w:type="dxa" w:w="2126"/>
          </w:tcPr>
          <w:p>
            <w:r>
              <w:t>居左顶格，无缩进</w:t>
            </w:r>
          </w:p>
        </w:tc>
      </w:tr>
      <w:tr>
        <w:tc>
          <w:tcPr>
            <w:tcW w:type="dxa" w:w="2126"/>
          </w:tcPr>
          <w:p>
            <w:r>
              <w:t>正文段落（Normal）</w:t>
            </w:r>
          </w:p>
        </w:tc>
        <w:tc>
          <w:tcPr>
            <w:tcW w:type="dxa" w:w="2126"/>
          </w:tcPr>
          <w:p>
            <w:r>
              <w:t>宋体/Times New Roman 小四</w:t>
            </w:r>
          </w:p>
        </w:tc>
        <w:tc>
          <w:tcPr>
            <w:tcW w:type="dxa" w:w="2126"/>
          </w:tcPr>
          <w:p>
            <w:r>
              <w:t>固定值 20pt / 段前段后0pt</w:t>
            </w:r>
          </w:p>
        </w:tc>
        <w:tc>
          <w:tcPr>
            <w:tcW w:type="dxa" w:w="2126"/>
          </w:tcPr>
          <w:p>
            <w:r>
              <w:t>两端对齐，首行缩进2字符</w:t>
            </w:r>
          </w:p>
        </w:tc>
      </w:tr>
      <w:tr>
        <w:tc>
          <w:tcPr>
            <w:tcW w:type="dxa" w:w="2126"/>
          </w:tcPr>
          <w:p>
            <w:r>
              <w:t>目录条目（TOC）</w:t>
            </w:r>
          </w:p>
        </w:tc>
        <w:tc>
          <w:tcPr>
            <w:tcW w:type="dxa" w:w="2126"/>
          </w:tcPr>
          <w:p>
            <w:r>
              <w:t>宋体/Times New Roman 小四</w:t>
            </w:r>
          </w:p>
        </w:tc>
        <w:tc>
          <w:tcPr>
            <w:tcW w:type="dxa" w:w="2126"/>
          </w:tcPr>
          <w:p>
            <w:r>
              <w:t>固定值 22pt / 段前段后0pt</w:t>
            </w:r>
          </w:p>
        </w:tc>
        <w:tc>
          <w:tcPr>
            <w:tcW w:type="dxa" w:w="2126"/>
          </w:tcPr>
          <w:p>
            <w:r>
              <w:t>两端对齐，取消下划线</w:t>
            </w:r>
          </w:p>
        </w:tc>
      </w:tr>
    </w:tbl>
    <w:p>
      <w:pPr>
        <w:pStyle w:val="Heading1"/>
      </w:pPr>
      <w:r>
        <w:t>核心图表、公式与引文处理算法</w:t>
      </w:r>
    </w:p>
    <w:p>
      <w:r>
        <w:t>图表、数学公式与参考文献的规范化排版是科技论文排版中最具技术挑战性的环节。</w:t>
      </w:r>
    </w:p>
    <w:p>
      <w:pPr>
        <w:pStyle w:val="Heading2"/>
      </w:pPr>
      <w:r>
        <w:t>标准三线表自动构建算法</w:t>
      </w:r>
    </w:p>
    <w:p>
      <w:r>
        <w:t>学校规范要求所有表格统一使用标准三线表。顶线与底线粗度为1.0磅，栏目线（表头下线）粗度为0.5磅。系统对常规表格的重构处理流程如</w:t>
      </w:r>
      <w:r>
        <w:fldChar w:fldCharType="begin"/>
      </w:r>
      <w:r>
        <w:instrText xml:space="preserve"> REF _RefFigure3_1 \h </w:instrText>
      </w:r>
      <w:r>
        <w:fldChar w:fldCharType="separate"/>
      </w:r>
      <w:r>
        <w:rPr>
          <w:rFonts w:ascii="Times New Roman" w:eastAsia="宋体" w:hAnsi="Times New Roman"/>
          <w:color w:val="000000"/>
        </w:rPr>
        <w:t>图3.1</w:t>
      </w:r>
      <w:r>
        <w:fldChar w:fldCharType="end"/>
      </w:r>
      <w:r>
        <w:t>所示。</w:t>
      </w:r>
    </w:p>
    <w:p>
      <w:pPr>
        <w:pStyle w:val="Heading2"/>
      </w:pPr>
      <w:r>
        <w:t>算法流程展示</w:t>
      </w:r>
    </w:p>
    <w:p>
      <w:r>
        <w:t>（此处为算法流程示意图）</w:t>
      </w:r>
    </w:p>
    <w:p>
      <w:bookmarkStart w:id="102" w:name="_RefFigure3_1"/>
      <w:r>
        <w:t>图3.1 表格重构与多级编号管道处理流程示意图</w:t>
      </w:r>
      <w:bookmarkEnd w:id="102"/>
    </w:p>
    <w:p>
      <w:pPr>
        <w:pStyle w:val="Heading2"/>
      </w:pPr>
      <w:r>
        <w:t>数学公式与编号对齐机制</w:t>
      </w:r>
    </w:p>
    <w:p>
      <w:r>
        <w:t>在弹性力学与智能优化分析中，广义控制截面示性数与排版目标优化函数定义如下式所示：</w:t>
      </w:r>
    </w:p>
    <w:p>
      <w:r>
        <w:t>f(x) = \sum_{i=1}^{n} w_i \cdot \phi_i(x) + \lambda \|x\|^2                                                （3.1）</w:t>
      </w:r>
    </w:p>
    <w:p>
      <w:pPr>
        <w:pStyle w:val="Heading2"/>
      </w:pPr>
      <w:r>
        <w:t>参考文献顺序编码与多处引用</w:t>
      </w:r>
    </w:p>
    <w:p>
      <w:r>
        <w:t>正文中引用参考文献采用顺序编码制，如文献[1]指出的史料记载所示，发达的生产力即使在通商广泛的情况下也难免遭到毁灭</w:t>
      </w:r>
      <w:r>
        <w:fldChar w:fldCharType="begin"/>
      </w:r>
      <w:r>
        <w:instrText xml:space="preserve"> ADDIN ZOTERO_ITEM CSL_CITATION {"citationID":"cCiteA06","properties":{"formattedCitation":"[1]59-60","plainCitation":"[1]59-60","noteIndex":0},"citationItems":[{"id":1,"itemData":{"id":1,"type":"book","title":"国史旧闻：第1卷","author":[{"family":"陈","given":"登原"}],"publisher":"中华书局","publisher-place":"北京","issued":{"date-parts":[[2000]]},"page":"29"},"locator":"59-60","label":"page"}],"schema":"https://github.com/citation-style-language/schema/raw/master/csl-citation.json"} </w:instrText>
      </w:r>
      <w:r>
        <w:fldChar w:fldCharType="separate"/>
      </w:r>
      <w:r>
        <w:rPr>
          <w:vertAlign w:val="superscript"/>
          <w:rFonts w:ascii="Times New Roman" w:eastAsia="宋体" w:hAnsi="Times New Roman"/>
        </w:rPr>
        <w:t>[1]59-60</w:t>
      </w:r>
      <w:r>
        <w:fldChar w:fldCharType="end"/>
      </w:r>
      <w:r>
        <w:t>。此外，根据文献[2]中蓝田生物群的演化发现，文献[3]在经济数学模型方面的理论推导，文献[4]在政治经济学批判方面的经典论述，以及文献[5]在压力管道断裂力学上的工程分析，本系统所支持的文献著录规则覆盖了全部常用文献类型。</w:t>
      </w:r>
    </w:p>
    <w:p>
      <w:pPr>
        <w:pStyle w:val="Heading1"/>
      </w:pPr>
      <w:r>
        <w:t>实验评估与结果分析</w:t>
      </w:r>
    </w:p>
    <w:p>
      <w:r>
        <w:t>为了验证系统的排版准确率与鲁棒性，本研究采集了来自不同学科的50篇学位论文原始草稿进行测试。</w:t>
      </w:r>
    </w:p>
    <w:p>
      <w:pPr>
        <w:pStyle w:val="Heading2"/>
      </w:pPr>
      <w:r>
        <w:t>排版效果定量对比</w:t>
      </w:r>
    </w:p>
    <w:p>
      <w:r>
        <w:t>表3.1 人工排版与本系统自动化排版性能指标对比</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r>
              <w:t>评估指标</w:t>
            </w:r>
          </w:p>
        </w:tc>
        <w:tc>
          <w:tcPr>
            <w:tcW w:type="dxa" w:w="2126"/>
          </w:tcPr>
          <w:p>
            <w:r>
              <w:t>人工排版平均值</w:t>
            </w:r>
          </w:p>
        </w:tc>
        <w:tc>
          <w:tcPr>
            <w:tcW w:type="dxa" w:w="2126"/>
          </w:tcPr>
          <w:p>
            <w:r>
              <w:t>传统宏脚本</w:t>
            </w:r>
          </w:p>
        </w:tc>
        <w:tc>
          <w:tcPr>
            <w:tcW w:type="dxa" w:w="2126"/>
          </w:tcPr>
          <w:p>
            <w:r>
              <w:t>本系统（Lark-Formatter）</w:t>
            </w:r>
          </w:p>
        </w:tc>
      </w:tr>
      <w:tr>
        <w:tc>
          <w:tcPr>
            <w:tcW w:type="dxa" w:w="2126"/>
          </w:tcPr>
          <w:p>
            <w:r>
              <w:t>平均处理耗时 (s)</w:t>
            </w:r>
          </w:p>
        </w:tc>
        <w:tc>
          <w:tcPr>
            <w:tcW w:type="dxa" w:w="2126"/>
          </w:tcPr>
          <w:p>
            <w:r>
              <w:t>3600.0</w:t>
            </w:r>
          </w:p>
        </w:tc>
        <w:tc>
          <w:tcPr>
            <w:tcW w:type="dxa" w:w="2126"/>
          </w:tcPr>
          <w:p>
            <w:r>
              <w:t>15.2</w:t>
            </w:r>
          </w:p>
        </w:tc>
        <w:tc>
          <w:tcPr>
            <w:tcW w:type="dxa" w:w="2126"/>
          </w:tcPr>
          <w:p>
            <w:r>
              <w:t>1.8</w:t>
            </w:r>
          </w:p>
        </w:tc>
      </w:tr>
      <w:tr>
        <w:tc>
          <w:tcPr>
            <w:tcW w:type="dxa" w:w="2126"/>
          </w:tcPr>
          <w:p>
            <w:r>
              <w:t>多级编号合格率 (%)</w:t>
            </w:r>
          </w:p>
        </w:tc>
        <w:tc>
          <w:tcPr>
            <w:tcW w:type="dxa" w:w="2126"/>
          </w:tcPr>
          <w:p>
            <w:r>
              <w:t>84.5%</w:t>
            </w:r>
          </w:p>
        </w:tc>
        <w:tc>
          <w:tcPr>
            <w:tcW w:type="dxa" w:w="2126"/>
          </w:tcPr>
          <w:p>
            <w:r>
              <w:t>88.0%</w:t>
            </w:r>
          </w:p>
        </w:tc>
        <w:tc>
          <w:tcPr>
            <w:tcW w:type="dxa" w:w="2126"/>
          </w:tcPr>
          <w:p>
            <w:r>
              <w:t>99.8%</w:t>
            </w:r>
          </w:p>
        </w:tc>
      </w:tr>
      <w:tr>
        <w:tc>
          <w:tcPr>
            <w:tcW w:type="dxa" w:w="2126"/>
          </w:tcPr>
          <w:p>
            <w:r>
              <w:t>三线表规范率 (%)</w:t>
            </w:r>
          </w:p>
        </w:tc>
        <w:tc>
          <w:tcPr>
            <w:tcW w:type="dxa" w:w="2126"/>
          </w:tcPr>
          <w:p>
            <w:r>
              <w:t>89.0%</w:t>
            </w:r>
          </w:p>
        </w:tc>
        <w:tc>
          <w:tcPr>
            <w:tcW w:type="dxa" w:w="2126"/>
          </w:tcPr>
          <w:p>
            <w:r>
              <w:t>82.5%</w:t>
            </w:r>
          </w:p>
        </w:tc>
        <w:tc>
          <w:tcPr>
            <w:tcW w:type="dxa" w:w="2126"/>
          </w:tcPr>
          <w:p>
            <w:r>
              <w:t>100.0%</w:t>
            </w:r>
          </w:p>
        </w:tc>
      </w:tr>
    </w:tbl>
    <w:p>
      <w:pPr>
        <w:pStyle w:val="Heading1"/>
      </w:pPr>
      <w:r>
        <w:t>结论与展望</w:t>
      </w:r>
    </w:p>
    <w:p>
      <w:r>
        <w:t>本文针对鲁东大学学术学位研究生学位论文排版规范，研制并验证了智能化排版与格式校对系统。全面形式化建模了学校学位论文排版规范，实现了前置分区免排版保护与正文全要素智能渲染。</w:t>
      </w:r>
    </w:p>
    <w:p>
      <w:pPr>
        <w:pStyle w:val="Heading1"/>
      </w:pPr>
      <w:r>
        <w:t>参考文献</w:t>
      </w:r>
    </w:p>
    <w:p>
      <w:r>
        <w:fldChar w:fldCharType="begin"/>
      </w:r>
      <w:r>
        <w:instrText xml:space="preserve"> ADDIN ZOTERO_BIBL {"uncited":[],"omitted":[],"custom":[]} CSL_BIBLIOGRAPHY </w:instrText>
      </w:r>
      <w:r>
        <w:fldChar w:fldCharType="separate"/>
      </w:r>
      <w:r>
        <w:rPr>
          <w:rFonts w:ascii="Times New Roman" w:eastAsia="宋体" w:hAnsi="Times New Roman"/>
        </w:rPr>
        <w:t xml:space="preserve">[1] 陈登原. 国史旧闻：第1卷[M]. 北京：中华书局，2000：29.</w:t>
      </w:r>
    </w:p>
    <w:p>
      <w:r>
        <w:rPr>
          <w:rFonts w:ascii="Times New Roman" w:eastAsia="宋体" w:hAnsi="Times New Roman"/>
        </w:rPr>
        <w:t xml:space="preserve">[2] 袁训来，陈哲，肖书海. 蓝田生物群：一个认识多细胞生物起源和早期演化的新窗口[J]. 科学通报，2012，55(34)：3219.</w:t>
      </w:r>
    </w:p>
    <w:p>
      <w:r>
        <w:rPr>
          <w:rFonts w:ascii="Times New Roman" w:eastAsia="宋体" w:hAnsi="Times New Roman"/>
        </w:rPr>
        <w:t xml:space="preserve">[3] 哈里森，沃尔德伦. 经济数学与金融数学[M]. 谢远涛，译. 北京：中国人民大学出版社，2012：235-236.</w:t>
      </w:r>
    </w:p>
    <w:p>
      <w:r>
        <w:rPr>
          <w:rFonts w:ascii="Times New Roman" w:eastAsia="宋体" w:hAnsi="Times New Roman"/>
        </w:rPr>
        <w:t xml:space="preserve">[4] 马克思. 政治经济学批判[M]//马克思，恩格斯. 马克思恩格斯全集：第35卷. 北京：人民出版社，2013：302.</w:t>
      </w:r>
    </w:p>
    <w:p>
      <w:r>
        <w:rPr>
          <w:rFonts w:ascii="Times New Roman" w:eastAsia="宋体" w:hAnsi="Times New Roman"/>
        </w:rPr>
        <w:t xml:space="preserve">[5] 冯西桥. 核反应堆压力管道与压力容器的LBB分析[R]. 北京：清华大学核能技术设计研究院，1997.</w:t>
      </w:r>
      <w:r>
        <w:fldChar w:fldCharType="end"/>
      </w:r>
    </w:p>
    <w:p>
      <w:pPr>
        <w:pStyle w:val="Heading1"/>
      </w:pPr>
      <w:r>
        <w:t>附录A 阅读型参考文献</w:t>
      </w:r>
    </w:p>
    <w:p>
      <w:r>
        <w:t>[1] 李世明. 运动生物力学理论与方法[M]. 北京：科学出版社，2006.</w:t>
      </w:r>
    </w:p>
    <w:p>
      <w:r>
        <w:t>[2] 辛希孟. 信息技术与信息服务国际研讨会论文集：A集[C]. 北京：中国社会科学出版社，1993：163-165.</w:t>
      </w:r>
    </w:p>
    <w:p>
      <w:pPr>
        <w:pStyle w:val="Heading1"/>
      </w:pPr>
      <w:r>
        <w:t>附录B 核心算法配置参数表</w:t>
      </w:r>
    </w:p>
    <w:p>
      <w:r>
        <w:t>附录中的图和表的编号分别用B1，B2，…系列，如表B1所示。</w:t>
      </w:r>
    </w:p>
    <w:p>
      <w:r>
        <w:t>表B1 样式引擎核心状态转移参数映射表</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r>
              <w:t>参数标识</w:t>
            </w:r>
          </w:p>
        </w:tc>
        <w:tc>
          <w:tcPr>
            <w:tcW w:type="dxa" w:w="2835"/>
          </w:tcPr>
          <w:p>
            <w:r>
              <w:t>默认值</w:t>
            </w:r>
          </w:p>
        </w:tc>
        <w:tc>
          <w:tcPr>
            <w:tcW w:type="dxa" w:w="2835"/>
          </w:tcPr>
          <w:p>
            <w:r>
              <w:t>作用说明</w:t>
            </w:r>
          </w:p>
        </w:tc>
      </w:tr>
      <w:tr>
        <w:tc>
          <w:tcPr>
            <w:tcW w:type="dxa" w:w="2835"/>
          </w:tcPr>
          <w:p>
            <w:r>
              <w:t>heading_numbering_mode</w:t>
            </w:r>
          </w:p>
        </w:tc>
        <w:tc>
          <w:tcPr>
            <w:tcW w:type="dxa" w:w="2835"/>
          </w:tcPr>
          <w:p>
            <w:r>
              <w:t>B</w:t>
            </w:r>
          </w:p>
        </w:tc>
        <w:tc>
          <w:tcPr>
            <w:tcW w:type="dxa" w:w="2835"/>
          </w:tcPr>
          <w:p>
            <w:r>
              <w:t>采用Word原生多级列表绑定</w:t>
            </w:r>
          </w:p>
        </w:tc>
      </w:tr>
      <w:tr>
        <w:tc>
          <w:tcPr>
            <w:tcW w:type="dxa" w:w="2835"/>
          </w:tcPr>
          <w:p>
            <w:r>
              <w:t>normal_table_border_mode</w:t>
            </w:r>
          </w:p>
        </w:tc>
        <w:tc>
          <w:tcPr>
            <w:tcW w:type="dxa" w:w="2835"/>
          </w:tcPr>
          <w:p>
            <w:r>
              <w:t>three_line</w:t>
            </w:r>
          </w:p>
        </w:tc>
        <w:tc>
          <w:tcPr>
            <w:tcW w:type="dxa" w:w="2835"/>
          </w:tcPr>
          <w:p>
            <w:r>
              <w:t>自动重构为标准三线表</w:t>
            </w:r>
          </w:p>
        </w:tc>
      </w:tr>
    </w:tbl>
    <w:p>
      <w:pPr>
        <w:pStyle w:val="Heading1"/>
      </w:pPr>
      <w:r>
        <w:t>致谢</w:t>
      </w:r>
    </w:p>
    <w:p>
      <w:r>
        <w:t>行文至此，数载研究生求学生涯即将画上圆满的句号。回首在鲁东大学度过的充实时光，心中满怀感激。</w:t>
      </w:r>
    </w:p>
    <w:p>
      <w:r>
        <w:t>首先，谨向我的导师陈建国教授致以最崇高的敬意和由衷的感谢！在论文选题、理论推导、系统实现以及论文撰写的全过程中，陈老师严谨求实的治学态度、深厚的学术造诣和循循善诱的悉心指导，使学生受益匪浅。</w:t>
      </w:r>
    </w:p>
    <w:p>
      <w:r>
        <w:t>感谢实验室同窗好友在科研探索与日常生活中的互帮互助与温暖陪伴！感谢评阅本论文与出席答辩委员会的各位专家教授！</w:t>
      </w:r>
    </w:p>
    <w:p>
      <w:r>
        <w:t>最后，深深感谢我的父母与家人，是你们无微不至的关爱与坚定支持，给予了我不断前行的动力与勇气！</w:t>
      </w:r>
    </w:p>
    <w:p>
      <w:pPr>
        <w:pStyle w:val="Heading1"/>
      </w:pPr>
      <w:r>
        <w:t>作者简历</w:t>
      </w:r>
    </w:p>
    <w:p>
      <w:r>
        <w:t>姓名：温少华，男，汉族；1999年8月生，山东省烟台市人。</w:t>
      </w:r>
    </w:p>
    <w:p>
      <w:r>
        <w:t>2019年9月-2023年6月  鲁东大学信息与电气工程学院读本科，获工学学士学位。</w:t>
      </w:r>
    </w:p>
    <w:p>
      <w:r>
        <w:t>2023年9月-2026年6月  鲁东大学信息与电气工程学院攻读硕士学位。</w:t>
      </w:r>
    </w:p>
    <w:p>
      <w:r>
        <w:t>攻读硕士学位期间发表的学术论文：</w:t>
      </w:r>
    </w:p>
    <w:p>
      <w:r>
        <w:t>[1] Wen Shaohua, Chen Jianguo. Intelligent Document Typesetting and Layout Optimization Based on Deep Learning[J]. Journal of Computer Applications, 2025, 45(6): 1820-1828. (已录用)</w:t>
      </w:r>
    </w:p>
    <w:p>
      <w:r>
        <w:t>参与科研项目：</w:t>
      </w:r>
    </w:p>
    <w:p>
      <w:r>
        <w:t>[1] 山东省自然科学基金面上项目：面向科技文献的文档智能分析与版面重构算法研究（项目编号：ZR2024MF089），主要参与人。</w:t>
      </w:r>
    </w:p>
    <w:sectPr w:rsidR="00FC693F" w:rsidRPr="0006063C" w:rsidSect="00034616">
      <w:pgSz w:w="11906" w:h="16838"/>
      <w:pgMar w:top="1701"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ZoteroData"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zotero:data xmlns:zotero="http://www.zotero.org/">
  <data data-version="3" zotero-version="6.0.37">
    <session id="LdThsZ01"/>
    <style id="http://www.zotero.org/styles/china-national-standard-gb-t-7714-2015-numeric" locale="zh-CN" hasBibliography="1" bibliographyStyleHasBeenSet="1"/>
    <prefs>
      <pref name="fieldType" value="Field"/>
      <pref name="storeReferences" value="true"/>
      <pref name="automaticJournalAbbreviations" value="true"/>
      <pref name="noteType" value="0"/>
    </prefs>
  </data>
</zotero: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7C3E91B-4D28-4F60-9B11-2E8C6A1D7042}">
  <ds:schemaRefs>
    <ds:schemaRef ds:uri="http://www.zotero.org/"/>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