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2"/>
        <w:keepNext/>
      </w:pPr>
      <w:r>
        <w:t>摘要</w:t>
      </w:r>
    </w:p>
    <w:p>
      <w:pPr>
        <w:pStyle w:val="Normal"/>
      </w:pPr>
      <w:r>
        <w:t>牙周炎相关口腔菌群失调可能参与阿尔茨海默病（AD）相关炎症，但尚未建立明确的分子连接。微生物组小开放阅读框（smORF）构成规模庞大的候选肽空间，可用于计算优选。本研究旨在重建口腔smORF汇总筛选级联，并形成可供机制随访的适量肽候选集。本研究为纯计算二次分析，整合序列/蛋白质组过滤、ESM-2嵌入与任务特异性卷积网络、ESM2-t30神经毒性模型、两级神经网络金属结合预测器、多任务抗氧化卷积网络、序列组成分析及独立乙酰胆碱酯酶（AChE）对接汇总。从11,269,961条和11,721,988条smORF起始库中分别保留31,510条和33,786条候选。牙周炎标记分支中3,518条候选达到BBB高分；NTxPred2评价3,299条，其中923条为模型阳性；后续筛选依次保留111、15、12和8条候选。另一张表包含12条互不重复的7–9 aa序列，其AChE Vina均值范围为−9.60至−8.25 kcal/mol。序列组成和评分排序可以复核，但逐行对应关系和对接执行仍未解决。</w:t>
      </w:r>
    </w:p>
    <w:p>
      <w:pPr>
        <w:pStyle w:val="Keywords"/>
      </w:pPr>
      <w:r>
        <w:rPr>
          <w:b/>
        </w:rPr>
        <w:t>关键词：</w:t>
      </w:r>
      <w:r>
        <w:t xml:space="preserve"> 阿尔茨海默病；牙龈卟啉单胞菌；牙周炎；口腔微肽；smORF；深度学习；乙酰胆碱酯酶；分子动力学</w:t>
      </w:r>
    </w:p>
    <w:p>
      <w:pPr>
        <w:pStyle w:val="Heading2"/>
        <w:keepNext/>
      </w:pPr>
      <w:r>
        <w:t>引言</w:t>
      </w:r>
    </w:p>
    <w:p>
      <w:pPr>
        <w:pStyle w:val="BodyText"/>
      </w:pPr>
      <w:r>
        <w:t>阿尔茨海默病（AD）是一种进行性神经退行性疾病，其病理涉及淀粉样蛋白β（Aβ）、tau、突触、免疫、血管和代谢异常的相互作用</w:t>
      </w:r>
      <w:r>
        <w:t>[1]</w:t>
      </w:r>
      <w:r>
        <w:t>。淀粉样蛋白仍是疾病生物学的核心组成，但其负荷本身不能解释AD在时间过程和临床表现上的异质性</w:t>
      </w:r>
      <w:r>
        <w:t>[2]</w:t>
      </w:r>
      <w:r>
        <w:t>。因此，外周炎症状态更适合被理解为多层次疾病过程中的潜在修饰因素，而不是单一充分病因。</w:t>
      </w:r>
    </w:p>
    <w:p>
      <w:pPr>
        <w:pStyle w:val="BodyText"/>
      </w:pPr>
      <w:r>
        <w:t>胆碱能系统体现了临床相关性与因果充分性之间的区别。胆碱能功能丧失参与认知症状，乙酰胆碱酯酶（AChE）抑制剂仍是既定的AD对症治疗药物</w:t>
      </w:r>
      <w:r>
        <w:t>[3]</w:t>
      </w:r>
      <w:r>
        <w:t>。AChE还可通过非催化相互作用加速Aβ纤维组装</w:t>
      </w:r>
      <w:r>
        <w:t>[4]</w:t>
      </w:r>
      <w:r>
        <w:t>。这些发现使AChE成为具有生物学依据的结构靶点，但并不意味着每个获得计算评分的AChE配体都与AD有关。靶点结合、作用方向、组织暴露、选择性、浓度和下游表型需要分别建立。</w:t>
      </w:r>
    </w:p>
    <w:p>
      <w:pPr>
        <w:pStyle w:val="BodyText"/>
      </w:pPr>
      <w:r>
        <w:t>牙周炎是由失调性多微生物生物膜与易感宿主反应共同驱动的慢性炎症性疾病。它可能造成持续炎症负担和微生物产物的间歇性系统暴露，由此推动口腔—脑轴研究</w:t>
      </w:r>
      <w:r>
        <w:t>[5]</w:t>
      </w:r>
      <w:r>
        <w:t>。配对口腔宏基因组和宏转录组观察显示，疾病相关活动随物种和口腔位点而变化，因此分类学丰度不能替代功能证据</w:t>
      </w:r>
      <w:r>
        <w:t>[6]</w:t>
      </w:r>
      <w:r>
        <w:t>。跨研究宏转录组综合进一步提示，队列定义、采样、测序深度、标准化、协变量和参与者层面重复都会影响牙周特征</w:t>
      </w:r>
      <w:r>
        <w:t>[7]</w:t>
      </w:r>
      <w:r>
        <w:t>。</w:t>
      </w:r>
    </w:p>
    <w:p>
      <w:pPr>
        <w:pStyle w:val="BodyText"/>
      </w:pPr>
      <w:r>
        <w:t>在该生态系统中，牙龈卟啉单胞菌（</w:t>
      </w:r>
      <w:r>
        <w:rPr>
          <w:i/>
        </w:rPr>
        <w:t>Porphyromonas gingivalis</w:t>
      </w:r>
      <w:r>
        <w:t>）是研究较充分的革兰阴性厌氧条件致病菌。牙龈蛋白酶、免疫调节、组织降解、营养获取和群落协作使该菌即使在丰度不占优势时也可能重塑牙周生态位</w:t>
      </w:r>
      <w:r>
        <w:t>[8]</w:t>
      </w:r>
      <w:r>
        <w:t>。外膜囊泡能够浓缩和运输细菌组分，并改变细菌与宿主细胞及邻近微生物之间的相互作用</w:t>
      </w:r>
      <w:r>
        <w:t>[9]</w:t>
      </w:r>
      <w:r>
        <w:t>。这些特征提供机制背景，但不能把缺少来源链的群落肽直接归属于</w:t>
      </w:r>
      <w:r>
        <w:rPr>
          <w:i/>
        </w:rPr>
        <w:t>P. gingivalis</w:t>
      </w:r>
      <w:r>
        <w:t>。在把菌种层面证据转移至某条肽之前，必须建立该序列与组装、样本、分类单元、翻译事件和暴露路径之间的联系。</w:t>
      </w:r>
    </w:p>
    <w:p>
      <w:pPr>
        <w:pStyle w:val="BodyText"/>
      </w:pPr>
      <w:r>
        <w:t>多类证据支持继续探索，同时也显示出现有缺口。观察性综合通常报告牙周病与认知障碍相关，但效应估计受到牙周定义、痴呆判定、随访、年龄结构和校正策略影响</w:t>
      </w:r>
      <w:r>
        <w:t>[10]</w:t>
      </w:r>
      <w:r>
        <w:t>。一项AD队列研究发现牙周炎与后续认知下降及促炎状态相关，提供了时间信息，但不能排除混杂与反向因果</w:t>
      </w:r>
      <w:r>
        <w:t>[11]</w:t>
      </w:r>
      <w:r>
        <w:t>。</w:t>
      </w:r>
    </w:p>
    <w:p>
      <w:pPr>
        <w:pStyle w:val="BodyText"/>
      </w:pPr>
      <w:r>
        <w:t>机制研究回答的是更窄的问题。AD相关死后组织中曾检出</w:t>
      </w:r>
      <w:r>
        <w:rPr>
          <w:i/>
        </w:rPr>
        <w:t>P. gingivalis</w:t>
      </w:r>
      <w:r>
        <w:t>相关DNA或蛋白信号，但疾病组织中的检出不能确定暴露方向、时间或因果作用</w:t>
      </w:r>
      <w:r>
        <w:t>[12]</w:t>
      </w:r>
      <w:r>
        <w:t>。小鼠反复口腔暴露可产生神经炎症、神经退行性和Aβ相关改变，说明特定模型下具有生物学合理性，但不能直接外推至人类</w:t>
      </w:r>
      <w:r>
        <w:t>[13]</w:t>
      </w:r>
      <w:r>
        <w:t>。囊泡研究为浓缩细菌货物和宿主细胞信号提供可能载体，但其在人类自然暴露中的生物分布和有效剂量仍不确定</w:t>
      </w:r>
      <w:r>
        <w:t>[14]</w:t>
      </w:r>
      <w:r>
        <w:t>。相反，孟德尔随机化分析未确认牙周病对AD的遗传因果效应，为强因果表述提供必要限制</w:t>
      </w:r>
      <w:r>
        <w:t>[15]</w:t>
      </w:r>
      <w:r>
        <w:t>。人体关联、实验合理性和遗传证据回答不同问题，尚未形成确定的因果通路。</w:t>
      </w:r>
    </w:p>
    <w:p>
      <w:pPr>
        <w:pStyle w:val="BodyText"/>
      </w:pPr>
      <w:r>
        <w:t>微生物组编码的小蛋白和微肽可能构成尚未充分研究的分子中介。人类微生物组大规模分析发现许多保守的小基因家族，其中多数缺少已知结构域或功能</w:t>
      </w:r>
      <w:r>
        <w:t>[16]</w:t>
      </w:r>
      <w:r>
        <w:t>。专用smORF注释通过整合编码特征等信息提高检出灵敏度，而不是沿用常规蛋白长度阈值</w:t>
      </w:r>
      <w:r>
        <w:t>[17]</w:t>
      </w:r>
      <w:r>
        <w:t>。短ORF研究仍需谨慎命名和正交验证，因为编码预测本身不能证明翻译</w:t>
      </w:r>
      <w:r>
        <w:t>[18]</w:t>
      </w:r>
      <w:r>
        <w:t>。蛋白质基因组研究进一步表明，翻译证据必须结合阅读框、组织背景、错误发现控制和肽唯一性进行解释</w:t>
      </w:r>
      <w:r>
        <w:t>[19]</w:t>
      </w:r>
      <w:r>
        <w:t>。即使检测到肽，也不代表它必然从生物膜释放、在血液中稳定、跨越血脑屏障（BBB）或在神经组织中发挥作用。</w:t>
      </w:r>
    </w:p>
    <w:p>
      <w:pPr>
        <w:pStyle w:val="BodyText"/>
      </w:pPr>
      <w:r>
        <w:t>因此，相关分子机制仍不清楚。本研究定位于早期计算优选，而不是机制检验。我们重建汇总候选漏斗，按照实际算法描述各模型架构，表征一份12条序列清单，并限定现有AChE对接评分表的解释范围。研究目标是在不夸大模型输出的前提下缩小候选空间，并形成从序列追溯、独立计算、分子动力学（MD）到实验验证的科学顺序。</w:t>
      </w:r>
    </w:p>
    <w:p>
      <w:pPr>
        <w:pStyle w:val="Heading2"/>
        <w:keepNext/>
      </w:pPr>
      <w:r>
        <w:t>材料与方法</w:t>
      </w:r>
    </w:p>
    <w:p>
      <w:pPr>
        <w:pStyle w:val="Heading3"/>
        <w:keepNext/>
      </w:pPr>
      <w:r>
        <w:t>研究设计与数据来源</w:t>
      </w:r>
    </w:p>
    <w:p>
      <w:pPr>
        <w:pStyle w:val="BodyText"/>
      </w:pPr>
      <w:r>
        <w:t>本研究为纯计算二次分析，使用汇总筛选计数、模型汇总、一张12条序列表及相应AChE对接评分表。本文未开展参与者招募、标本采集、湿实验、新组学处理、预测器再训练或对接重跑；MD轨迹分析作为预设扩展正在进行。所提供的健康与牙周炎标签仅作为分支标签保留，不视为已经核实的候选层面疾病归属。</w:t>
      </w:r>
    </w:p>
    <w:p>
      <w:pPr>
        <w:pStyle w:val="BodyText"/>
      </w:pPr>
      <w:r>
        <w:t>我们核查公共登录号背景，以区分来源项目与衍生组装。PRJNA678453是配对口腔宏基因组和宏转录组测量的来源项目</w:t>
      </w:r>
      <w:r>
        <w:t>[6]</w:t>
      </w:r>
      <w:r>
        <w:t>。PRJEB65451并非独立临床队列，而是由PRJNA678453衍生、使用metaSPAdes v3.15.3组装并由EBI-EMG/MGnify代理的第三方注释宏基因组组装项目。由于现有材料不含一致的登录号—分组表、样本—组装映射和bin层面清单，本文省略具体参与者、标本、组装分析和宏基因组组装基因组总数。</w:t>
      </w:r>
    </w:p>
    <w:p>
      <w:pPr>
        <w:pStyle w:val="BodyText"/>
      </w:pPr>
      <w:r>
        <w:t>序列支持步骤使用了证据含义不同的口腔基因组和宏蛋白质组资源。HOMD/eHOMD提供人类口腔与呼吸消化道的分类学和基因组背景</w:t>
      </w:r>
      <w:r>
        <w:t>[20]</w:t>
      </w:r>
      <w:r>
        <w:t>。唾液宏蛋白质组数据可在其自身采样和错误发现框架内支持肽观察</w:t>
      </w:r>
      <w:r>
        <w:t>[21]</w:t>
      </w:r>
      <w:r>
        <w:t>。其他口腔宏蛋白质组数据集提供情境特异的序列观察，但不能证明当前疾病标记分支中的表达</w:t>
      </w:r>
      <w:r>
        <w:t>[22]</w:t>
      </w:r>
      <w:r>
        <w:t>。近期唾液宏蛋白质组工作还强调宿主去除、微生物富集、肽层面错误控制、分类学歧义和原始数据保存</w:t>
      </w:r>
      <w:r>
        <w:t>[23]</w:t>
      </w:r>
      <w:r>
        <w:t>。因此，对任何资源的精确匹配都被视为序列支持，而不是队列特异表达证据。</w:t>
      </w:r>
    </w:p>
    <w:p>
      <w:pPr>
        <w:pStyle w:val="BodyText"/>
      </w:pPr>
      <w:r>
        <w:t>现有数据不含完整漏斗的候选核苷酸行、完整肽序列行、基因组坐标、样本映射、分类学归属、肽谱匹配、完整预测器输出或原始发现管线。因此，无法估计参与者层面患病率，不能进行分类学归属和疾病富集检验，也不能重建所有模型阶段之间的精确候选交接。</w:t>
      </w:r>
    </w:p>
    <w:p>
      <w:pPr>
        <w:pStyle w:val="Heading3"/>
        <w:keepNext/>
      </w:pPr>
      <w:r>
        <w:t>smORF候选定义与序列证据过滤</w:t>
      </w:r>
    </w:p>
    <w:p>
      <w:pPr>
        <w:pStyle w:val="BodyText"/>
      </w:pPr>
      <w:r>
        <w:t>所提供分析保留编码4–50 aa肽的翻译smORF。健康标记和牙周炎标记起始库分别包含11,269,961条和11,721,988条候选。候选序列与指定口腔序列和蛋白质组资源进行精确匹配并去冗余，最终保留31,510条健康标记候选和33,786条牙周炎标记候选。精确匹配仅解释为序列存在或曾在相关资源中被观察的支持信息，而不是分析疾病标记分支中真实表达的证明。</w:t>
      </w:r>
    </w:p>
    <w:p>
      <w:pPr>
        <w:pStyle w:val="BodyText"/>
      </w:pPr>
      <w:r>
        <w:t>过滤后候选分为短肽（5–30 aa）和长肽（31–50 aa）分支。健康标记分支含30,557条短肽和953条长肽；牙周炎标记分支含32,754条短肽和1,032条长肽。虽然初始定义包括4 aa肽，但下游分箱从5 aa开始，因此无法根据汇总表确定4 aa序列的去向。</w:t>
      </w:r>
    </w:p>
    <w:p>
      <w:pPr>
        <w:pStyle w:val="Heading3"/>
        <w:keepNext/>
      </w:pPr>
      <w:r>
        <w:t>深度学习引导的多模型优选</w:t>
      </w:r>
    </w:p>
    <w:p>
      <w:pPr>
        <w:pStyle w:val="BodyText"/>
      </w:pPr>
      <w:r>
        <w:t>第一层功能优选采用UniDL4BioPep。该架构使用预训练ESM-2模型</w:t>
      </w:r>
      <w:r>
        <w:rPr>
          <w:rFonts w:ascii="Consolas" w:hAnsi="Consolas" w:eastAsia="等线"/>
          <w:shd w:val="clear" w:color="auto" w:fill="F2F4F7"/>
        </w:rPr>
        <w:t>esm2_t6_8M_UR50D</w:t>
      </w:r>
      <w:r>
        <w:t>把每条肽编码为320维上下文表示，随后输入用于二分类肽活性任务的六层任务特异性卷积神经网络</w:t>
      </w:r>
      <w:r>
        <w:t>[24]</w:t>
      </w:r>
      <w:r>
        <w:t>。包括BBB任务在内均使用≥0.80阈值。由于该极短微生物组肽域缺少校准和实验转运信息，本文把输出称为“BBB高分”，而不是BBB可透过。</w:t>
      </w:r>
    </w:p>
    <w:p>
      <w:pPr>
        <w:pStyle w:val="BodyText"/>
      </w:pPr>
      <w:r>
        <w:t>已发表BBB肽预测器在阳性集定义、阴性采样、序列范围、特征、架构和验证设计方面存在异质性。例如，Augur组合工程描述符、特征选择、类别平衡和随机森林，而不是采用深度学习</w:t>
      </w:r>
      <w:r>
        <w:t>[25]</w:t>
      </w:r>
      <w:r>
        <w:t>。这种差异意味着阈值输出具有模型特异性，不能视为体内转运的校准概率。极短、富亮氨酸且带正电的候选尤其可能受到分布偏移影响。</w:t>
      </w:r>
    </w:p>
    <w:p>
      <w:pPr>
        <w:pStyle w:val="BodyText"/>
      </w:pPr>
      <w:r>
        <w:t>主源还分别保留了短肽与长肽分支中22项UniDL4BioPep功能输出的高置信度计数，包括ACE抑制、TTCA、BBB、抗寄生虫、NeuroPred、抗细菌、抗真菌、抗病毒、毒性、抗氧化FRS、致敏性、DPP-IV抑制、细胞穿透、苦味、鲜味、广谱抗菌、两项抗疟输出、群体感应、两项抗癌输出和Anti-MRSA。所有任务均采用所提供的≥0.80阈值。计数和比例按分支特异背景转录（长肽：健康标记953条、牙周炎标记1,032条；短肽：30,557条和32,754条）；这些输出是可重叠的任务标签，不作为独立生物学重复或组间富集证据。</w:t>
      </w:r>
    </w:p>
    <w:p>
      <w:pPr>
        <w:pStyle w:val="BodyText"/>
      </w:pPr>
      <w:r>
        <w:t>牙周炎标记BBB高分集合随后进入NTxPred2肽模式。该模型在神经毒性肽序列上微调ESM2-t30蛋白质语言模型</w:t>
      </w:r>
      <w:r>
        <w:t>[26]</w:t>
      </w:r>
      <w:r>
        <w:t>。仅将处于文献规定7–50 aa输入范围的肽视为已评估；更短候选记为超出模型覆盖，而不是阴性。</w:t>
      </w:r>
    </w:p>
    <w:p>
      <w:pPr>
        <w:pStyle w:val="BodyText"/>
      </w:pPr>
      <w:r>
        <w:t>Mebipred评价Cu、Fe和Zn相关结合潜力。与ESM模型不同，mebipred把氨基酸组成、理化描述符和金属结合5-mer频率整合到两级人工神经网络框架中：一般金属结合网络之后连接离子特异性分类器</w:t>
      </w:r>
      <w:r>
        <w:t>[27]</w:t>
      </w:r>
      <w:r>
        <w:t>，判定阈值为0.50。</w:t>
      </w:r>
    </w:p>
    <w:p>
      <w:pPr>
        <w:pStyle w:val="BodyText"/>
      </w:pPr>
      <w:r>
        <w:t>抗氧化相关性质采用多任务深度卷积神经网络AnOxPePred评价。经one-hot编码的肽序列依次通过一维卷积、平均池化和256单元全连接层，产生自由基清除（FRS）和螯合（CHEL）输出</w:t>
      </w:r>
      <w:r>
        <w:t>[28]</w:t>
      </w:r>
      <w:r>
        <w:t>。保留三个操作终点：CHEL≥0.25；CHEL≥0.25且FRS&lt;0.50；CHEL≥0.25且FRS&lt;0.45。由于多个模型重复利用序列组成且训练终点异质，串行模型一致仅作为计算分流，不视为相互独立的生物学确认。</w:t>
      </w:r>
    </w:p>
    <w:p>
      <w:pPr>
        <w:pStyle w:val="Heading3"/>
        <w:keepNext/>
      </w:pPr>
      <w:r>
        <w:t>序列表征与对接评分分析</w:t>
      </w:r>
    </w:p>
    <w:p>
      <w:pPr>
        <w:pStyle w:val="BodyText"/>
      </w:pPr>
      <w:r>
        <w:t>另一张表包含12条被描述为CHEL/FRS主集合的肽序列。因缺少稳定标识符和序列层面CHEL/FRS输出，无法确认其是否对应汇总终点。我们直接依据字符串重算长度，以及组氨酸、半胱氨酸、碱性残基（Arg+Lys）和芳香残基（Phe+Tyr+Trp）数量，并检查序列唯一性及标准氨基酸组成。</w:t>
      </w:r>
    </w:p>
    <w:p>
      <w:pPr>
        <w:pStyle w:val="BodyText"/>
      </w:pPr>
      <w:r>
        <w:t>选择AChE作为结构背景，是因为其外周区域与加速Aβ组装有关</w:t>
      </w:r>
      <w:r>
        <w:t>[4]</w:t>
      </w:r>
      <w:r>
        <w:t>。一个明确的AChE结构基序被认为可促进Aβ纤维形成</w:t>
      </w:r>
      <w:r>
        <w:t>[29]</w:t>
      </w:r>
      <w:r>
        <w:t>。生化体系中的PAS定向配体能够抑制AChE诱导的Aβ聚集，这使该位点成为合理的结构假设，但不能证明当前肽具有活性</w:t>
      </w:r>
      <w:r>
        <w:t>[30]</w:t>
      </w:r>
      <w:r>
        <w:t>。PDB 4EY6提供具有配体结合信息的实验测定人AChE结构</w:t>
      </w:r>
      <w:r>
        <w:t>[31]</w:t>
      </w:r>
      <w:r>
        <w:t>。现有对接表描述12条肽的AutoDock Vina 1.2.5评分。Vina适用于初步筛选，但评分受受体制备、配体质子化、初始构象、搜索空间位置、exhaustiveness和随机采样影响</w:t>
      </w:r>
      <w:r>
        <w:t>[32]</w:t>
      </w:r>
      <w:r>
        <w:t>。较新Vina实现扩展了方法，但不能消除这些依赖</w:t>
      </w:r>
      <w:r>
        <w:t>[33]</w:t>
      </w:r>
      <w:r>
        <w:t>。因此，本文仅对均值和标准差进行描述性分析，不把评分换算为亲和力或自由能。制备结构、精确网格中心、运行定义、原始分数、日志、构象和相互作用表均不可获得。</w:t>
      </w:r>
    </w:p>
    <w:p>
      <w:pPr>
        <w:pStyle w:val="Heading3"/>
        <w:keepNext/>
      </w:pPr>
      <w:r>
        <w:t>正在进行的分子动力学扩展</w:t>
      </w:r>
    </w:p>
    <w:p>
      <w:pPr>
        <w:pStyle w:val="BodyText"/>
      </w:pPr>
      <w:r>
        <w:t>预设的100 ns MD扩展包括游离人AChE以及标记为ALLLHRC、FLLHTTR和YLSLLQR的AChE复合物。计划使用GROMACS</w:t>
      </w:r>
      <w:r>
        <w:t>[34]</w:t>
      </w:r>
      <w:r>
        <w:t>、Amber99SB-ILDN力场</w:t>
      </w:r>
      <w:r>
        <w:t>[35]</w:t>
      </w:r>
      <w:r>
        <w:t>、TIP3P水模型、溶质至盒边界1.0 nm的三斜周期盒，并在中和后加入0.15 mol/L NaCl。能量最小化包括2,000步最速下降及重原子位置约束。平衡过程包括1.0 ns约束NVT升温（10至300 K）、1.0 ns约束NPT平衡和300 K、1 bar条件下1.0 ns无约束NPT平衡。</w:t>
      </w:r>
    </w:p>
    <w:p>
      <w:pPr>
        <w:pStyle w:val="BodyText"/>
      </w:pPr>
      <w:r>
        <w:t>生产阶段设定为100 ns，步长2 fs；含氢键采用LINCS约束，静电相互作用采用粒子网格Ewald法，温度耦合采用velocity-rescale方法，压力耦合采用Berendsen方法。坐标每20 ps保存一次，即每条轨迹计划得到5,000帧。预设输出包括复合物、AChE和肽层面的RMSD/RMSF、回转半径、溶剂可及表面积、二级结构、径向分布函数、氢键、残基接触及桥连水。已发表AChE–Aβ模拟表明，受体骨架相对稳定可与肽表面迁移和接触改变同时发生，因此解释时需结合多个指标，而不能只依赖RMSD</w:t>
      </w:r>
      <w:r>
        <w:t>[36]</w:t>
      </w:r>
      <w:r>
        <w:t>。比较性轨迹处理与质量控制仍在进行；稳定性、收敛性、接触和体系间测量将在预设分析完成后补充。</w:t>
      </w:r>
    </w:p>
    <w:p>
      <w:pPr>
        <w:pStyle w:val="Heading2"/>
        <w:keepNext/>
      </w:pPr>
      <w:r>
        <w:t>结果</w:t>
      </w:r>
    </w:p>
    <w:p>
      <w:pPr>
        <w:pStyle w:val="Heading3"/>
        <w:keepNext/>
      </w:pPr>
      <w:r>
        <w:t>序列证据过滤与BBB高分输出</w:t>
      </w:r>
    </w:p>
    <w:p>
      <w:pPr>
        <w:pStyle w:val="BodyText"/>
      </w:pPr>
      <w:r>
        <w:t>序列证据过滤分别保留31,510/11,269,961条健康标记候选（0.2796%）和33,786/11,721,988条牙周炎标记候选（0.2882%）（表1）。健康标记分支中，3,359/30,557条短肽（10.99%）和40/953条长肽（4.20%）为BBB高分。牙周炎标记分支中，3,446/32,754条短肽（10.52%）和72/1,032条长肽（6.98%）为BBB高分，总计3,518条；其中短肽占97.95%。</w:t>
      </w:r>
    </w:p>
    <w:p>
      <w:pPr>
        <w:pStyle w:val="Caption"/>
      </w:pPr>
      <w:r>
        <w:rPr>
          <w:b/>
        </w:rPr>
        <w:t>表1. 候选库与BBB高分输出汇总。</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1337"/>
        <w:gridCol w:w="1337"/>
        <w:gridCol w:w="1337"/>
        <w:gridCol w:w="1337"/>
        <w:gridCol w:w="1337"/>
        <w:gridCol w:w="1337"/>
        <w:gridCol w:w="1337"/>
      </w:tblGrid>
      <w:tr>
        <w:trPr>
          <w:tblHeader/>
        </w:trPr>
        <w:tc>
          <w:tcPr>
            <w:tcW w:w="1337" w:type="dxa"/>
            <w:tcBorders>
              <w:bottom w:val="single" w:sz="8" w:space="0" w:color="000000"/>
            </w:tcBorders>
            <w:vAlign w:val="center"/>
          </w:tcPr>
          <w:p>
            <w:pPr>
              <w:pStyle w:val="TableText"/>
              <w:spacing w:before="0" w:after="0" w:line="240" w:lineRule="auto"/>
            </w:pPr>
            <w:r>
              <w:rPr>
                <w:sz w:val="20"/>
                <w:szCs w:val="20"/>
              </w:rPr>
              <w:t>分支</w:t>
            </w:r>
          </w:p>
        </w:tc>
        <w:tc>
          <w:tcPr>
            <w:tcW w:w="1337" w:type="dxa"/>
            <w:tcBorders>
              <w:bottom w:val="single" w:sz="8" w:space="0" w:color="000000"/>
            </w:tcBorders>
            <w:vAlign w:val="center"/>
          </w:tcPr>
          <w:p>
            <w:pPr>
              <w:pStyle w:val="TableText"/>
              <w:spacing w:before="0" w:after="0" w:line="240" w:lineRule="auto"/>
            </w:pPr>
            <w:r>
              <w:rPr>
                <w:sz w:val="20"/>
                <w:szCs w:val="20"/>
              </w:rPr>
              <w:t>原始smORF</w:t>
            </w:r>
          </w:p>
        </w:tc>
        <w:tc>
          <w:tcPr>
            <w:tcW w:w="1337" w:type="dxa"/>
            <w:tcBorders>
              <w:bottom w:val="single" w:sz="8" w:space="0" w:color="000000"/>
            </w:tcBorders>
            <w:vAlign w:val="center"/>
          </w:tcPr>
          <w:p>
            <w:pPr>
              <w:pStyle w:val="TableText"/>
              <w:spacing w:before="0" w:after="0" w:line="240" w:lineRule="auto"/>
            </w:pPr>
            <w:r>
              <w:rPr>
                <w:sz w:val="20"/>
                <w:szCs w:val="20"/>
              </w:rPr>
              <w:t>证据过滤后</w:t>
            </w:r>
          </w:p>
        </w:tc>
        <w:tc>
          <w:tcPr>
            <w:tcW w:w="1337" w:type="dxa"/>
            <w:tcBorders>
              <w:bottom w:val="single" w:sz="8" w:space="0" w:color="000000"/>
            </w:tcBorders>
            <w:vAlign w:val="center"/>
          </w:tcPr>
          <w:p>
            <w:pPr>
              <w:pStyle w:val="TableText"/>
              <w:spacing w:before="0" w:after="0" w:line="240" w:lineRule="auto"/>
            </w:pPr>
            <w:r>
              <w:rPr>
                <w:sz w:val="20"/>
                <w:szCs w:val="20"/>
              </w:rPr>
              <w:t>短肽背景</w:t>
            </w:r>
          </w:p>
        </w:tc>
        <w:tc>
          <w:tcPr>
            <w:tcW w:w="1337" w:type="dxa"/>
            <w:tcBorders>
              <w:bottom w:val="single" w:sz="8" w:space="0" w:color="000000"/>
            </w:tcBorders>
            <w:vAlign w:val="center"/>
          </w:tcPr>
          <w:p>
            <w:pPr>
              <w:pStyle w:val="TableText"/>
              <w:spacing w:before="0" w:after="0" w:line="240" w:lineRule="auto"/>
            </w:pPr>
            <w:r>
              <w:rPr>
                <w:sz w:val="20"/>
                <w:szCs w:val="20"/>
              </w:rPr>
              <w:t>短肽BBB高分，n（%）</w:t>
            </w:r>
          </w:p>
        </w:tc>
        <w:tc>
          <w:tcPr>
            <w:tcW w:w="1337" w:type="dxa"/>
            <w:tcBorders>
              <w:bottom w:val="single" w:sz="8" w:space="0" w:color="000000"/>
            </w:tcBorders>
            <w:vAlign w:val="center"/>
          </w:tcPr>
          <w:p>
            <w:pPr>
              <w:pStyle w:val="TableText"/>
              <w:spacing w:before="0" w:after="0" w:line="240" w:lineRule="auto"/>
            </w:pPr>
            <w:r>
              <w:rPr>
                <w:sz w:val="20"/>
                <w:szCs w:val="20"/>
              </w:rPr>
              <w:t>长肽背景</w:t>
            </w:r>
          </w:p>
        </w:tc>
        <w:tc>
          <w:tcPr>
            <w:tcW w:w="1337" w:type="dxa"/>
            <w:tcBorders>
              <w:bottom w:val="single" w:sz="8" w:space="0" w:color="000000"/>
            </w:tcBorders>
            <w:vAlign w:val="center"/>
          </w:tcPr>
          <w:p>
            <w:pPr>
              <w:pStyle w:val="TableText"/>
              <w:spacing w:before="0" w:after="0" w:line="240" w:lineRule="auto"/>
            </w:pPr>
            <w:r>
              <w:rPr>
                <w:sz w:val="20"/>
                <w:szCs w:val="20"/>
              </w:rPr>
              <w:t>长肽BBB高分，n（%）</w:t>
            </w:r>
          </w:p>
        </w:tc>
      </w:tr>
      <w:tr>
        <w:tc>
          <w:tcPr>
            <w:tcW w:w="1337" w:type="dxa"/>
            <w:vAlign w:val="center"/>
          </w:tcPr>
          <w:p>
            <w:pPr>
              <w:pStyle w:val="TableText"/>
              <w:spacing w:before="0" w:after="0" w:line="240" w:lineRule="auto"/>
            </w:pPr>
            <w:r>
              <w:rPr>
                <w:sz w:val="20"/>
                <w:szCs w:val="20"/>
              </w:rPr>
              <w:t>健康标记</w:t>
            </w:r>
          </w:p>
        </w:tc>
        <w:tc>
          <w:tcPr>
            <w:tcW w:w="1337" w:type="dxa"/>
            <w:vAlign w:val="center"/>
          </w:tcPr>
          <w:p>
            <w:pPr>
              <w:pStyle w:val="TableText"/>
              <w:spacing w:before="0" w:after="0" w:line="240" w:lineRule="auto"/>
            </w:pPr>
            <w:r>
              <w:rPr>
                <w:sz w:val="20"/>
                <w:szCs w:val="20"/>
              </w:rPr>
              <w:t>11,269,961</w:t>
            </w:r>
          </w:p>
        </w:tc>
        <w:tc>
          <w:tcPr>
            <w:tcW w:w="1337" w:type="dxa"/>
            <w:vAlign w:val="center"/>
          </w:tcPr>
          <w:p>
            <w:pPr>
              <w:pStyle w:val="TableText"/>
              <w:spacing w:before="0" w:after="0" w:line="240" w:lineRule="auto"/>
            </w:pPr>
            <w:r>
              <w:rPr>
                <w:sz w:val="20"/>
                <w:szCs w:val="20"/>
              </w:rPr>
              <w:t>31,510</w:t>
            </w:r>
          </w:p>
        </w:tc>
        <w:tc>
          <w:tcPr>
            <w:tcW w:w="1337" w:type="dxa"/>
            <w:vAlign w:val="center"/>
          </w:tcPr>
          <w:p>
            <w:pPr>
              <w:pStyle w:val="TableText"/>
              <w:spacing w:before="0" w:after="0" w:line="240" w:lineRule="auto"/>
            </w:pPr>
            <w:r>
              <w:rPr>
                <w:sz w:val="20"/>
                <w:szCs w:val="20"/>
              </w:rPr>
              <w:t>30,557</w:t>
            </w:r>
          </w:p>
        </w:tc>
        <w:tc>
          <w:tcPr>
            <w:tcW w:w="1337" w:type="dxa"/>
            <w:vAlign w:val="center"/>
          </w:tcPr>
          <w:p>
            <w:pPr>
              <w:pStyle w:val="TableText"/>
              <w:spacing w:before="0" w:after="0" w:line="240" w:lineRule="auto"/>
            </w:pPr>
            <w:r>
              <w:rPr>
                <w:sz w:val="20"/>
                <w:szCs w:val="20"/>
              </w:rPr>
              <w:t>3,359 (10.99%)</w:t>
            </w:r>
          </w:p>
        </w:tc>
        <w:tc>
          <w:tcPr>
            <w:tcW w:w="1337" w:type="dxa"/>
            <w:vAlign w:val="center"/>
          </w:tcPr>
          <w:p>
            <w:pPr>
              <w:pStyle w:val="TableText"/>
              <w:spacing w:before="0" w:after="0" w:line="240" w:lineRule="auto"/>
            </w:pPr>
            <w:r>
              <w:rPr>
                <w:sz w:val="20"/>
                <w:szCs w:val="20"/>
              </w:rPr>
              <w:t>953</w:t>
            </w:r>
          </w:p>
        </w:tc>
        <w:tc>
          <w:tcPr>
            <w:tcW w:w="1337" w:type="dxa"/>
            <w:vAlign w:val="center"/>
          </w:tcPr>
          <w:p>
            <w:pPr>
              <w:pStyle w:val="TableText"/>
              <w:spacing w:before="0" w:after="0" w:line="240" w:lineRule="auto"/>
            </w:pPr>
            <w:r>
              <w:rPr>
                <w:sz w:val="20"/>
                <w:szCs w:val="20"/>
              </w:rPr>
              <w:t>40 (4.20%)</w:t>
            </w:r>
          </w:p>
        </w:tc>
      </w:tr>
      <w:tr>
        <w:tc>
          <w:tcPr>
            <w:tcW w:w="1337" w:type="dxa"/>
            <w:vAlign w:val="center"/>
          </w:tcPr>
          <w:p>
            <w:pPr>
              <w:pStyle w:val="TableText"/>
              <w:spacing w:before="0" w:after="0" w:line="240" w:lineRule="auto"/>
            </w:pPr>
            <w:r>
              <w:rPr>
                <w:sz w:val="20"/>
                <w:szCs w:val="20"/>
              </w:rPr>
              <w:t>牙周炎标记</w:t>
            </w:r>
          </w:p>
        </w:tc>
        <w:tc>
          <w:tcPr>
            <w:tcW w:w="1337" w:type="dxa"/>
            <w:vAlign w:val="center"/>
          </w:tcPr>
          <w:p>
            <w:pPr>
              <w:pStyle w:val="TableText"/>
              <w:spacing w:before="0" w:after="0" w:line="240" w:lineRule="auto"/>
            </w:pPr>
            <w:r>
              <w:rPr>
                <w:sz w:val="20"/>
                <w:szCs w:val="20"/>
              </w:rPr>
              <w:t>11,721,988</w:t>
            </w:r>
          </w:p>
        </w:tc>
        <w:tc>
          <w:tcPr>
            <w:tcW w:w="1337" w:type="dxa"/>
            <w:vAlign w:val="center"/>
          </w:tcPr>
          <w:p>
            <w:pPr>
              <w:pStyle w:val="TableText"/>
              <w:spacing w:before="0" w:after="0" w:line="240" w:lineRule="auto"/>
            </w:pPr>
            <w:r>
              <w:rPr>
                <w:sz w:val="20"/>
                <w:szCs w:val="20"/>
              </w:rPr>
              <w:t>33,786</w:t>
            </w:r>
          </w:p>
        </w:tc>
        <w:tc>
          <w:tcPr>
            <w:tcW w:w="1337" w:type="dxa"/>
            <w:vAlign w:val="center"/>
          </w:tcPr>
          <w:p>
            <w:pPr>
              <w:pStyle w:val="TableText"/>
              <w:spacing w:before="0" w:after="0" w:line="240" w:lineRule="auto"/>
            </w:pPr>
            <w:r>
              <w:rPr>
                <w:sz w:val="20"/>
                <w:szCs w:val="20"/>
              </w:rPr>
              <w:t>32,754</w:t>
            </w:r>
          </w:p>
        </w:tc>
        <w:tc>
          <w:tcPr>
            <w:tcW w:w="1337" w:type="dxa"/>
            <w:vAlign w:val="center"/>
          </w:tcPr>
          <w:p>
            <w:pPr>
              <w:pStyle w:val="TableText"/>
              <w:spacing w:before="0" w:after="0" w:line="240" w:lineRule="auto"/>
            </w:pPr>
            <w:r>
              <w:rPr>
                <w:sz w:val="20"/>
                <w:szCs w:val="20"/>
              </w:rPr>
              <w:t>3,446 (10.52%)</w:t>
            </w:r>
          </w:p>
        </w:tc>
        <w:tc>
          <w:tcPr>
            <w:tcW w:w="1337" w:type="dxa"/>
            <w:vAlign w:val="center"/>
          </w:tcPr>
          <w:p>
            <w:pPr>
              <w:pStyle w:val="TableText"/>
              <w:spacing w:before="0" w:after="0" w:line="240" w:lineRule="auto"/>
            </w:pPr>
            <w:r>
              <w:rPr>
                <w:sz w:val="20"/>
                <w:szCs w:val="20"/>
              </w:rPr>
              <w:t>1,032</w:t>
            </w:r>
          </w:p>
        </w:tc>
        <w:tc>
          <w:tcPr>
            <w:tcW w:w="1337" w:type="dxa"/>
            <w:vAlign w:val="center"/>
          </w:tcPr>
          <w:p>
            <w:pPr>
              <w:pStyle w:val="TableText"/>
              <w:spacing w:before="0" w:after="0" w:line="240" w:lineRule="auto"/>
            </w:pPr>
            <w:r>
              <w:rPr>
                <w:sz w:val="20"/>
                <w:szCs w:val="20"/>
              </w:rPr>
              <w:t>72 (6.98%)</w:t>
            </w:r>
          </w:p>
        </w:tc>
      </w:tr>
    </w:tbl>
    <w:p>
      <w:pPr>
        <w:spacing w:after="40"/>
      </w:pPr>
    </w:p>
    <w:p>
      <w:pPr>
        <w:pStyle w:val="BodyText"/>
      </w:pPr>
      <w:r>
        <w:t>所提供牙周炎标记长度汇总包括5–7 aa 547条、8–15 aa 2,893条、16–30 aa 6条以及31–50 aa 72条。因此，优选集合以短序列为主。由于缺少逐行身份，无法评价序列重叠、分类学分布或参与者层面患病率。</w:t>
      </w:r>
    </w:p>
    <w:p>
      <w:pPr>
        <w:pStyle w:val="BodyText"/>
      </w:pPr>
      <w:r>
        <w:t>广义抗菌输出接近饱和：健康标记短肽中30,537/30,557条（99.93%）、牙周炎标记短肽中32,721/32,754条（99.90%）超过共同0.80阈值。这种近乎普遍的阳性不太可能代表具有实验活性的口腔抗菌肽比例，更可能提示序列域偏移、校准限制或该标签不适合采用共同阈值。</w:t>
      </w:r>
    </w:p>
    <w:p>
      <w:pPr>
        <w:pStyle w:val="Heading3"/>
        <w:keepNext/>
      </w:pPr>
      <w:r>
        <w:t>长肽与短肽多维功能预测结果</w:t>
      </w:r>
    </w:p>
    <w:p>
      <w:pPr>
        <w:pStyle w:val="BodyText"/>
      </w:pPr>
      <w:r>
        <w:t>主源中的多维功能汇总以紧凑形式保留（表2）。长肽比例使用健康标记953条和牙周炎标记1,032条为背景；短肽比例使用30,557条和32,754条为背景。长肽输出以Bitter（66.63%；62.11%）、Anti-parasitic（30.22%；27.13%）和Antimicrobial（21.62%；23.06%）为主。短肽Antimicrobial_activity接近饱和（99.93%；99.90%），APP_Anti-parasitic、Quorum_sensing和ACP_Anticancer_main输出也较大。牙周炎标记短肽分支包含3,446条BBB、4,019条NeuroPred和4,728条Anti-MRSA高置信度输出。主源在两个分支汇总中使用了略有差异的模型标签后缀；表1按对应功能类别并列，不把它们视为已经校准或实验等价的测量。</w:t>
      </w:r>
    </w:p>
    <w:p>
      <w:pPr>
        <w:pStyle w:val="Caption"/>
      </w:pPr>
      <w:r>
        <w:rPr>
          <w:b/>
        </w:rPr>
        <w:t>表2. UniDL4BioPep评分≥0.80的长肽与短肽多维功能预测结果。</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1872"/>
        <w:gridCol w:w="1872"/>
        <w:gridCol w:w="1872"/>
        <w:gridCol w:w="1872"/>
        <w:gridCol w:w="1872"/>
      </w:tblGrid>
      <w:tr>
        <w:trPr>
          <w:tblHeader/>
        </w:trPr>
        <w:tc>
          <w:tcPr>
            <w:tcW w:w="1872" w:type="dxa"/>
            <w:tcBorders>
              <w:bottom w:val="single" w:sz="8" w:space="0" w:color="000000"/>
            </w:tcBorders>
            <w:vAlign w:val="center"/>
          </w:tcPr>
          <w:p>
            <w:pPr>
              <w:pStyle w:val="TableText"/>
              <w:spacing w:before="0" w:after="0" w:line="240" w:lineRule="auto"/>
            </w:pPr>
            <w:r>
              <w:rPr>
                <w:sz w:val="20"/>
                <w:szCs w:val="20"/>
              </w:rPr>
              <w:t>功能输出</w:t>
            </w:r>
          </w:p>
        </w:tc>
        <w:tc>
          <w:tcPr>
            <w:tcW w:w="1872" w:type="dxa"/>
            <w:tcBorders>
              <w:bottom w:val="single" w:sz="8" w:space="0" w:color="000000"/>
            </w:tcBorders>
            <w:vAlign w:val="center"/>
          </w:tcPr>
          <w:p>
            <w:pPr>
              <w:pStyle w:val="TableText"/>
              <w:spacing w:before="0" w:after="0" w:line="240" w:lineRule="auto"/>
            </w:pPr>
            <w:r>
              <w:rPr>
                <w:sz w:val="20"/>
                <w:szCs w:val="20"/>
              </w:rPr>
              <w:t>长肽健康 n（%）</w:t>
            </w:r>
          </w:p>
        </w:tc>
        <w:tc>
          <w:tcPr>
            <w:tcW w:w="1872" w:type="dxa"/>
            <w:tcBorders>
              <w:bottom w:val="single" w:sz="8" w:space="0" w:color="000000"/>
            </w:tcBorders>
            <w:vAlign w:val="center"/>
          </w:tcPr>
          <w:p>
            <w:pPr>
              <w:pStyle w:val="TableText"/>
              <w:spacing w:before="0" w:after="0" w:line="240" w:lineRule="auto"/>
            </w:pPr>
            <w:r>
              <w:rPr>
                <w:sz w:val="20"/>
                <w:szCs w:val="20"/>
              </w:rPr>
              <w:t>长肽牙周炎 n（%）</w:t>
            </w:r>
          </w:p>
        </w:tc>
        <w:tc>
          <w:tcPr>
            <w:tcW w:w="1872" w:type="dxa"/>
            <w:tcBorders>
              <w:bottom w:val="single" w:sz="8" w:space="0" w:color="000000"/>
            </w:tcBorders>
            <w:vAlign w:val="center"/>
          </w:tcPr>
          <w:p>
            <w:pPr>
              <w:pStyle w:val="TableText"/>
              <w:spacing w:before="0" w:after="0" w:line="240" w:lineRule="auto"/>
            </w:pPr>
            <w:r>
              <w:rPr>
                <w:sz w:val="20"/>
                <w:szCs w:val="20"/>
              </w:rPr>
              <w:t>短肽健康 n（%）</w:t>
            </w:r>
          </w:p>
        </w:tc>
        <w:tc>
          <w:tcPr>
            <w:tcW w:w="1872" w:type="dxa"/>
            <w:tcBorders>
              <w:bottom w:val="single" w:sz="8" w:space="0" w:color="000000"/>
            </w:tcBorders>
            <w:vAlign w:val="center"/>
          </w:tcPr>
          <w:p>
            <w:pPr>
              <w:pStyle w:val="TableText"/>
              <w:spacing w:before="0" w:after="0" w:line="240" w:lineRule="auto"/>
            </w:pPr>
            <w:r>
              <w:rPr>
                <w:sz w:val="20"/>
                <w:szCs w:val="20"/>
              </w:rPr>
              <w:t>短肽牙周炎 n（%）</w:t>
            </w:r>
          </w:p>
        </w:tc>
      </w:tr>
      <w:tr>
        <w:tc>
          <w:tcPr>
            <w:tcW w:w="1872" w:type="dxa"/>
            <w:vAlign w:val="center"/>
          </w:tcPr>
          <w:p>
            <w:pPr>
              <w:pStyle w:val="TableText"/>
              <w:spacing w:before="0" w:after="0" w:line="240" w:lineRule="auto"/>
            </w:pPr>
            <w:r>
              <w:rPr>
                <w:sz w:val="20"/>
                <w:szCs w:val="20"/>
              </w:rPr>
              <w:t>抗癌（替代模型）</w:t>
            </w:r>
          </w:p>
        </w:tc>
        <w:tc>
          <w:tcPr>
            <w:tcW w:w="1872" w:type="dxa"/>
            <w:vAlign w:val="center"/>
          </w:tcPr>
          <w:p>
            <w:pPr>
              <w:pStyle w:val="TableText"/>
              <w:spacing w:before="0" w:after="0" w:line="240" w:lineRule="auto"/>
            </w:pPr>
            <w:r>
              <w:rPr>
                <w:sz w:val="20"/>
                <w:szCs w:val="20"/>
              </w:rPr>
              <w:t>91 (9.55%)</w:t>
            </w:r>
          </w:p>
        </w:tc>
        <w:tc>
          <w:tcPr>
            <w:tcW w:w="1872" w:type="dxa"/>
            <w:vAlign w:val="center"/>
          </w:tcPr>
          <w:p>
            <w:pPr>
              <w:pStyle w:val="TableText"/>
              <w:spacing w:before="0" w:after="0" w:line="240" w:lineRule="auto"/>
            </w:pPr>
            <w:r>
              <w:rPr>
                <w:sz w:val="20"/>
                <w:szCs w:val="20"/>
              </w:rPr>
              <w:t>121 (11.72%)</w:t>
            </w:r>
          </w:p>
        </w:tc>
        <w:tc>
          <w:tcPr>
            <w:tcW w:w="1872" w:type="dxa"/>
            <w:vAlign w:val="center"/>
          </w:tcPr>
          <w:p>
            <w:pPr>
              <w:pStyle w:val="TableText"/>
              <w:spacing w:before="0" w:after="0" w:line="240" w:lineRule="auto"/>
            </w:pPr>
            <w:r>
              <w:rPr>
                <w:sz w:val="20"/>
                <w:szCs w:val="20"/>
              </w:rPr>
              <w:t>7,878 (25.78%)</w:t>
            </w:r>
          </w:p>
        </w:tc>
        <w:tc>
          <w:tcPr>
            <w:tcW w:w="1872" w:type="dxa"/>
            <w:vAlign w:val="center"/>
          </w:tcPr>
          <w:p>
            <w:pPr>
              <w:pStyle w:val="TableText"/>
              <w:spacing w:before="0" w:after="0" w:line="240" w:lineRule="auto"/>
            </w:pPr>
            <w:r>
              <w:rPr>
                <w:sz w:val="20"/>
                <w:szCs w:val="20"/>
              </w:rPr>
              <w:t>8,380 (25.58%)</w:t>
            </w:r>
          </w:p>
        </w:tc>
      </w:tr>
      <w:tr>
        <w:tc>
          <w:tcPr>
            <w:tcW w:w="1872" w:type="dxa"/>
            <w:vAlign w:val="center"/>
          </w:tcPr>
          <w:p>
            <w:pPr>
              <w:pStyle w:val="TableText"/>
              <w:spacing w:before="0" w:after="0" w:line="240" w:lineRule="auto"/>
            </w:pPr>
            <w:r>
              <w:rPr>
                <w:sz w:val="20"/>
                <w:szCs w:val="20"/>
              </w:rPr>
              <w:t>BBB</w:t>
            </w:r>
          </w:p>
        </w:tc>
        <w:tc>
          <w:tcPr>
            <w:tcW w:w="1872" w:type="dxa"/>
            <w:vAlign w:val="center"/>
          </w:tcPr>
          <w:p>
            <w:pPr>
              <w:pStyle w:val="TableText"/>
              <w:spacing w:before="0" w:after="0" w:line="240" w:lineRule="auto"/>
            </w:pPr>
            <w:r>
              <w:rPr>
                <w:sz w:val="20"/>
                <w:szCs w:val="20"/>
              </w:rPr>
              <w:t>40 (4.20%)</w:t>
            </w:r>
          </w:p>
        </w:tc>
        <w:tc>
          <w:tcPr>
            <w:tcW w:w="1872" w:type="dxa"/>
            <w:vAlign w:val="center"/>
          </w:tcPr>
          <w:p>
            <w:pPr>
              <w:pStyle w:val="TableText"/>
              <w:spacing w:before="0" w:after="0" w:line="240" w:lineRule="auto"/>
            </w:pPr>
            <w:r>
              <w:rPr>
                <w:sz w:val="20"/>
                <w:szCs w:val="20"/>
              </w:rPr>
              <w:t>72 (6.98%)</w:t>
            </w:r>
          </w:p>
        </w:tc>
        <w:tc>
          <w:tcPr>
            <w:tcW w:w="1872" w:type="dxa"/>
            <w:vAlign w:val="center"/>
          </w:tcPr>
          <w:p>
            <w:pPr>
              <w:pStyle w:val="TableText"/>
              <w:spacing w:before="0" w:after="0" w:line="240" w:lineRule="auto"/>
            </w:pPr>
            <w:r>
              <w:rPr>
                <w:sz w:val="20"/>
                <w:szCs w:val="20"/>
              </w:rPr>
              <w:t>3,359 (10.99%)</w:t>
            </w:r>
          </w:p>
        </w:tc>
        <w:tc>
          <w:tcPr>
            <w:tcW w:w="1872" w:type="dxa"/>
            <w:vAlign w:val="center"/>
          </w:tcPr>
          <w:p>
            <w:pPr>
              <w:pStyle w:val="TableText"/>
              <w:spacing w:before="0" w:after="0" w:line="240" w:lineRule="auto"/>
            </w:pPr>
            <w:r>
              <w:rPr>
                <w:sz w:val="20"/>
                <w:szCs w:val="20"/>
              </w:rPr>
              <w:t>3,446 (10.52%)</w:t>
            </w:r>
          </w:p>
        </w:tc>
      </w:tr>
      <w:tr>
        <w:tc>
          <w:tcPr>
            <w:tcW w:w="1872" w:type="dxa"/>
            <w:vAlign w:val="center"/>
          </w:tcPr>
          <w:p>
            <w:pPr>
              <w:pStyle w:val="TableText"/>
              <w:spacing w:before="0" w:after="0" w:line="240" w:lineRule="auto"/>
            </w:pPr>
            <w:r>
              <w:rPr>
                <w:sz w:val="20"/>
                <w:szCs w:val="20"/>
              </w:rPr>
              <w:t>群体感应</w:t>
            </w:r>
          </w:p>
        </w:tc>
        <w:tc>
          <w:tcPr>
            <w:tcW w:w="1872" w:type="dxa"/>
            <w:vAlign w:val="center"/>
          </w:tcPr>
          <w:p>
            <w:pPr>
              <w:pStyle w:val="TableText"/>
              <w:spacing w:before="0" w:after="0" w:line="240" w:lineRule="auto"/>
            </w:pPr>
            <w:r>
              <w:rPr>
                <w:sz w:val="20"/>
                <w:szCs w:val="20"/>
              </w:rPr>
              <w:t>173 (18.15%)</w:t>
            </w:r>
          </w:p>
        </w:tc>
        <w:tc>
          <w:tcPr>
            <w:tcW w:w="1872" w:type="dxa"/>
            <w:vAlign w:val="center"/>
          </w:tcPr>
          <w:p>
            <w:pPr>
              <w:pStyle w:val="TableText"/>
              <w:spacing w:before="0" w:after="0" w:line="240" w:lineRule="auto"/>
            </w:pPr>
            <w:r>
              <w:rPr>
                <w:sz w:val="20"/>
                <w:szCs w:val="20"/>
              </w:rPr>
              <w:t>190 (18.41%)</w:t>
            </w:r>
          </w:p>
        </w:tc>
        <w:tc>
          <w:tcPr>
            <w:tcW w:w="1872" w:type="dxa"/>
            <w:vAlign w:val="center"/>
          </w:tcPr>
          <w:p>
            <w:pPr>
              <w:pStyle w:val="TableText"/>
              <w:spacing w:before="0" w:after="0" w:line="240" w:lineRule="auto"/>
            </w:pPr>
            <w:r>
              <w:rPr>
                <w:sz w:val="20"/>
                <w:szCs w:val="20"/>
              </w:rPr>
              <w:t>11,834 (38.73%)</w:t>
            </w:r>
          </w:p>
        </w:tc>
        <w:tc>
          <w:tcPr>
            <w:tcW w:w="1872" w:type="dxa"/>
            <w:vAlign w:val="center"/>
          </w:tcPr>
          <w:p>
            <w:pPr>
              <w:pStyle w:val="TableText"/>
              <w:spacing w:before="0" w:after="0" w:line="240" w:lineRule="auto"/>
            </w:pPr>
            <w:r>
              <w:rPr>
                <w:sz w:val="20"/>
                <w:szCs w:val="20"/>
              </w:rPr>
              <w:t>12,674 (38.69%)</w:t>
            </w:r>
          </w:p>
        </w:tc>
      </w:tr>
      <w:tr>
        <w:tc>
          <w:tcPr>
            <w:tcW w:w="1872" w:type="dxa"/>
            <w:vAlign w:val="center"/>
          </w:tcPr>
          <w:p>
            <w:pPr>
              <w:pStyle w:val="TableText"/>
              <w:spacing w:before="0" w:after="0" w:line="240" w:lineRule="auto"/>
            </w:pPr>
            <w:r>
              <w:rPr>
                <w:sz w:val="20"/>
                <w:szCs w:val="20"/>
              </w:rPr>
              <w:t>广谱抗菌</w:t>
            </w:r>
          </w:p>
        </w:tc>
        <w:tc>
          <w:tcPr>
            <w:tcW w:w="1872" w:type="dxa"/>
            <w:vAlign w:val="center"/>
          </w:tcPr>
          <w:p>
            <w:pPr>
              <w:pStyle w:val="TableText"/>
              <w:spacing w:before="0" w:after="0" w:line="240" w:lineRule="auto"/>
            </w:pPr>
            <w:r>
              <w:rPr>
                <w:sz w:val="20"/>
                <w:szCs w:val="20"/>
              </w:rPr>
              <w:t>206 (21.62%)</w:t>
            </w:r>
          </w:p>
        </w:tc>
        <w:tc>
          <w:tcPr>
            <w:tcW w:w="1872" w:type="dxa"/>
            <w:vAlign w:val="center"/>
          </w:tcPr>
          <w:p>
            <w:pPr>
              <w:pStyle w:val="TableText"/>
              <w:spacing w:before="0" w:after="0" w:line="240" w:lineRule="auto"/>
            </w:pPr>
            <w:r>
              <w:rPr>
                <w:sz w:val="20"/>
                <w:szCs w:val="20"/>
              </w:rPr>
              <w:t>238 (23.06%)</w:t>
            </w:r>
          </w:p>
        </w:tc>
        <w:tc>
          <w:tcPr>
            <w:tcW w:w="1872" w:type="dxa"/>
            <w:vAlign w:val="center"/>
          </w:tcPr>
          <w:p>
            <w:pPr>
              <w:pStyle w:val="TableText"/>
              <w:spacing w:before="0" w:after="0" w:line="240" w:lineRule="auto"/>
            </w:pPr>
            <w:r>
              <w:rPr>
                <w:sz w:val="20"/>
                <w:szCs w:val="20"/>
              </w:rPr>
              <w:t>30,537 (99.93%)</w:t>
            </w:r>
          </w:p>
        </w:tc>
        <w:tc>
          <w:tcPr>
            <w:tcW w:w="1872" w:type="dxa"/>
            <w:vAlign w:val="center"/>
          </w:tcPr>
          <w:p>
            <w:pPr>
              <w:pStyle w:val="TableText"/>
              <w:spacing w:before="0" w:after="0" w:line="240" w:lineRule="auto"/>
            </w:pPr>
            <w:r>
              <w:rPr>
                <w:sz w:val="20"/>
                <w:szCs w:val="20"/>
              </w:rPr>
              <w:t>32,721 (99.90%)</w:t>
            </w:r>
          </w:p>
        </w:tc>
      </w:tr>
      <w:tr>
        <w:tc>
          <w:tcPr>
            <w:tcW w:w="1872" w:type="dxa"/>
            <w:vAlign w:val="center"/>
          </w:tcPr>
          <w:p>
            <w:pPr>
              <w:pStyle w:val="TableText"/>
              <w:spacing w:before="0" w:after="0" w:line="240" w:lineRule="auto"/>
            </w:pPr>
            <w:r>
              <w:rPr>
                <w:sz w:val="20"/>
                <w:szCs w:val="20"/>
              </w:rPr>
              <w:t>抗细菌</w:t>
            </w:r>
          </w:p>
        </w:tc>
        <w:tc>
          <w:tcPr>
            <w:tcW w:w="1872" w:type="dxa"/>
            <w:vAlign w:val="center"/>
          </w:tcPr>
          <w:p>
            <w:pPr>
              <w:pStyle w:val="TableText"/>
              <w:spacing w:before="0" w:after="0" w:line="240" w:lineRule="auto"/>
            </w:pPr>
            <w:r>
              <w:rPr>
                <w:sz w:val="20"/>
                <w:szCs w:val="20"/>
              </w:rPr>
              <w:t>111 (11.65%)</w:t>
            </w:r>
          </w:p>
        </w:tc>
        <w:tc>
          <w:tcPr>
            <w:tcW w:w="1872" w:type="dxa"/>
            <w:vAlign w:val="center"/>
          </w:tcPr>
          <w:p>
            <w:pPr>
              <w:pStyle w:val="TableText"/>
              <w:spacing w:before="0" w:after="0" w:line="240" w:lineRule="auto"/>
            </w:pPr>
            <w:r>
              <w:rPr>
                <w:sz w:val="20"/>
                <w:szCs w:val="20"/>
              </w:rPr>
              <w:t>153 (14.83%)</w:t>
            </w:r>
          </w:p>
        </w:tc>
        <w:tc>
          <w:tcPr>
            <w:tcW w:w="1872" w:type="dxa"/>
            <w:vAlign w:val="center"/>
          </w:tcPr>
          <w:p>
            <w:pPr>
              <w:pStyle w:val="TableText"/>
              <w:spacing w:before="0" w:after="0" w:line="240" w:lineRule="auto"/>
            </w:pPr>
            <w:r>
              <w:rPr>
                <w:sz w:val="20"/>
                <w:szCs w:val="20"/>
              </w:rPr>
              <w:t>9,269 (30.33%)</w:t>
            </w:r>
          </w:p>
        </w:tc>
        <w:tc>
          <w:tcPr>
            <w:tcW w:w="1872" w:type="dxa"/>
            <w:vAlign w:val="center"/>
          </w:tcPr>
          <w:p>
            <w:pPr>
              <w:pStyle w:val="TableText"/>
              <w:spacing w:before="0" w:after="0" w:line="240" w:lineRule="auto"/>
            </w:pPr>
            <w:r>
              <w:rPr>
                <w:sz w:val="20"/>
                <w:szCs w:val="20"/>
              </w:rPr>
              <w:t>9,273 (28.31%)</w:t>
            </w:r>
          </w:p>
        </w:tc>
      </w:tr>
      <w:tr>
        <w:tc>
          <w:tcPr>
            <w:tcW w:w="1872" w:type="dxa"/>
            <w:vAlign w:val="center"/>
          </w:tcPr>
          <w:p>
            <w:pPr>
              <w:pStyle w:val="TableText"/>
              <w:spacing w:before="0" w:after="0" w:line="240" w:lineRule="auto"/>
            </w:pPr>
            <w:r>
              <w:rPr>
                <w:sz w:val="20"/>
                <w:szCs w:val="20"/>
              </w:rPr>
              <w:t>抗MRSA</w:t>
            </w:r>
          </w:p>
        </w:tc>
        <w:tc>
          <w:tcPr>
            <w:tcW w:w="1872" w:type="dxa"/>
            <w:vAlign w:val="center"/>
          </w:tcPr>
          <w:p>
            <w:pPr>
              <w:pStyle w:val="TableText"/>
              <w:spacing w:before="0" w:after="0" w:line="240" w:lineRule="auto"/>
            </w:pPr>
            <w:r>
              <w:rPr>
                <w:sz w:val="20"/>
                <w:szCs w:val="20"/>
              </w:rPr>
              <w:t>47 (4.93%)</w:t>
            </w:r>
          </w:p>
        </w:tc>
        <w:tc>
          <w:tcPr>
            <w:tcW w:w="1872" w:type="dxa"/>
            <w:vAlign w:val="center"/>
          </w:tcPr>
          <w:p>
            <w:pPr>
              <w:pStyle w:val="TableText"/>
              <w:spacing w:before="0" w:after="0" w:line="240" w:lineRule="auto"/>
            </w:pPr>
            <w:r>
              <w:rPr>
                <w:sz w:val="20"/>
                <w:szCs w:val="20"/>
              </w:rPr>
              <w:t>62 (6.01%)</w:t>
            </w:r>
          </w:p>
        </w:tc>
        <w:tc>
          <w:tcPr>
            <w:tcW w:w="1872" w:type="dxa"/>
            <w:vAlign w:val="center"/>
          </w:tcPr>
          <w:p>
            <w:pPr>
              <w:pStyle w:val="TableText"/>
              <w:spacing w:before="0" w:after="0" w:line="240" w:lineRule="auto"/>
            </w:pPr>
            <w:r>
              <w:rPr>
                <w:sz w:val="20"/>
                <w:szCs w:val="20"/>
              </w:rPr>
              <w:t>4,315 (14.12%)</w:t>
            </w:r>
          </w:p>
        </w:tc>
        <w:tc>
          <w:tcPr>
            <w:tcW w:w="1872" w:type="dxa"/>
            <w:vAlign w:val="center"/>
          </w:tcPr>
          <w:p>
            <w:pPr>
              <w:pStyle w:val="TableText"/>
              <w:spacing w:before="0" w:after="0" w:line="240" w:lineRule="auto"/>
            </w:pPr>
            <w:r>
              <w:rPr>
                <w:sz w:val="20"/>
                <w:szCs w:val="20"/>
              </w:rPr>
              <w:t>4,728 (14.43%)</w:t>
            </w:r>
          </w:p>
        </w:tc>
      </w:tr>
      <w:tr>
        <w:tc>
          <w:tcPr>
            <w:tcW w:w="1872" w:type="dxa"/>
            <w:vAlign w:val="center"/>
          </w:tcPr>
          <w:p>
            <w:pPr>
              <w:pStyle w:val="TableText"/>
              <w:spacing w:before="0" w:after="0" w:line="240" w:lineRule="auto"/>
            </w:pPr>
            <w:r>
              <w:rPr>
                <w:sz w:val="20"/>
                <w:szCs w:val="20"/>
              </w:rPr>
              <w:t>细胞穿透肽</w:t>
            </w:r>
          </w:p>
        </w:tc>
        <w:tc>
          <w:tcPr>
            <w:tcW w:w="1872" w:type="dxa"/>
            <w:vAlign w:val="center"/>
          </w:tcPr>
          <w:p>
            <w:pPr>
              <w:pStyle w:val="TableText"/>
              <w:spacing w:before="0" w:after="0" w:line="240" w:lineRule="auto"/>
            </w:pPr>
            <w:r>
              <w:rPr>
                <w:sz w:val="20"/>
                <w:szCs w:val="20"/>
              </w:rPr>
              <w:t>15 (1.57%)</w:t>
            </w:r>
          </w:p>
        </w:tc>
        <w:tc>
          <w:tcPr>
            <w:tcW w:w="1872" w:type="dxa"/>
            <w:vAlign w:val="center"/>
          </w:tcPr>
          <w:p>
            <w:pPr>
              <w:pStyle w:val="TableText"/>
              <w:spacing w:before="0" w:after="0" w:line="240" w:lineRule="auto"/>
            </w:pPr>
            <w:r>
              <w:rPr>
                <w:sz w:val="20"/>
                <w:szCs w:val="20"/>
              </w:rPr>
              <w:t>29 (2.81%)</w:t>
            </w:r>
          </w:p>
        </w:tc>
        <w:tc>
          <w:tcPr>
            <w:tcW w:w="1872" w:type="dxa"/>
            <w:vAlign w:val="center"/>
          </w:tcPr>
          <w:p>
            <w:pPr>
              <w:pStyle w:val="TableText"/>
              <w:spacing w:before="0" w:after="0" w:line="240" w:lineRule="auto"/>
            </w:pPr>
            <w:r>
              <w:rPr>
                <w:sz w:val="20"/>
                <w:szCs w:val="20"/>
              </w:rPr>
              <w:t>4,435 (14.51%)</w:t>
            </w:r>
          </w:p>
        </w:tc>
        <w:tc>
          <w:tcPr>
            <w:tcW w:w="1872" w:type="dxa"/>
            <w:vAlign w:val="center"/>
          </w:tcPr>
          <w:p>
            <w:pPr>
              <w:pStyle w:val="TableText"/>
              <w:spacing w:before="0" w:after="0" w:line="240" w:lineRule="auto"/>
            </w:pPr>
            <w:r>
              <w:rPr>
                <w:sz w:val="20"/>
                <w:szCs w:val="20"/>
              </w:rPr>
              <w:t>4,133 (12.62%)</w:t>
            </w:r>
          </w:p>
        </w:tc>
      </w:tr>
      <w:tr>
        <w:tc>
          <w:tcPr>
            <w:tcW w:w="1872" w:type="dxa"/>
            <w:vAlign w:val="center"/>
          </w:tcPr>
          <w:p>
            <w:pPr>
              <w:pStyle w:val="TableText"/>
              <w:spacing w:before="0" w:after="0" w:line="240" w:lineRule="auto"/>
            </w:pPr>
            <w:r>
              <w:rPr>
                <w:sz w:val="20"/>
                <w:szCs w:val="20"/>
              </w:rPr>
              <w:t>抗真菌</w:t>
            </w:r>
          </w:p>
        </w:tc>
        <w:tc>
          <w:tcPr>
            <w:tcW w:w="1872" w:type="dxa"/>
            <w:vAlign w:val="center"/>
          </w:tcPr>
          <w:p>
            <w:pPr>
              <w:pStyle w:val="TableText"/>
              <w:spacing w:before="0" w:after="0" w:line="240" w:lineRule="auto"/>
            </w:pPr>
            <w:r>
              <w:rPr>
                <w:sz w:val="20"/>
                <w:szCs w:val="20"/>
              </w:rPr>
              <w:t>73 (7.66%)</w:t>
            </w:r>
          </w:p>
        </w:tc>
        <w:tc>
          <w:tcPr>
            <w:tcW w:w="1872" w:type="dxa"/>
            <w:vAlign w:val="center"/>
          </w:tcPr>
          <w:p>
            <w:pPr>
              <w:pStyle w:val="TableText"/>
              <w:spacing w:before="0" w:after="0" w:line="240" w:lineRule="auto"/>
            </w:pPr>
            <w:r>
              <w:rPr>
                <w:sz w:val="20"/>
                <w:szCs w:val="20"/>
              </w:rPr>
              <w:t>96 (9.30%)</w:t>
            </w:r>
          </w:p>
        </w:tc>
        <w:tc>
          <w:tcPr>
            <w:tcW w:w="1872" w:type="dxa"/>
            <w:vAlign w:val="center"/>
          </w:tcPr>
          <w:p>
            <w:pPr>
              <w:pStyle w:val="TableText"/>
              <w:spacing w:before="0" w:after="0" w:line="240" w:lineRule="auto"/>
            </w:pPr>
            <w:r>
              <w:rPr>
                <w:sz w:val="20"/>
                <w:szCs w:val="20"/>
              </w:rPr>
              <w:t>8,732 (28.58%)</w:t>
            </w:r>
          </w:p>
        </w:tc>
        <w:tc>
          <w:tcPr>
            <w:tcW w:w="1872" w:type="dxa"/>
            <w:vAlign w:val="center"/>
          </w:tcPr>
          <w:p>
            <w:pPr>
              <w:pStyle w:val="TableText"/>
              <w:spacing w:before="0" w:after="0" w:line="240" w:lineRule="auto"/>
            </w:pPr>
            <w:r>
              <w:rPr>
                <w:sz w:val="20"/>
                <w:szCs w:val="20"/>
              </w:rPr>
              <w:t>8,475 (25.87%)</w:t>
            </w:r>
          </w:p>
        </w:tc>
      </w:tr>
      <w:tr>
        <w:tc>
          <w:tcPr>
            <w:tcW w:w="1872" w:type="dxa"/>
            <w:vAlign w:val="center"/>
          </w:tcPr>
          <w:p>
            <w:pPr>
              <w:pStyle w:val="TableText"/>
              <w:spacing w:before="0" w:after="0" w:line="240" w:lineRule="auto"/>
            </w:pPr>
            <w:r>
              <w:rPr>
                <w:sz w:val="20"/>
                <w:szCs w:val="20"/>
              </w:rPr>
              <w:t>毒性</w:t>
            </w:r>
          </w:p>
        </w:tc>
        <w:tc>
          <w:tcPr>
            <w:tcW w:w="1872" w:type="dxa"/>
            <w:vAlign w:val="center"/>
          </w:tcPr>
          <w:p>
            <w:pPr>
              <w:pStyle w:val="TableText"/>
              <w:spacing w:before="0" w:after="0" w:line="240" w:lineRule="auto"/>
            </w:pPr>
            <w:r>
              <w:rPr>
                <w:sz w:val="20"/>
                <w:szCs w:val="20"/>
              </w:rPr>
              <w:t>13 (1.36%)</w:t>
            </w:r>
          </w:p>
        </w:tc>
        <w:tc>
          <w:tcPr>
            <w:tcW w:w="1872" w:type="dxa"/>
            <w:vAlign w:val="center"/>
          </w:tcPr>
          <w:p>
            <w:pPr>
              <w:pStyle w:val="TableText"/>
              <w:spacing w:before="0" w:after="0" w:line="240" w:lineRule="auto"/>
            </w:pPr>
            <w:r>
              <w:rPr>
                <w:sz w:val="20"/>
                <w:szCs w:val="20"/>
              </w:rPr>
              <w:t>18 (1.74%)</w:t>
            </w:r>
          </w:p>
        </w:tc>
        <w:tc>
          <w:tcPr>
            <w:tcW w:w="1872" w:type="dxa"/>
            <w:vAlign w:val="center"/>
          </w:tcPr>
          <w:p>
            <w:pPr>
              <w:pStyle w:val="TableText"/>
              <w:spacing w:before="0" w:after="0" w:line="240" w:lineRule="auto"/>
            </w:pPr>
            <w:r>
              <w:rPr>
                <w:sz w:val="20"/>
                <w:szCs w:val="20"/>
              </w:rPr>
              <w:t>2,770 (9.07%)</w:t>
            </w:r>
          </w:p>
        </w:tc>
        <w:tc>
          <w:tcPr>
            <w:tcW w:w="1872" w:type="dxa"/>
            <w:vAlign w:val="center"/>
          </w:tcPr>
          <w:p>
            <w:pPr>
              <w:pStyle w:val="TableText"/>
              <w:spacing w:before="0" w:after="0" w:line="240" w:lineRule="auto"/>
            </w:pPr>
            <w:r>
              <w:rPr>
                <w:sz w:val="20"/>
                <w:szCs w:val="20"/>
              </w:rPr>
              <w:t>2,751 (8.40%)</w:t>
            </w:r>
          </w:p>
        </w:tc>
      </w:tr>
      <w:tr>
        <w:tc>
          <w:tcPr>
            <w:tcW w:w="1872" w:type="dxa"/>
            <w:vAlign w:val="center"/>
          </w:tcPr>
          <w:p>
            <w:pPr>
              <w:pStyle w:val="TableText"/>
              <w:spacing w:before="0" w:after="0" w:line="240" w:lineRule="auto"/>
            </w:pPr>
            <w:r>
              <w:rPr>
                <w:sz w:val="20"/>
                <w:szCs w:val="20"/>
              </w:rPr>
              <w:t>鲜味</w:t>
            </w:r>
          </w:p>
        </w:tc>
        <w:tc>
          <w:tcPr>
            <w:tcW w:w="1872" w:type="dxa"/>
            <w:vAlign w:val="center"/>
          </w:tcPr>
          <w:p>
            <w:pPr>
              <w:pStyle w:val="TableText"/>
              <w:spacing w:before="0" w:after="0" w:line="240" w:lineRule="auto"/>
            </w:pPr>
            <w:r>
              <w:rPr>
                <w:sz w:val="20"/>
                <w:szCs w:val="20"/>
              </w:rPr>
              <w:t>17 (1.78%)</w:t>
            </w:r>
          </w:p>
        </w:tc>
        <w:tc>
          <w:tcPr>
            <w:tcW w:w="1872" w:type="dxa"/>
            <w:vAlign w:val="center"/>
          </w:tcPr>
          <w:p>
            <w:pPr>
              <w:pStyle w:val="TableText"/>
              <w:spacing w:before="0" w:after="0" w:line="240" w:lineRule="auto"/>
            </w:pPr>
            <w:r>
              <w:rPr>
                <w:sz w:val="20"/>
                <w:szCs w:val="20"/>
              </w:rPr>
              <w:t>15 (1.45%)</w:t>
            </w:r>
          </w:p>
        </w:tc>
        <w:tc>
          <w:tcPr>
            <w:tcW w:w="1872" w:type="dxa"/>
            <w:vAlign w:val="center"/>
          </w:tcPr>
          <w:p>
            <w:pPr>
              <w:pStyle w:val="TableText"/>
              <w:spacing w:before="0" w:after="0" w:line="240" w:lineRule="auto"/>
            </w:pPr>
            <w:r>
              <w:rPr>
                <w:sz w:val="20"/>
                <w:szCs w:val="20"/>
              </w:rPr>
              <w:t>6,095 (19.95%)</w:t>
            </w:r>
          </w:p>
        </w:tc>
        <w:tc>
          <w:tcPr>
            <w:tcW w:w="1872" w:type="dxa"/>
            <w:vAlign w:val="center"/>
          </w:tcPr>
          <w:p>
            <w:pPr>
              <w:pStyle w:val="TableText"/>
              <w:spacing w:before="0" w:after="0" w:line="240" w:lineRule="auto"/>
            </w:pPr>
            <w:r>
              <w:rPr>
                <w:sz w:val="20"/>
                <w:szCs w:val="20"/>
              </w:rPr>
              <w:t>6,094 (18.61%)</w:t>
            </w:r>
          </w:p>
        </w:tc>
      </w:tr>
      <w:tr>
        <w:tc>
          <w:tcPr>
            <w:tcW w:w="1872" w:type="dxa"/>
            <w:vAlign w:val="center"/>
          </w:tcPr>
          <w:p>
            <w:pPr>
              <w:pStyle w:val="TableText"/>
              <w:spacing w:before="0" w:after="0" w:line="240" w:lineRule="auto"/>
            </w:pPr>
            <w:r>
              <w:rPr>
                <w:sz w:val="20"/>
                <w:szCs w:val="20"/>
              </w:rPr>
              <w:t>抗疟（替代模型）</w:t>
            </w:r>
          </w:p>
        </w:tc>
        <w:tc>
          <w:tcPr>
            <w:tcW w:w="1872" w:type="dxa"/>
            <w:vAlign w:val="center"/>
          </w:tcPr>
          <w:p>
            <w:pPr>
              <w:pStyle w:val="TableText"/>
              <w:spacing w:before="0" w:after="0" w:line="240" w:lineRule="auto"/>
            </w:pPr>
            <w:r>
              <w:rPr>
                <w:sz w:val="20"/>
                <w:szCs w:val="20"/>
              </w:rPr>
              <w:t>12 (1.26%)</w:t>
            </w:r>
          </w:p>
        </w:tc>
        <w:tc>
          <w:tcPr>
            <w:tcW w:w="1872" w:type="dxa"/>
            <w:vAlign w:val="center"/>
          </w:tcPr>
          <w:p>
            <w:pPr>
              <w:pStyle w:val="TableText"/>
              <w:spacing w:before="0" w:after="0" w:line="240" w:lineRule="auto"/>
            </w:pPr>
            <w:r>
              <w:rPr>
                <w:sz w:val="20"/>
                <w:szCs w:val="20"/>
              </w:rPr>
              <w:t>14 (1.36%)</w:t>
            </w:r>
          </w:p>
        </w:tc>
        <w:tc>
          <w:tcPr>
            <w:tcW w:w="1872" w:type="dxa"/>
            <w:vAlign w:val="center"/>
          </w:tcPr>
          <w:p>
            <w:pPr>
              <w:pStyle w:val="TableText"/>
              <w:spacing w:before="0" w:after="0" w:line="240" w:lineRule="auto"/>
            </w:pPr>
            <w:r>
              <w:rPr>
                <w:sz w:val="20"/>
                <w:szCs w:val="20"/>
              </w:rPr>
              <w:t>1,724 (5.64%)</w:t>
            </w:r>
          </w:p>
        </w:tc>
        <w:tc>
          <w:tcPr>
            <w:tcW w:w="1872" w:type="dxa"/>
            <w:vAlign w:val="center"/>
          </w:tcPr>
          <w:p>
            <w:pPr>
              <w:pStyle w:val="TableText"/>
              <w:spacing w:before="0" w:after="0" w:line="240" w:lineRule="auto"/>
            </w:pPr>
            <w:r>
              <w:rPr>
                <w:sz w:val="20"/>
                <w:szCs w:val="20"/>
              </w:rPr>
              <w:t>1,695 (5.17%)</w:t>
            </w:r>
          </w:p>
        </w:tc>
      </w:tr>
      <w:tr>
        <w:tc>
          <w:tcPr>
            <w:tcW w:w="1872" w:type="dxa"/>
            <w:vAlign w:val="center"/>
          </w:tcPr>
          <w:p>
            <w:pPr>
              <w:pStyle w:val="TableText"/>
              <w:spacing w:before="0" w:after="0" w:line="240" w:lineRule="auto"/>
            </w:pPr>
            <w:r>
              <w:rPr>
                <w:sz w:val="20"/>
                <w:szCs w:val="20"/>
              </w:rPr>
              <w:t>TTCA</w:t>
            </w:r>
          </w:p>
        </w:tc>
        <w:tc>
          <w:tcPr>
            <w:tcW w:w="1872" w:type="dxa"/>
            <w:vAlign w:val="center"/>
          </w:tcPr>
          <w:p>
            <w:pPr>
              <w:pStyle w:val="TableText"/>
              <w:spacing w:before="0" w:after="0" w:line="240" w:lineRule="auto"/>
            </w:pPr>
            <w:r>
              <w:rPr>
                <w:sz w:val="20"/>
                <w:szCs w:val="20"/>
              </w:rPr>
              <w:t>1 (0.10%)</w:t>
            </w:r>
          </w:p>
        </w:tc>
        <w:tc>
          <w:tcPr>
            <w:tcW w:w="1872" w:type="dxa"/>
            <w:vAlign w:val="center"/>
          </w:tcPr>
          <w:p>
            <w:pPr>
              <w:pStyle w:val="TableText"/>
              <w:spacing w:before="0" w:after="0" w:line="240" w:lineRule="auto"/>
            </w:pPr>
            <w:r>
              <w:rPr>
                <w:sz w:val="20"/>
                <w:szCs w:val="20"/>
              </w:rPr>
              <w:t>1 (0.10%)</w:t>
            </w:r>
          </w:p>
        </w:tc>
        <w:tc>
          <w:tcPr>
            <w:tcW w:w="1872" w:type="dxa"/>
            <w:vAlign w:val="center"/>
          </w:tcPr>
          <w:p>
            <w:pPr>
              <w:pStyle w:val="TableText"/>
              <w:spacing w:before="0" w:after="0" w:line="240" w:lineRule="auto"/>
            </w:pPr>
            <w:r>
              <w:rPr>
                <w:sz w:val="20"/>
                <w:szCs w:val="20"/>
              </w:rPr>
              <w:t>9,123 (29.86%)</w:t>
            </w:r>
          </w:p>
        </w:tc>
        <w:tc>
          <w:tcPr>
            <w:tcW w:w="1872" w:type="dxa"/>
            <w:vAlign w:val="center"/>
          </w:tcPr>
          <w:p>
            <w:pPr>
              <w:pStyle w:val="TableText"/>
              <w:spacing w:before="0" w:after="0" w:line="240" w:lineRule="auto"/>
            </w:pPr>
            <w:r>
              <w:rPr>
                <w:sz w:val="20"/>
                <w:szCs w:val="20"/>
              </w:rPr>
              <w:t>9,161 (27.97%)</w:t>
            </w:r>
          </w:p>
        </w:tc>
      </w:tr>
      <w:tr>
        <w:tc>
          <w:tcPr>
            <w:tcW w:w="1872" w:type="dxa"/>
            <w:vAlign w:val="center"/>
          </w:tcPr>
          <w:p>
            <w:pPr>
              <w:pStyle w:val="TableText"/>
              <w:spacing w:before="0" w:after="0" w:line="240" w:lineRule="auto"/>
            </w:pPr>
            <w:r>
              <w:rPr>
                <w:sz w:val="20"/>
                <w:szCs w:val="20"/>
              </w:rPr>
              <w:t>抗氧化FRS</w:t>
            </w:r>
          </w:p>
        </w:tc>
        <w:tc>
          <w:tcPr>
            <w:tcW w:w="1872" w:type="dxa"/>
            <w:vAlign w:val="center"/>
          </w:tcPr>
          <w:p>
            <w:pPr>
              <w:pStyle w:val="TableText"/>
              <w:spacing w:before="0" w:after="0" w:line="240" w:lineRule="auto"/>
            </w:pPr>
            <w:r>
              <w:rPr>
                <w:sz w:val="20"/>
                <w:szCs w:val="20"/>
              </w:rPr>
              <w:t>43 (4.51%)</w:t>
            </w:r>
          </w:p>
        </w:tc>
        <w:tc>
          <w:tcPr>
            <w:tcW w:w="1872" w:type="dxa"/>
            <w:vAlign w:val="center"/>
          </w:tcPr>
          <w:p>
            <w:pPr>
              <w:pStyle w:val="TableText"/>
              <w:spacing w:before="0" w:after="0" w:line="240" w:lineRule="auto"/>
            </w:pPr>
            <w:r>
              <w:rPr>
                <w:sz w:val="20"/>
                <w:szCs w:val="20"/>
              </w:rPr>
              <w:t>41 (3.97%)</w:t>
            </w:r>
          </w:p>
        </w:tc>
        <w:tc>
          <w:tcPr>
            <w:tcW w:w="1872" w:type="dxa"/>
            <w:vAlign w:val="center"/>
          </w:tcPr>
          <w:p>
            <w:pPr>
              <w:pStyle w:val="TableText"/>
              <w:spacing w:before="0" w:after="0" w:line="240" w:lineRule="auto"/>
            </w:pPr>
            <w:r>
              <w:rPr>
                <w:sz w:val="20"/>
                <w:szCs w:val="20"/>
              </w:rPr>
              <w:t>4,171 (13.65%)</w:t>
            </w:r>
          </w:p>
        </w:tc>
        <w:tc>
          <w:tcPr>
            <w:tcW w:w="1872" w:type="dxa"/>
            <w:vAlign w:val="center"/>
          </w:tcPr>
          <w:p>
            <w:pPr>
              <w:pStyle w:val="TableText"/>
              <w:spacing w:before="0" w:after="0" w:line="240" w:lineRule="auto"/>
            </w:pPr>
            <w:r>
              <w:rPr>
                <w:sz w:val="20"/>
                <w:szCs w:val="20"/>
              </w:rPr>
              <w:t>4,093 (12.50%)</w:t>
            </w:r>
          </w:p>
        </w:tc>
      </w:tr>
      <w:tr>
        <w:tc>
          <w:tcPr>
            <w:tcW w:w="1872" w:type="dxa"/>
            <w:vAlign w:val="center"/>
          </w:tcPr>
          <w:p>
            <w:pPr>
              <w:pStyle w:val="TableText"/>
              <w:spacing w:before="0" w:after="0" w:line="240" w:lineRule="auto"/>
            </w:pPr>
            <w:r>
              <w:rPr>
                <w:sz w:val="20"/>
                <w:szCs w:val="20"/>
              </w:rPr>
              <w:t>DPP-IV抑制</w:t>
            </w:r>
          </w:p>
        </w:tc>
        <w:tc>
          <w:tcPr>
            <w:tcW w:w="1872" w:type="dxa"/>
            <w:vAlign w:val="center"/>
          </w:tcPr>
          <w:p>
            <w:pPr>
              <w:pStyle w:val="TableText"/>
              <w:spacing w:before="0" w:after="0" w:line="240" w:lineRule="auto"/>
            </w:pPr>
            <w:r>
              <w:rPr>
                <w:sz w:val="20"/>
                <w:szCs w:val="20"/>
              </w:rPr>
              <w:t>0 (0.00%)</w:t>
            </w:r>
          </w:p>
        </w:tc>
        <w:tc>
          <w:tcPr>
            <w:tcW w:w="1872" w:type="dxa"/>
            <w:vAlign w:val="center"/>
          </w:tcPr>
          <w:p>
            <w:pPr>
              <w:pStyle w:val="TableText"/>
              <w:spacing w:before="0" w:after="0" w:line="240" w:lineRule="auto"/>
            </w:pPr>
            <w:r>
              <w:rPr>
                <w:sz w:val="20"/>
                <w:szCs w:val="20"/>
              </w:rPr>
              <w:t>0 (0.00%)</w:t>
            </w:r>
          </w:p>
        </w:tc>
        <w:tc>
          <w:tcPr>
            <w:tcW w:w="1872" w:type="dxa"/>
            <w:vAlign w:val="center"/>
          </w:tcPr>
          <w:p>
            <w:pPr>
              <w:pStyle w:val="TableText"/>
              <w:spacing w:before="0" w:after="0" w:line="240" w:lineRule="auto"/>
            </w:pPr>
            <w:r>
              <w:rPr>
                <w:sz w:val="20"/>
                <w:szCs w:val="20"/>
              </w:rPr>
              <w:t>207 (0.68%)</w:t>
            </w:r>
          </w:p>
        </w:tc>
        <w:tc>
          <w:tcPr>
            <w:tcW w:w="1872" w:type="dxa"/>
            <w:vAlign w:val="center"/>
          </w:tcPr>
          <w:p>
            <w:pPr>
              <w:pStyle w:val="TableText"/>
              <w:spacing w:before="0" w:after="0" w:line="240" w:lineRule="auto"/>
            </w:pPr>
            <w:r>
              <w:rPr>
                <w:sz w:val="20"/>
                <w:szCs w:val="20"/>
              </w:rPr>
              <w:t>266 (0.81%)</w:t>
            </w:r>
          </w:p>
        </w:tc>
      </w:tr>
      <w:tr>
        <w:tc>
          <w:tcPr>
            <w:tcW w:w="1872" w:type="dxa"/>
            <w:vAlign w:val="center"/>
          </w:tcPr>
          <w:p>
            <w:pPr>
              <w:pStyle w:val="TableText"/>
              <w:spacing w:before="0" w:after="0" w:line="240" w:lineRule="auto"/>
            </w:pPr>
            <w:r>
              <w:rPr>
                <w:sz w:val="20"/>
                <w:szCs w:val="20"/>
              </w:rPr>
              <w:t>抗疟（主模型）</w:t>
            </w:r>
          </w:p>
        </w:tc>
        <w:tc>
          <w:tcPr>
            <w:tcW w:w="1872" w:type="dxa"/>
            <w:vAlign w:val="center"/>
          </w:tcPr>
          <w:p>
            <w:pPr>
              <w:pStyle w:val="TableText"/>
              <w:spacing w:before="0" w:after="0" w:line="240" w:lineRule="auto"/>
            </w:pPr>
            <w:r>
              <w:rPr>
                <w:sz w:val="20"/>
                <w:szCs w:val="20"/>
              </w:rPr>
              <w:t>0 (0.00%)</w:t>
            </w:r>
          </w:p>
        </w:tc>
        <w:tc>
          <w:tcPr>
            <w:tcW w:w="1872" w:type="dxa"/>
            <w:vAlign w:val="center"/>
          </w:tcPr>
          <w:p>
            <w:pPr>
              <w:pStyle w:val="TableText"/>
              <w:spacing w:before="0" w:after="0" w:line="240" w:lineRule="auto"/>
            </w:pPr>
            <w:r>
              <w:rPr>
                <w:sz w:val="20"/>
                <w:szCs w:val="20"/>
              </w:rPr>
              <w:t>0 (0.00%)</w:t>
            </w:r>
          </w:p>
        </w:tc>
        <w:tc>
          <w:tcPr>
            <w:tcW w:w="1872" w:type="dxa"/>
            <w:vAlign w:val="center"/>
          </w:tcPr>
          <w:p>
            <w:pPr>
              <w:pStyle w:val="TableText"/>
              <w:spacing w:before="0" w:after="0" w:line="240" w:lineRule="auto"/>
            </w:pPr>
            <w:r>
              <w:rPr>
                <w:sz w:val="20"/>
                <w:szCs w:val="20"/>
              </w:rPr>
              <w:t>6,496 (21.26%)</w:t>
            </w:r>
          </w:p>
        </w:tc>
        <w:tc>
          <w:tcPr>
            <w:tcW w:w="1872" w:type="dxa"/>
            <w:vAlign w:val="center"/>
          </w:tcPr>
          <w:p>
            <w:pPr>
              <w:pStyle w:val="TableText"/>
              <w:spacing w:before="0" w:after="0" w:line="240" w:lineRule="auto"/>
            </w:pPr>
            <w:r>
              <w:rPr>
                <w:sz w:val="20"/>
                <w:szCs w:val="20"/>
              </w:rPr>
              <w:t>6,586 (20.11%)</w:t>
            </w:r>
          </w:p>
        </w:tc>
      </w:tr>
      <w:tr>
        <w:tc>
          <w:tcPr>
            <w:tcW w:w="1872" w:type="dxa"/>
            <w:vAlign w:val="center"/>
          </w:tcPr>
          <w:p>
            <w:pPr>
              <w:pStyle w:val="TableText"/>
              <w:spacing w:before="0" w:after="0" w:line="240" w:lineRule="auto"/>
            </w:pPr>
            <w:r>
              <w:rPr>
                <w:sz w:val="20"/>
                <w:szCs w:val="20"/>
              </w:rPr>
              <w:t>抗寄生虫</w:t>
            </w:r>
          </w:p>
        </w:tc>
        <w:tc>
          <w:tcPr>
            <w:tcW w:w="1872" w:type="dxa"/>
            <w:vAlign w:val="center"/>
          </w:tcPr>
          <w:p>
            <w:pPr>
              <w:pStyle w:val="TableText"/>
              <w:spacing w:before="0" w:after="0" w:line="240" w:lineRule="auto"/>
            </w:pPr>
            <w:r>
              <w:rPr>
                <w:sz w:val="20"/>
                <w:szCs w:val="20"/>
              </w:rPr>
              <w:t>288 (30.22%)</w:t>
            </w:r>
          </w:p>
        </w:tc>
        <w:tc>
          <w:tcPr>
            <w:tcW w:w="1872" w:type="dxa"/>
            <w:vAlign w:val="center"/>
          </w:tcPr>
          <w:p>
            <w:pPr>
              <w:pStyle w:val="TableText"/>
              <w:spacing w:before="0" w:after="0" w:line="240" w:lineRule="auto"/>
            </w:pPr>
            <w:r>
              <w:rPr>
                <w:sz w:val="20"/>
                <w:szCs w:val="20"/>
              </w:rPr>
              <w:t>280 (27.13%)</w:t>
            </w:r>
          </w:p>
        </w:tc>
        <w:tc>
          <w:tcPr>
            <w:tcW w:w="1872" w:type="dxa"/>
            <w:vAlign w:val="center"/>
          </w:tcPr>
          <w:p>
            <w:pPr>
              <w:pStyle w:val="TableText"/>
              <w:spacing w:before="0" w:after="0" w:line="240" w:lineRule="auto"/>
            </w:pPr>
            <w:r>
              <w:rPr>
                <w:sz w:val="20"/>
                <w:szCs w:val="20"/>
              </w:rPr>
              <w:t>21,185 (69.33%)</w:t>
            </w:r>
          </w:p>
        </w:tc>
        <w:tc>
          <w:tcPr>
            <w:tcW w:w="1872" w:type="dxa"/>
            <w:vAlign w:val="center"/>
          </w:tcPr>
          <w:p>
            <w:pPr>
              <w:pStyle w:val="TableText"/>
              <w:spacing w:before="0" w:after="0" w:line="240" w:lineRule="auto"/>
            </w:pPr>
            <w:r>
              <w:rPr>
                <w:sz w:val="20"/>
                <w:szCs w:val="20"/>
              </w:rPr>
              <w:t>22,010 (67.20%)</w:t>
            </w:r>
          </w:p>
        </w:tc>
      </w:tr>
      <w:tr>
        <w:tc>
          <w:tcPr>
            <w:tcW w:w="1872" w:type="dxa"/>
            <w:vAlign w:val="center"/>
          </w:tcPr>
          <w:p>
            <w:pPr>
              <w:pStyle w:val="TableText"/>
              <w:spacing w:before="0" w:after="0" w:line="240" w:lineRule="auto"/>
            </w:pPr>
            <w:r>
              <w:rPr>
                <w:sz w:val="20"/>
                <w:szCs w:val="20"/>
              </w:rPr>
              <w:t>NeuroPred</w:t>
            </w:r>
          </w:p>
        </w:tc>
        <w:tc>
          <w:tcPr>
            <w:tcW w:w="1872" w:type="dxa"/>
            <w:vAlign w:val="center"/>
          </w:tcPr>
          <w:p>
            <w:pPr>
              <w:pStyle w:val="TableText"/>
              <w:spacing w:before="0" w:after="0" w:line="240" w:lineRule="auto"/>
            </w:pPr>
            <w:r>
              <w:rPr>
                <w:sz w:val="20"/>
                <w:szCs w:val="20"/>
              </w:rPr>
              <w:t>82 (8.60%)</w:t>
            </w:r>
          </w:p>
        </w:tc>
        <w:tc>
          <w:tcPr>
            <w:tcW w:w="1872" w:type="dxa"/>
            <w:vAlign w:val="center"/>
          </w:tcPr>
          <w:p>
            <w:pPr>
              <w:pStyle w:val="TableText"/>
              <w:spacing w:before="0" w:after="0" w:line="240" w:lineRule="auto"/>
            </w:pPr>
            <w:r>
              <w:rPr>
                <w:sz w:val="20"/>
                <w:szCs w:val="20"/>
              </w:rPr>
              <w:t>77 (7.46%)</w:t>
            </w:r>
          </w:p>
        </w:tc>
        <w:tc>
          <w:tcPr>
            <w:tcW w:w="1872" w:type="dxa"/>
            <w:vAlign w:val="center"/>
          </w:tcPr>
          <w:p>
            <w:pPr>
              <w:pStyle w:val="TableText"/>
              <w:spacing w:before="0" w:after="0" w:line="240" w:lineRule="auto"/>
            </w:pPr>
            <w:r>
              <w:rPr>
                <w:sz w:val="20"/>
                <w:szCs w:val="20"/>
              </w:rPr>
              <w:t>3,876 (12.68%)</w:t>
            </w:r>
          </w:p>
        </w:tc>
        <w:tc>
          <w:tcPr>
            <w:tcW w:w="1872" w:type="dxa"/>
            <w:vAlign w:val="center"/>
          </w:tcPr>
          <w:p>
            <w:pPr>
              <w:pStyle w:val="TableText"/>
              <w:spacing w:before="0" w:after="0" w:line="240" w:lineRule="auto"/>
            </w:pPr>
            <w:r>
              <w:rPr>
                <w:sz w:val="20"/>
                <w:szCs w:val="20"/>
              </w:rPr>
              <w:t>4,019 (12.27%)</w:t>
            </w:r>
          </w:p>
        </w:tc>
      </w:tr>
      <w:tr>
        <w:tc>
          <w:tcPr>
            <w:tcW w:w="1872" w:type="dxa"/>
            <w:vAlign w:val="center"/>
          </w:tcPr>
          <w:p>
            <w:pPr>
              <w:pStyle w:val="TableText"/>
              <w:spacing w:before="0" w:after="0" w:line="240" w:lineRule="auto"/>
            </w:pPr>
            <w:r>
              <w:rPr>
                <w:sz w:val="20"/>
                <w:szCs w:val="20"/>
              </w:rPr>
              <w:t>抗癌（主模型）</w:t>
            </w:r>
          </w:p>
        </w:tc>
        <w:tc>
          <w:tcPr>
            <w:tcW w:w="1872" w:type="dxa"/>
            <w:vAlign w:val="center"/>
          </w:tcPr>
          <w:p>
            <w:pPr>
              <w:pStyle w:val="TableText"/>
              <w:spacing w:before="0" w:after="0" w:line="240" w:lineRule="auto"/>
            </w:pPr>
            <w:r>
              <w:rPr>
                <w:sz w:val="20"/>
                <w:szCs w:val="20"/>
              </w:rPr>
              <w:t>37 (3.88%)</w:t>
            </w:r>
          </w:p>
        </w:tc>
        <w:tc>
          <w:tcPr>
            <w:tcW w:w="1872" w:type="dxa"/>
            <w:vAlign w:val="center"/>
          </w:tcPr>
          <w:p>
            <w:pPr>
              <w:pStyle w:val="TableText"/>
              <w:spacing w:before="0" w:after="0" w:line="240" w:lineRule="auto"/>
            </w:pPr>
            <w:r>
              <w:rPr>
                <w:sz w:val="20"/>
                <w:szCs w:val="20"/>
              </w:rPr>
              <w:t>31 (3.00%)</w:t>
            </w:r>
          </w:p>
        </w:tc>
        <w:tc>
          <w:tcPr>
            <w:tcW w:w="1872" w:type="dxa"/>
            <w:vAlign w:val="center"/>
          </w:tcPr>
          <w:p>
            <w:pPr>
              <w:pStyle w:val="TableText"/>
              <w:spacing w:before="0" w:after="0" w:line="240" w:lineRule="auto"/>
            </w:pPr>
            <w:r>
              <w:rPr>
                <w:sz w:val="20"/>
                <w:szCs w:val="20"/>
              </w:rPr>
              <w:t>11,370 (37.21%)</w:t>
            </w:r>
          </w:p>
        </w:tc>
        <w:tc>
          <w:tcPr>
            <w:tcW w:w="1872" w:type="dxa"/>
            <w:vAlign w:val="center"/>
          </w:tcPr>
          <w:p>
            <w:pPr>
              <w:pStyle w:val="TableText"/>
              <w:spacing w:before="0" w:after="0" w:line="240" w:lineRule="auto"/>
            </w:pPr>
            <w:r>
              <w:rPr>
                <w:sz w:val="20"/>
                <w:szCs w:val="20"/>
              </w:rPr>
              <w:t>12,023 (36.71%)</w:t>
            </w:r>
          </w:p>
        </w:tc>
      </w:tr>
      <w:tr>
        <w:tc>
          <w:tcPr>
            <w:tcW w:w="1872" w:type="dxa"/>
            <w:vAlign w:val="center"/>
          </w:tcPr>
          <w:p>
            <w:pPr>
              <w:pStyle w:val="TableText"/>
              <w:spacing w:before="0" w:after="0" w:line="240" w:lineRule="auto"/>
            </w:pPr>
            <w:r>
              <w:rPr>
                <w:sz w:val="20"/>
                <w:szCs w:val="20"/>
              </w:rPr>
              <w:t>ACE抑制</w:t>
            </w:r>
          </w:p>
        </w:tc>
        <w:tc>
          <w:tcPr>
            <w:tcW w:w="1872" w:type="dxa"/>
            <w:vAlign w:val="center"/>
          </w:tcPr>
          <w:p>
            <w:pPr>
              <w:pStyle w:val="TableText"/>
              <w:spacing w:before="0" w:after="0" w:line="240" w:lineRule="auto"/>
            </w:pPr>
            <w:r>
              <w:rPr>
                <w:sz w:val="20"/>
                <w:szCs w:val="20"/>
              </w:rPr>
              <w:t>20 (2.10%)</w:t>
            </w:r>
          </w:p>
        </w:tc>
        <w:tc>
          <w:tcPr>
            <w:tcW w:w="1872" w:type="dxa"/>
            <w:vAlign w:val="center"/>
          </w:tcPr>
          <w:p>
            <w:pPr>
              <w:pStyle w:val="TableText"/>
              <w:spacing w:before="0" w:after="0" w:line="240" w:lineRule="auto"/>
            </w:pPr>
            <w:r>
              <w:rPr>
                <w:sz w:val="20"/>
                <w:szCs w:val="20"/>
              </w:rPr>
              <w:t>14 (1.36%)</w:t>
            </w:r>
          </w:p>
        </w:tc>
        <w:tc>
          <w:tcPr>
            <w:tcW w:w="1872" w:type="dxa"/>
            <w:vAlign w:val="center"/>
          </w:tcPr>
          <w:p>
            <w:pPr>
              <w:pStyle w:val="TableText"/>
              <w:spacing w:before="0" w:after="0" w:line="240" w:lineRule="auto"/>
            </w:pPr>
            <w:r>
              <w:rPr>
                <w:sz w:val="20"/>
                <w:szCs w:val="20"/>
              </w:rPr>
              <w:t>2,781 (9.10%)</w:t>
            </w:r>
          </w:p>
        </w:tc>
        <w:tc>
          <w:tcPr>
            <w:tcW w:w="1872" w:type="dxa"/>
            <w:vAlign w:val="center"/>
          </w:tcPr>
          <w:p>
            <w:pPr>
              <w:pStyle w:val="TableText"/>
              <w:spacing w:before="0" w:after="0" w:line="240" w:lineRule="auto"/>
            </w:pPr>
            <w:r>
              <w:rPr>
                <w:sz w:val="20"/>
                <w:szCs w:val="20"/>
              </w:rPr>
              <w:t>2,856 (8.72%)</w:t>
            </w:r>
          </w:p>
        </w:tc>
      </w:tr>
      <w:tr>
        <w:tc>
          <w:tcPr>
            <w:tcW w:w="1872" w:type="dxa"/>
            <w:vAlign w:val="center"/>
          </w:tcPr>
          <w:p>
            <w:pPr>
              <w:pStyle w:val="TableText"/>
              <w:spacing w:before="0" w:after="0" w:line="240" w:lineRule="auto"/>
            </w:pPr>
            <w:r>
              <w:rPr>
                <w:sz w:val="20"/>
                <w:szCs w:val="20"/>
              </w:rPr>
              <w:t>致敏性</w:t>
            </w:r>
          </w:p>
        </w:tc>
        <w:tc>
          <w:tcPr>
            <w:tcW w:w="1872" w:type="dxa"/>
            <w:vAlign w:val="center"/>
          </w:tcPr>
          <w:p>
            <w:pPr>
              <w:pStyle w:val="TableText"/>
              <w:spacing w:before="0" w:after="0" w:line="240" w:lineRule="auto"/>
            </w:pPr>
            <w:r>
              <w:rPr>
                <w:sz w:val="20"/>
                <w:szCs w:val="20"/>
              </w:rPr>
              <w:t>16 (1.68%)</w:t>
            </w:r>
          </w:p>
        </w:tc>
        <w:tc>
          <w:tcPr>
            <w:tcW w:w="1872" w:type="dxa"/>
            <w:vAlign w:val="center"/>
          </w:tcPr>
          <w:p>
            <w:pPr>
              <w:pStyle w:val="TableText"/>
              <w:spacing w:before="0" w:after="0" w:line="240" w:lineRule="auto"/>
            </w:pPr>
            <w:r>
              <w:rPr>
                <w:sz w:val="20"/>
                <w:szCs w:val="20"/>
              </w:rPr>
              <w:t>11 (1.07%)</w:t>
            </w:r>
          </w:p>
        </w:tc>
        <w:tc>
          <w:tcPr>
            <w:tcW w:w="1872" w:type="dxa"/>
            <w:vAlign w:val="center"/>
          </w:tcPr>
          <w:p>
            <w:pPr>
              <w:pStyle w:val="TableText"/>
              <w:spacing w:before="0" w:after="0" w:line="240" w:lineRule="auto"/>
            </w:pPr>
            <w:r>
              <w:rPr>
                <w:sz w:val="20"/>
                <w:szCs w:val="20"/>
              </w:rPr>
              <w:t>8,599 (28.14%)</w:t>
            </w:r>
          </w:p>
        </w:tc>
        <w:tc>
          <w:tcPr>
            <w:tcW w:w="1872" w:type="dxa"/>
            <w:vAlign w:val="center"/>
          </w:tcPr>
          <w:p>
            <w:pPr>
              <w:pStyle w:val="TableText"/>
              <w:spacing w:before="0" w:after="0" w:line="240" w:lineRule="auto"/>
            </w:pPr>
            <w:r>
              <w:rPr>
                <w:sz w:val="20"/>
                <w:szCs w:val="20"/>
              </w:rPr>
              <w:t>9,422 (28.77%)</w:t>
            </w:r>
          </w:p>
        </w:tc>
      </w:tr>
      <w:tr>
        <w:tc>
          <w:tcPr>
            <w:tcW w:w="1872" w:type="dxa"/>
            <w:vAlign w:val="center"/>
          </w:tcPr>
          <w:p>
            <w:pPr>
              <w:pStyle w:val="TableText"/>
              <w:spacing w:before="0" w:after="0" w:line="240" w:lineRule="auto"/>
            </w:pPr>
            <w:r>
              <w:rPr>
                <w:sz w:val="20"/>
                <w:szCs w:val="20"/>
              </w:rPr>
              <w:t>抗病毒</w:t>
            </w:r>
          </w:p>
        </w:tc>
        <w:tc>
          <w:tcPr>
            <w:tcW w:w="1872" w:type="dxa"/>
            <w:vAlign w:val="center"/>
          </w:tcPr>
          <w:p>
            <w:pPr>
              <w:pStyle w:val="TableText"/>
              <w:spacing w:before="0" w:after="0" w:line="240" w:lineRule="auto"/>
            </w:pPr>
            <w:r>
              <w:rPr>
                <w:sz w:val="20"/>
                <w:szCs w:val="20"/>
              </w:rPr>
              <w:t>55 (5.77%)</w:t>
            </w:r>
          </w:p>
        </w:tc>
        <w:tc>
          <w:tcPr>
            <w:tcW w:w="1872" w:type="dxa"/>
            <w:vAlign w:val="center"/>
          </w:tcPr>
          <w:p>
            <w:pPr>
              <w:pStyle w:val="TableText"/>
              <w:spacing w:before="0" w:after="0" w:line="240" w:lineRule="auto"/>
            </w:pPr>
            <w:r>
              <w:rPr>
                <w:sz w:val="20"/>
                <w:szCs w:val="20"/>
              </w:rPr>
              <w:t>52 (5.04%)</w:t>
            </w:r>
          </w:p>
        </w:tc>
        <w:tc>
          <w:tcPr>
            <w:tcW w:w="1872" w:type="dxa"/>
            <w:vAlign w:val="center"/>
          </w:tcPr>
          <w:p>
            <w:pPr>
              <w:pStyle w:val="TableText"/>
              <w:spacing w:before="0" w:after="0" w:line="240" w:lineRule="auto"/>
            </w:pPr>
            <w:r>
              <w:rPr>
                <w:sz w:val="20"/>
                <w:szCs w:val="20"/>
              </w:rPr>
              <w:t>7,501 (24.55%)</w:t>
            </w:r>
          </w:p>
        </w:tc>
        <w:tc>
          <w:tcPr>
            <w:tcW w:w="1872" w:type="dxa"/>
            <w:vAlign w:val="center"/>
          </w:tcPr>
          <w:p>
            <w:pPr>
              <w:pStyle w:val="TableText"/>
              <w:spacing w:before="0" w:after="0" w:line="240" w:lineRule="auto"/>
            </w:pPr>
            <w:r>
              <w:rPr>
                <w:sz w:val="20"/>
                <w:szCs w:val="20"/>
              </w:rPr>
              <w:t>7,221 (22.05%)</w:t>
            </w:r>
          </w:p>
        </w:tc>
      </w:tr>
      <w:tr>
        <w:tc>
          <w:tcPr>
            <w:tcW w:w="1872" w:type="dxa"/>
            <w:vAlign w:val="center"/>
          </w:tcPr>
          <w:p>
            <w:pPr>
              <w:pStyle w:val="TableText"/>
              <w:spacing w:before="0" w:after="0" w:line="240" w:lineRule="auto"/>
            </w:pPr>
            <w:r>
              <w:rPr>
                <w:sz w:val="20"/>
                <w:szCs w:val="20"/>
              </w:rPr>
              <w:t>苦味</w:t>
            </w:r>
          </w:p>
        </w:tc>
        <w:tc>
          <w:tcPr>
            <w:tcW w:w="1872" w:type="dxa"/>
            <w:vAlign w:val="center"/>
          </w:tcPr>
          <w:p>
            <w:pPr>
              <w:pStyle w:val="TableText"/>
              <w:spacing w:before="0" w:after="0" w:line="240" w:lineRule="auto"/>
            </w:pPr>
            <w:r>
              <w:rPr>
                <w:sz w:val="20"/>
                <w:szCs w:val="20"/>
              </w:rPr>
              <w:t>635 (66.63%)</w:t>
            </w:r>
          </w:p>
        </w:tc>
        <w:tc>
          <w:tcPr>
            <w:tcW w:w="1872" w:type="dxa"/>
            <w:vAlign w:val="center"/>
          </w:tcPr>
          <w:p>
            <w:pPr>
              <w:pStyle w:val="TableText"/>
              <w:spacing w:before="0" w:after="0" w:line="240" w:lineRule="auto"/>
            </w:pPr>
            <w:r>
              <w:rPr>
                <w:sz w:val="20"/>
                <w:szCs w:val="20"/>
              </w:rPr>
              <w:t>641 (62.11%)</w:t>
            </w:r>
          </w:p>
        </w:tc>
        <w:tc>
          <w:tcPr>
            <w:tcW w:w="1872" w:type="dxa"/>
            <w:vAlign w:val="center"/>
          </w:tcPr>
          <w:p>
            <w:pPr>
              <w:pStyle w:val="TableText"/>
              <w:spacing w:before="0" w:after="0" w:line="240" w:lineRule="auto"/>
            </w:pPr>
            <w:r>
              <w:rPr>
                <w:sz w:val="20"/>
                <w:szCs w:val="20"/>
              </w:rPr>
              <w:t>5,037 (16.48%)</w:t>
            </w:r>
          </w:p>
        </w:tc>
        <w:tc>
          <w:tcPr>
            <w:tcW w:w="1872" w:type="dxa"/>
            <w:vAlign w:val="center"/>
          </w:tcPr>
          <w:p>
            <w:pPr>
              <w:pStyle w:val="TableText"/>
              <w:spacing w:before="0" w:after="0" w:line="240" w:lineRule="auto"/>
            </w:pPr>
            <w:r>
              <w:rPr>
                <w:sz w:val="20"/>
                <w:szCs w:val="20"/>
              </w:rPr>
              <w:t>4,986 (15.22%)</w:t>
            </w:r>
          </w:p>
        </w:tc>
      </w:tr>
    </w:tbl>
    <w:p>
      <w:pPr>
        <w:spacing w:after="40"/>
      </w:pPr>
    </w:p>
    <w:p>
      <w:pPr>
        <w:pStyle w:val="Heading3"/>
        <w:keepNext/>
      </w:pPr>
      <w:r>
        <w:t>串行模型优选</w:t>
      </w:r>
    </w:p>
    <w:p>
      <w:pPr>
        <w:pStyle w:val="BodyText"/>
      </w:pPr>
      <w:r>
        <w:t>NTxPred2评价3,299/3,518条牙周炎标记BBB高分候选（93.77%）；219/3,518条（6.23%）超出规定长度范围。在已评估候选中，923/3,299条（27.98%）为模型阳性。后续汇总筛选依次保留111条mebipred阳性、15条CHEL≥0.25、12条CHEL≥0.25且FRS&lt;0.50，以及8条CHEL≥0.25且FRS&lt;0.45候选（表3）。收紧FRS阈值后保留主集合的8/12（66.67%）。由于缺少候选层面交接数据，111/923不解释为已验证转换率。</w:t>
      </w:r>
    </w:p>
    <w:p>
      <w:pPr>
        <w:pStyle w:val="BodyText"/>
      </w:pPr>
      <w:r>
        <w:t>主源报告923条NTxPred2阳性候选全部≤30 aa。因此，宏蛋白质组支持并去重后的72条牙周炎标记31–50 aa BBB高分长肽均未保留在进入后续mebipred和AnOxPePred金属结合/CHEL/FRS筛选的神经毒性阳性集合中，汇总的12条终点因而只包含短肽。由于缺少逐行输出，无法重建每条长肽被排除的具体原因。</w:t>
      </w:r>
    </w:p>
    <w:p>
      <w:pPr>
        <w:pStyle w:val="Caption"/>
      </w:pPr>
      <w:r>
        <w:rPr>
          <w:b/>
        </w:rPr>
        <w:t>表3. 汇总计算优选结果。</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2340"/>
        <w:gridCol w:w="2340"/>
        <w:gridCol w:w="2340"/>
        <w:gridCol w:w="2340"/>
      </w:tblGrid>
      <w:tr>
        <w:trPr>
          <w:tblHeader/>
        </w:trPr>
        <w:tc>
          <w:tcPr>
            <w:tcW w:w="2340" w:type="dxa"/>
            <w:tcBorders>
              <w:bottom w:val="single" w:sz="8" w:space="0" w:color="000000"/>
            </w:tcBorders>
            <w:vAlign w:val="center"/>
          </w:tcPr>
          <w:p>
            <w:pPr>
              <w:pStyle w:val="TableText"/>
              <w:spacing w:before="0" w:after="0" w:line="240" w:lineRule="auto"/>
            </w:pPr>
            <w:r>
              <w:rPr>
                <w:sz w:val="20"/>
                <w:szCs w:val="20"/>
              </w:rPr>
              <w:t>阶段</w:t>
            </w:r>
          </w:p>
        </w:tc>
        <w:tc>
          <w:tcPr>
            <w:tcW w:w="2340" w:type="dxa"/>
            <w:tcBorders>
              <w:bottom w:val="single" w:sz="8" w:space="0" w:color="000000"/>
            </w:tcBorders>
            <w:vAlign w:val="center"/>
          </w:tcPr>
          <w:p>
            <w:pPr>
              <w:pStyle w:val="TableText"/>
              <w:spacing w:before="0" w:after="0" w:line="240" w:lineRule="auto"/>
            </w:pPr>
            <w:r>
              <w:rPr>
                <w:sz w:val="20"/>
                <w:szCs w:val="20"/>
              </w:rPr>
              <w:t>操作规则</w:t>
            </w:r>
          </w:p>
        </w:tc>
        <w:tc>
          <w:tcPr>
            <w:tcW w:w="2340" w:type="dxa"/>
            <w:tcBorders>
              <w:bottom w:val="single" w:sz="8" w:space="0" w:color="000000"/>
            </w:tcBorders>
            <w:vAlign w:val="center"/>
          </w:tcPr>
          <w:p>
            <w:pPr>
              <w:pStyle w:val="TableText"/>
              <w:spacing w:before="0" w:after="0" w:line="240" w:lineRule="auto"/>
            </w:pPr>
            <w:r>
              <w:rPr>
                <w:sz w:val="20"/>
                <w:szCs w:val="20"/>
              </w:rPr>
              <w:t>n</w:t>
            </w:r>
          </w:p>
        </w:tc>
        <w:tc>
          <w:tcPr>
            <w:tcW w:w="2340" w:type="dxa"/>
            <w:tcBorders>
              <w:bottom w:val="single" w:sz="8" w:space="0" w:color="000000"/>
            </w:tcBorders>
            <w:vAlign w:val="center"/>
          </w:tcPr>
          <w:p>
            <w:pPr>
              <w:pStyle w:val="TableText"/>
              <w:spacing w:before="0" w:after="0" w:line="240" w:lineRule="auto"/>
            </w:pPr>
            <w:r>
              <w:rPr>
                <w:sz w:val="20"/>
                <w:szCs w:val="20"/>
              </w:rPr>
              <w:t>分母或限制</w:t>
            </w:r>
          </w:p>
        </w:tc>
      </w:tr>
      <w:tr>
        <w:tc>
          <w:tcPr>
            <w:tcW w:w="2340" w:type="dxa"/>
            <w:vAlign w:val="center"/>
          </w:tcPr>
          <w:p>
            <w:pPr>
              <w:pStyle w:val="TableText"/>
              <w:spacing w:before="0" w:after="0" w:line="240" w:lineRule="auto"/>
            </w:pPr>
            <w:r>
              <w:rPr>
                <w:sz w:val="20"/>
                <w:szCs w:val="20"/>
              </w:rPr>
              <w:t>健康标记smORF</w:t>
            </w:r>
          </w:p>
        </w:tc>
        <w:tc>
          <w:tcPr>
            <w:tcW w:w="2340" w:type="dxa"/>
            <w:vAlign w:val="center"/>
          </w:tcPr>
          <w:p>
            <w:pPr>
              <w:pStyle w:val="TableText"/>
              <w:spacing w:before="0" w:after="0" w:line="240" w:lineRule="auto"/>
            </w:pPr>
            <w:r>
              <w:rPr>
                <w:sz w:val="20"/>
                <w:szCs w:val="20"/>
              </w:rPr>
              <w:t>4–50 aa</w:t>
            </w:r>
          </w:p>
        </w:tc>
        <w:tc>
          <w:tcPr>
            <w:tcW w:w="2340" w:type="dxa"/>
            <w:vAlign w:val="center"/>
          </w:tcPr>
          <w:p>
            <w:pPr>
              <w:pStyle w:val="TableText"/>
              <w:spacing w:before="0" w:after="0" w:line="240" w:lineRule="auto"/>
            </w:pPr>
            <w:r>
              <w:rPr>
                <w:sz w:val="20"/>
                <w:szCs w:val="20"/>
              </w:rPr>
              <w:t>11,269,961</w:t>
            </w:r>
          </w:p>
        </w:tc>
        <w:tc>
          <w:tcPr>
            <w:tcW w:w="2340" w:type="dxa"/>
            <w:vAlign w:val="center"/>
          </w:tcPr>
          <w:p>
            <w:pPr>
              <w:pStyle w:val="TableText"/>
              <w:spacing w:before="0" w:after="0" w:line="240" w:lineRule="auto"/>
            </w:pPr>
            <w:r>
              <w:rPr>
                <w:sz w:val="20"/>
                <w:szCs w:val="20"/>
              </w:rPr>
              <w:t>起始库</w:t>
            </w:r>
          </w:p>
        </w:tc>
      </w:tr>
      <w:tr>
        <w:tc>
          <w:tcPr>
            <w:tcW w:w="2340" w:type="dxa"/>
            <w:vAlign w:val="center"/>
          </w:tcPr>
          <w:p>
            <w:pPr>
              <w:pStyle w:val="TableText"/>
              <w:spacing w:before="0" w:after="0" w:line="240" w:lineRule="auto"/>
            </w:pPr>
            <w:r>
              <w:rPr>
                <w:sz w:val="20"/>
                <w:szCs w:val="20"/>
              </w:rPr>
              <w:t>牙周炎标记smORF</w:t>
            </w:r>
          </w:p>
        </w:tc>
        <w:tc>
          <w:tcPr>
            <w:tcW w:w="2340" w:type="dxa"/>
            <w:vAlign w:val="center"/>
          </w:tcPr>
          <w:p>
            <w:pPr>
              <w:pStyle w:val="TableText"/>
              <w:spacing w:before="0" w:after="0" w:line="240" w:lineRule="auto"/>
            </w:pPr>
            <w:r>
              <w:rPr>
                <w:sz w:val="20"/>
                <w:szCs w:val="20"/>
              </w:rPr>
              <w:t>4–50 aa</w:t>
            </w:r>
          </w:p>
        </w:tc>
        <w:tc>
          <w:tcPr>
            <w:tcW w:w="2340" w:type="dxa"/>
            <w:vAlign w:val="center"/>
          </w:tcPr>
          <w:p>
            <w:pPr>
              <w:pStyle w:val="TableText"/>
              <w:spacing w:before="0" w:after="0" w:line="240" w:lineRule="auto"/>
            </w:pPr>
            <w:r>
              <w:rPr>
                <w:sz w:val="20"/>
                <w:szCs w:val="20"/>
              </w:rPr>
              <w:t>11,721,988</w:t>
            </w:r>
          </w:p>
        </w:tc>
        <w:tc>
          <w:tcPr>
            <w:tcW w:w="2340" w:type="dxa"/>
            <w:vAlign w:val="center"/>
          </w:tcPr>
          <w:p>
            <w:pPr>
              <w:pStyle w:val="TableText"/>
              <w:spacing w:before="0" w:after="0" w:line="240" w:lineRule="auto"/>
            </w:pPr>
            <w:r>
              <w:rPr>
                <w:sz w:val="20"/>
                <w:szCs w:val="20"/>
              </w:rPr>
              <w:t>起始库</w:t>
            </w:r>
          </w:p>
        </w:tc>
      </w:tr>
      <w:tr>
        <w:tc>
          <w:tcPr>
            <w:tcW w:w="2340" w:type="dxa"/>
            <w:vAlign w:val="center"/>
          </w:tcPr>
          <w:p>
            <w:pPr>
              <w:pStyle w:val="TableText"/>
              <w:spacing w:before="0" w:after="0" w:line="240" w:lineRule="auto"/>
            </w:pPr>
            <w:r>
              <w:rPr>
                <w:sz w:val="20"/>
                <w:szCs w:val="20"/>
              </w:rPr>
              <w:t>证据过滤后健康标记候选</w:t>
            </w:r>
          </w:p>
        </w:tc>
        <w:tc>
          <w:tcPr>
            <w:tcW w:w="2340" w:type="dxa"/>
            <w:vAlign w:val="center"/>
          </w:tcPr>
          <w:p>
            <w:pPr>
              <w:pStyle w:val="TableText"/>
              <w:spacing w:before="0" w:after="0" w:line="240" w:lineRule="auto"/>
            </w:pPr>
            <w:r>
              <w:rPr>
                <w:sz w:val="20"/>
                <w:szCs w:val="20"/>
              </w:rPr>
              <w:t>精确匹配与去冗余</w:t>
            </w:r>
          </w:p>
        </w:tc>
        <w:tc>
          <w:tcPr>
            <w:tcW w:w="2340" w:type="dxa"/>
            <w:vAlign w:val="center"/>
          </w:tcPr>
          <w:p>
            <w:pPr>
              <w:pStyle w:val="TableText"/>
              <w:spacing w:before="0" w:after="0" w:line="240" w:lineRule="auto"/>
            </w:pPr>
            <w:r>
              <w:rPr>
                <w:sz w:val="20"/>
                <w:szCs w:val="20"/>
              </w:rPr>
              <w:t>31,510</w:t>
            </w:r>
          </w:p>
        </w:tc>
        <w:tc>
          <w:tcPr>
            <w:tcW w:w="2340" w:type="dxa"/>
            <w:vAlign w:val="center"/>
          </w:tcPr>
          <w:p>
            <w:pPr>
              <w:pStyle w:val="TableText"/>
              <w:spacing w:before="0" w:after="0" w:line="240" w:lineRule="auto"/>
            </w:pPr>
            <w:r>
              <w:rPr>
                <w:sz w:val="20"/>
                <w:szCs w:val="20"/>
              </w:rPr>
              <w:t>11,269,961</w:t>
            </w:r>
          </w:p>
        </w:tc>
      </w:tr>
      <w:tr>
        <w:tc>
          <w:tcPr>
            <w:tcW w:w="2340" w:type="dxa"/>
            <w:vAlign w:val="center"/>
          </w:tcPr>
          <w:p>
            <w:pPr>
              <w:pStyle w:val="TableText"/>
              <w:spacing w:before="0" w:after="0" w:line="240" w:lineRule="auto"/>
            </w:pPr>
            <w:r>
              <w:rPr>
                <w:sz w:val="20"/>
                <w:szCs w:val="20"/>
              </w:rPr>
              <w:t>证据过滤后牙周炎标记候选</w:t>
            </w:r>
          </w:p>
        </w:tc>
        <w:tc>
          <w:tcPr>
            <w:tcW w:w="2340" w:type="dxa"/>
            <w:vAlign w:val="center"/>
          </w:tcPr>
          <w:p>
            <w:pPr>
              <w:pStyle w:val="TableText"/>
              <w:spacing w:before="0" w:after="0" w:line="240" w:lineRule="auto"/>
            </w:pPr>
            <w:r>
              <w:rPr>
                <w:sz w:val="20"/>
                <w:szCs w:val="20"/>
              </w:rPr>
              <w:t>精确匹配与去冗余</w:t>
            </w:r>
          </w:p>
        </w:tc>
        <w:tc>
          <w:tcPr>
            <w:tcW w:w="2340" w:type="dxa"/>
            <w:vAlign w:val="center"/>
          </w:tcPr>
          <w:p>
            <w:pPr>
              <w:pStyle w:val="TableText"/>
              <w:spacing w:before="0" w:after="0" w:line="240" w:lineRule="auto"/>
            </w:pPr>
            <w:r>
              <w:rPr>
                <w:sz w:val="20"/>
                <w:szCs w:val="20"/>
              </w:rPr>
              <w:t>33,786</w:t>
            </w:r>
          </w:p>
        </w:tc>
        <w:tc>
          <w:tcPr>
            <w:tcW w:w="2340" w:type="dxa"/>
            <w:vAlign w:val="center"/>
          </w:tcPr>
          <w:p>
            <w:pPr>
              <w:pStyle w:val="TableText"/>
              <w:spacing w:before="0" w:after="0" w:line="240" w:lineRule="auto"/>
            </w:pPr>
            <w:r>
              <w:rPr>
                <w:sz w:val="20"/>
                <w:szCs w:val="20"/>
              </w:rPr>
              <w:t>11,721,988</w:t>
            </w:r>
          </w:p>
        </w:tc>
      </w:tr>
      <w:tr>
        <w:tc>
          <w:tcPr>
            <w:tcW w:w="2340" w:type="dxa"/>
            <w:vAlign w:val="center"/>
          </w:tcPr>
          <w:p>
            <w:pPr>
              <w:pStyle w:val="TableText"/>
              <w:spacing w:before="0" w:after="0" w:line="240" w:lineRule="auto"/>
            </w:pPr>
            <w:r>
              <w:rPr>
                <w:sz w:val="20"/>
                <w:szCs w:val="20"/>
              </w:rPr>
              <w:t>短肽BBB高分</w:t>
            </w:r>
          </w:p>
        </w:tc>
        <w:tc>
          <w:tcPr>
            <w:tcW w:w="2340" w:type="dxa"/>
            <w:vAlign w:val="center"/>
          </w:tcPr>
          <w:p>
            <w:pPr>
              <w:pStyle w:val="TableText"/>
              <w:spacing w:before="0" w:after="0" w:line="240" w:lineRule="auto"/>
            </w:pPr>
            <w:r>
              <w:rPr>
                <w:sz w:val="20"/>
                <w:szCs w:val="20"/>
              </w:rPr>
              <w:t>UniDL4BioPep输出≥0.80；5–30 aa</w:t>
            </w:r>
          </w:p>
        </w:tc>
        <w:tc>
          <w:tcPr>
            <w:tcW w:w="2340" w:type="dxa"/>
            <w:vAlign w:val="center"/>
          </w:tcPr>
          <w:p>
            <w:pPr>
              <w:pStyle w:val="TableText"/>
              <w:spacing w:before="0" w:after="0" w:line="240" w:lineRule="auto"/>
            </w:pPr>
            <w:r>
              <w:rPr>
                <w:sz w:val="20"/>
                <w:szCs w:val="20"/>
              </w:rPr>
              <w:t>3,446</w:t>
            </w:r>
          </w:p>
        </w:tc>
        <w:tc>
          <w:tcPr>
            <w:tcW w:w="2340" w:type="dxa"/>
            <w:vAlign w:val="center"/>
          </w:tcPr>
          <w:p>
            <w:pPr>
              <w:pStyle w:val="TableText"/>
              <w:spacing w:before="0" w:after="0" w:line="240" w:lineRule="auto"/>
            </w:pPr>
            <w:r>
              <w:rPr>
                <w:sz w:val="20"/>
                <w:szCs w:val="20"/>
              </w:rPr>
              <w:t>32,754</w:t>
            </w:r>
          </w:p>
        </w:tc>
      </w:tr>
      <w:tr>
        <w:tc>
          <w:tcPr>
            <w:tcW w:w="2340" w:type="dxa"/>
            <w:vAlign w:val="center"/>
          </w:tcPr>
          <w:p>
            <w:pPr>
              <w:pStyle w:val="TableText"/>
              <w:spacing w:before="0" w:after="0" w:line="240" w:lineRule="auto"/>
            </w:pPr>
            <w:r>
              <w:rPr>
                <w:sz w:val="20"/>
                <w:szCs w:val="20"/>
              </w:rPr>
              <w:t>长肽BBB高分</w:t>
            </w:r>
          </w:p>
        </w:tc>
        <w:tc>
          <w:tcPr>
            <w:tcW w:w="2340" w:type="dxa"/>
            <w:vAlign w:val="center"/>
          </w:tcPr>
          <w:p>
            <w:pPr>
              <w:pStyle w:val="TableText"/>
              <w:spacing w:before="0" w:after="0" w:line="240" w:lineRule="auto"/>
            </w:pPr>
            <w:r>
              <w:rPr>
                <w:sz w:val="20"/>
                <w:szCs w:val="20"/>
              </w:rPr>
              <w:t>UniDL4BioPep输出≥0.80；31–50 aa</w:t>
            </w:r>
          </w:p>
        </w:tc>
        <w:tc>
          <w:tcPr>
            <w:tcW w:w="2340" w:type="dxa"/>
            <w:vAlign w:val="center"/>
          </w:tcPr>
          <w:p>
            <w:pPr>
              <w:pStyle w:val="TableText"/>
              <w:spacing w:before="0" w:after="0" w:line="240" w:lineRule="auto"/>
            </w:pPr>
            <w:r>
              <w:rPr>
                <w:sz w:val="20"/>
                <w:szCs w:val="20"/>
              </w:rPr>
              <w:t>72</w:t>
            </w:r>
          </w:p>
        </w:tc>
        <w:tc>
          <w:tcPr>
            <w:tcW w:w="2340" w:type="dxa"/>
            <w:vAlign w:val="center"/>
          </w:tcPr>
          <w:p>
            <w:pPr>
              <w:pStyle w:val="TableText"/>
              <w:spacing w:before="0" w:after="0" w:line="240" w:lineRule="auto"/>
            </w:pPr>
            <w:r>
              <w:rPr>
                <w:sz w:val="20"/>
                <w:szCs w:val="20"/>
              </w:rPr>
              <w:t>1,032</w:t>
            </w:r>
          </w:p>
        </w:tc>
      </w:tr>
      <w:tr>
        <w:tc>
          <w:tcPr>
            <w:tcW w:w="2340" w:type="dxa"/>
            <w:vAlign w:val="center"/>
          </w:tcPr>
          <w:p>
            <w:pPr>
              <w:pStyle w:val="TableText"/>
              <w:spacing w:before="0" w:after="0" w:line="240" w:lineRule="auto"/>
            </w:pPr>
            <w:r>
              <w:rPr>
                <w:sz w:val="20"/>
                <w:szCs w:val="20"/>
              </w:rPr>
              <w:t>BBB高分总计</w:t>
            </w:r>
          </w:p>
        </w:tc>
        <w:tc>
          <w:tcPr>
            <w:tcW w:w="2340" w:type="dxa"/>
            <w:vAlign w:val="center"/>
          </w:tcPr>
          <w:p>
            <w:pPr>
              <w:pStyle w:val="TableText"/>
              <w:spacing w:before="0" w:after="0" w:line="240" w:lineRule="auto"/>
            </w:pPr>
            <w:r>
              <w:rPr>
                <w:sz w:val="20"/>
                <w:szCs w:val="20"/>
              </w:rPr>
              <w:t>短肽+长肽</w:t>
            </w:r>
          </w:p>
        </w:tc>
        <w:tc>
          <w:tcPr>
            <w:tcW w:w="2340" w:type="dxa"/>
            <w:vAlign w:val="center"/>
          </w:tcPr>
          <w:p>
            <w:pPr>
              <w:pStyle w:val="TableText"/>
              <w:spacing w:before="0" w:after="0" w:line="240" w:lineRule="auto"/>
            </w:pPr>
            <w:r>
              <w:rPr>
                <w:sz w:val="20"/>
                <w:szCs w:val="20"/>
              </w:rPr>
              <w:t>3,518</w:t>
            </w:r>
          </w:p>
        </w:tc>
        <w:tc>
          <w:tcPr>
            <w:tcW w:w="2340" w:type="dxa"/>
            <w:vAlign w:val="center"/>
          </w:tcPr>
          <w:p>
            <w:pPr>
              <w:pStyle w:val="TableText"/>
              <w:spacing w:before="0" w:after="0" w:line="240" w:lineRule="auto"/>
            </w:pPr>
            <w:r>
              <w:rPr>
                <w:sz w:val="20"/>
                <w:szCs w:val="20"/>
              </w:rPr>
              <w:t>算术和</w:t>
            </w:r>
          </w:p>
        </w:tc>
      </w:tr>
      <w:tr>
        <w:tc>
          <w:tcPr>
            <w:tcW w:w="2340" w:type="dxa"/>
            <w:vAlign w:val="center"/>
          </w:tcPr>
          <w:p>
            <w:pPr>
              <w:pStyle w:val="TableText"/>
              <w:spacing w:before="0" w:after="0" w:line="240" w:lineRule="auto"/>
            </w:pPr>
            <w:r>
              <w:rPr>
                <w:sz w:val="20"/>
                <w:szCs w:val="20"/>
              </w:rPr>
              <w:t>NTxPred2已评估</w:t>
            </w:r>
          </w:p>
        </w:tc>
        <w:tc>
          <w:tcPr>
            <w:tcW w:w="2340" w:type="dxa"/>
            <w:vAlign w:val="center"/>
          </w:tcPr>
          <w:p>
            <w:pPr>
              <w:pStyle w:val="TableText"/>
              <w:spacing w:before="0" w:after="0" w:line="240" w:lineRule="auto"/>
            </w:pPr>
            <w:r>
              <w:rPr>
                <w:sz w:val="20"/>
                <w:szCs w:val="20"/>
              </w:rPr>
              <w:t>7–50 aa</w:t>
            </w:r>
          </w:p>
        </w:tc>
        <w:tc>
          <w:tcPr>
            <w:tcW w:w="2340" w:type="dxa"/>
            <w:vAlign w:val="center"/>
          </w:tcPr>
          <w:p>
            <w:pPr>
              <w:pStyle w:val="TableText"/>
              <w:spacing w:before="0" w:after="0" w:line="240" w:lineRule="auto"/>
            </w:pPr>
            <w:r>
              <w:rPr>
                <w:sz w:val="20"/>
                <w:szCs w:val="20"/>
              </w:rPr>
              <w:t>3,299</w:t>
            </w:r>
          </w:p>
        </w:tc>
        <w:tc>
          <w:tcPr>
            <w:tcW w:w="2340" w:type="dxa"/>
            <w:vAlign w:val="center"/>
          </w:tcPr>
          <w:p>
            <w:pPr>
              <w:pStyle w:val="TableText"/>
              <w:spacing w:before="0" w:after="0" w:line="240" w:lineRule="auto"/>
            </w:pPr>
            <w:r>
              <w:rPr>
                <w:sz w:val="20"/>
                <w:szCs w:val="20"/>
              </w:rPr>
              <w:t>3,518</w:t>
            </w:r>
          </w:p>
        </w:tc>
      </w:tr>
      <w:tr>
        <w:tc>
          <w:tcPr>
            <w:tcW w:w="2340" w:type="dxa"/>
            <w:vAlign w:val="center"/>
          </w:tcPr>
          <w:p>
            <w:pPr>
              <w:pStyle w:val="TableText"/>
              <w:spacing w:before="0" w:after="0" w:line="240" w:lineRule="auto"/>
            </w:pPr>
            <w:r>
              <w:rPr>
                <w:sz w:val="20"/>
                <w:szCs w:val="20"/>
              </w:rPr>
              <w:t>NTxPred2阳性</w:t>
            </w:r>
          </w:p>
        </w:tc>
        <w:tc>
          <w:tcPr>
            <w:tcW w:w="2340" w:type="dxa"/>
            <w:vAlign w:val="center"/>
          </w:tcPr>
          <w:p>
            <w:pPr>
              <w:pStyle w:val="TableText"/>
              <w:spacing w:before="0" w:after="0" w:line="240" w:lineRule="auto"/>
            </w:pPr>
            <w:r>
              <w:rPr>
                <w:sz w:val="20"/>
                <w:szCs w:val="20"/>
              </w:rPr>
              <w:t>模型阳性标签</w:t>
            </w:r>
          </w:p>
        </w:tc>
        <w:tc>
          <w:tcPr>
            <w:tcW w:w="2340" w:type="dxa"/>
            <w:vAlign w:val="center"/>
          </w:tcPr>
          <w:p>
            <w:pPr>
              <w:pStyle w:val="TableText"/>
              <w:spacing w:before="0" w:after="0" w:line="240" w:lineRule="auto"/>
            </w:pPr>
            <w:r>
              <w:rPr>
                <w:sz w:val="20"/>
                <w:szCs w:val="20"/>
              </w:rPr>
              <w:t>923</w:t>
            </w:r>
          </w:p>
        </w:tc>
        <w:tc>
          <w:tcPr>
            <w:tcW w:w="2340" w:type="dxa"/>
            <w:vAlign w:val="center"/>
          </w:tcPr>
          <w:p>
            <w:pPr>
              <w:pStyle w:val="TableText"/>
              <w:spacing w:before="0" w:after="0" w:line="240" w:lineRule="auto"/>
            </w:pPr>
            <w:r>
              <w:rPr>
                <w:sz w:val="20"/>
                <w:szCs w:val="20"/>
              </w:rPr>
              <w:t>3,299</w:t>
            </w:r>
          </w:p>
        </w:tc>
      </w:tr>
      <w:tr>
        <w:tc>
          <w:tcPr>
            <w:tcW w:w="2340" w:type="dxa"/>
            <w:vAlign w:val="center"/>
          </w:tcPr>
          <w:p>
            <w:pPr>
              <w:pStyle w:val="TableText"/>
              <w:spacing w:before="0" w:after="0" w:line="240" w:lineRule="auto"/>
            </w:pPr>
            <w:r>
              <w:rPr>
                <w:sz w:val="20"/>
                <w:szCs w:val="20"/>
              </w:rPr>
              <w:t>金属结合阳性</w:t>
            </w:r>
          </w:p>
        </w:tc>
        <w:tc>
          <w:tcPr>
            <w:tcW w:w="2340" w:type="dxa"/>
            <w:vAlign w:val="center"/>
          </w:tcPr>
          <w:p>
            <w:pPr>
              <w:pStyle w:val="TableText"/>
              <w:spacing w:before="0" w:after="0" w:line="240" w:lineRule="auto"/>
            </w:pPr>
            <w:r>
              <w:rPr>
                <w:sz w:val="20"/>
                <w:szCs w:val="20"/>
              </w:rPr>
              <w:t>Mebipred输出≥0.50</w:t>
            </w:r>
          </w:p>
        </w:tc>
        <w:tc>
          <w:tcPr>
            <w:tcW w:w="2340" w:type="dxa"/>
            <w:vAlign w:val="center"/>
          </w:tcPr>
          <w:p>
            <w:pPr>
              <w:pStyle w:val="TableText"/>
              <w:spacing w:before="0" w:after="0" w:line="240" w:lineRule="auto"/>
            </w:pPr>
            <w:r>
              <w:rPr>
                <w:sz w:val="20"/>
                <w:szCs w:val="20"/>
              </w:rPr>
              <w:t>111</w:t>
            </w:r>
          </w:p>
        </w:tc>
        <w:tc>
          <w:tcPr>
            <w:tcW w:w="2340" w:type="dxa"/>
            <w:vAlign w:val="center"/>
          </w:tcPr>
          <w:p>
            <w:pPr>
              <w:pStyle w:val="TableText"/>
              <w:spacing w:before="0" w:after="0" w:line="240" w:lineRule="auto"/>
            </w:pPr>
            <w:r>
              <w:rPr>
                <w:sz w:val="20"/>
                <w:szCs w:val="20"/>
              </w:rPr>
              <w:t>逐行交接不可获得</w:t>
            </w:r>
          </w:p>
        </w:tc>
      </w:tr>
      <w:tr>
        <w:tc>
          <w:tcPr>
            <w:tcW w:w="2340" w:type="dxa"/>
            <w:vAlign w:val="center"/>
          </w:tcPr>
          <w:p>
            <w:pPr>
              <w:pStyle w:val="TableText"/>
              <w:spacing w:before="0" w:after="0" w:line="240" w:lineRule="auto"/>
            </w:pPr>
            <w:r>
              <w:rPr>
                <w:sz w:val="20"/>
                <w:szCs w:val="20"/>
              </w:rPr>
              <w:t>CHEL优先</w:t>
            </w:r>
          </w:p>
        </w:tc>
        <w:tc>
          <w:tcPr>
            <w:tcW w:w="2340" w:type="dxa"/>
            <w:vAlign w:val="center"/>
          </w:tcPr>
          <w:p>
            <w:pPr>
              <w:pStyle w:val="TableText"/>
              <w:spacing w:before="0" w:after="0" w:line="240" w:lineRule="auto"/>
            </w:pPr>
            <w:r>
              <w:rPr>
                <w:sz w:val="20"/>
                <w:szCs w:val="20"/>
              </w:rPr>
              <w:t>CHEL≥0.25</w:t>
            </w:r>
          </w:p>
        </w:tc>
        <w:tc>
          <w:tcPr>
            <w:tcW w:w="2340" w:type="dxa"/>
            <w:vAlign w:val="center"/>
          </w:tcPr>
          <w:p>
            <w:pPr>
              <w:pStyle w:val="TableText"/>
              <w:spacing w:before="0" w:after="0" w:line="240" w:lineRule="auto"/>
            </w:pPr>
            <w:r>
              <w:rPr>
                <w:sz w:val="20"/>
                <w:szCs w:val="20"/>
              </w:rPr>
              <w:t>15</w:t>
            </w:r>
          </w:p>
        </w:tc>
        <w:tc>
          <w:tcPr>
            <w:tcW w:w="2340" w:type="dxa"/>
            <w:vAlign w:val="center"/>
          </w:tcPr>
          <w:p>
            <w:pPr>
              <w:pStyle w:val="TableText"/>
              <w:spacing w:before="0" w:after="0" w:line="240" w:lineRule="auto"/>
            </w:pPr>
            <w:r>
              <w:rPr>
                <w:sz w:val="20"/>
                <w:szCs w:val="20"/>
              </w:rPr>
              <w:t>111</w:t>
            </w:r>
          </w:p>
        </w:tc>
      </w:tr>
      <w:tr>
        <w:tc>
          <w:tcPr>
            <w:tcW w:w="2340" w:type="dxa"/>
            <w:vAlign w:val="center"/>
          </w:tcPr>
          <w:p>
            <w:pPr>
              <w:pStyle w:val="TableText"/>
              <w:spacing w:before="0" w:after="0" w:line="240" w:lineRule="auto"/>
            </w:pPr>
            <w:r>
              <w:rPr>
                <w:sz w:val="20"/>
                <w:szCs w:val="20"/>
              </w:rPr>
              <w:t>主集合</w:t>
            </w:r>
          </w:p>
        </w:tc>
        <w:tc>
          <w:tcPr>
            <w:tcW w:w="2340" w:type="dxa"/>
            <w:vAlign w:val="center"/>
          </w:tcPr>
          <w:p>
            <w:pPr>
              <w:pStyle w:val="TableText"/>
              <w:spacing w:before="0" w:after="0" w:line="240" w:lineRule="auto"/>
            </w:pPr>
            <w:r>
              <w:rPr>
                <w:sz w:val="20"/>
                <w:szCs w:val="20"/>
              </w:rPr>
              <w:t>CHEL≥0.25且FRS&lt;0.50</w:t>
            </w:r>
          </w:p>
        </w:tc>
        <w:tc>
          <w:tcPr>
            <w:tcW w:w="2340" w:type="dxa"/>
            <w:vAlign w:val="center"/>
          </w:tcPr>
          <w:p>
            <w:pPr>
              <w:pStyle w:val="TableText"/>
              <w:spacing w:before="0" w:after="0" w:line="240" w:lineRule="auto"/>
            </w:pPr>
            <w:r>
              <w:rPr>
                <w:sz w:val="20"/>
                <w:szCs w:val="20"/>
              </w:rPr>
              <w:t>12</w:t>
            </w:r>
          </w:p>
        </w:tc>
        <w:tc>
          <w:tcPr>
            <w:tcW w:w="2340" w:type="dxa"/>
            <w:vAlign w:val="center"/>
          </w:tcPr>
          <w:p>
            <w:pPr>
              <w:pStyle w:val="TableText"/>
              <w:spacing w:before="0" w:after="0" w:line="240" w:lineRule="auto"/>
            </w:pPr>
            <w:r>
              <w:rPr>
                <w:sz w:val="20"/>
                <w:szCs w:val="20"/>
              </w:rPr>
              <w:t>111</w:t>
            </w:r>
          </w:p>
        </w:tc>
      </w:tr>
      <w:tr>
        <w:tc>
          <w:tcPr>
            <w:tcW w:w="2340" w:type="dxa"/>
            <w:vAlign w:val="center"/>
          </w:tcPr>
          <w:p>
            <w:pPr>
              <w:pStyle w:val="TableText"/>
              <w:spacing w:before="0" w:after="0" w:line="240" w:lineRule="auto"/>
            </w:pPr>
            <w:r>
              <w:rPr>
                <w:sz w:val="20"/>
                <w:szCs w:val="20"/>
              </w:rPr>
              <w:t>严格子集</w:t>
            </w:r>
          </w:p>
        </w:tc>
        <w:tc>
          <w:tcPr>
            <w:tcW w:w="2340" w:type="dxa"/>
            <w:vAlign w:val="center"/>
          </w:tcPr>
          <w:p>
            <w:pPr>
              <w:pStyle w:val="TableText"/>
              <w:spacing w:before="0" w:after="0" w:line="240" w:lineRule="auto"/>
            </w:pPr>
            <w:r>
              <w:rPr>
                <w:sz w:val="20"/>
                <w:szCs w:val="20"/>
              </w:rPr>
              <w:t>CHEL≥0.25且FRS&lt;0.45</w:t>
            </w:r>
          </w:p>
        </w:tc>
        <w:tc>
          <w:tcPr>
            <w:tcW w:w="2340" w:type="dxa"/>
            <w:vAlign w:val="center"/>
          </w:tcPr>
          <w:p>
            <w:pPr>
              <w:pStyle w:val="TableText"/>
              <w:spacing w:before="0" w:after="0" w:line="240" w:lineRule="auto"/>
            </w:pPr>
            <w:r>
              <w:rPr>
                <w:sz w:val="20"/>
                <w:szCs w:val="20"/>
              </w:rPr>
              <w:t>8</w:t>
            </w:r>
          </w:p>
        </w:tc>
        <w:tc>
          <w:tcPr>
            <w:tcW w:w="2340" w:type="dxa"/>
            <w:vAlign w:val="center"/>
          </w:tcPr>
          <w:p>
            <w:pPr>
              <w:pStyle w:val="TableText"/>
              <w:spacing w:before="0" w:after="0" w:line="240" w:lineRule="auto"/>
            </w:pPr>
            <w:r>
              <w:rPr>
                <w:sz w:val="20"/>
                <w:szCs w:val="20"/>
              </w:rPr>
              <w:t>序列成员未知</w:t>
            </w:r>
          </w:p>
        </w:tc>
      </w:tr>
    </w:tbl>
    <w:p>
      <w:pPr>
        <w:spacing w:after="40"/>
      </w:pPr>
    </w:p>
    <w:p>
      <w:pPr>
        <w:pStyle w:val="Heading3"/>
        <w:keepNext/>
      </w:pPr>
      <w:r>
        <w:t>12条序列的组成与对接评分排序</w:t>
      </w:r>
    </w:p>
    <w:p>
      <w:pPr>
        <w:pStyle w:val="BodyText"/>
      </w:pPr>
      <w:r>
        <w:t>另一张表包含12条互不重复、仅由标准氨基酸组成的肽，长度为7–9个残基（表4）。其中11条含组氨酸，6条含半胱氨酸，每条均至少含一个Arg或Lys。这些特征可提出合成和金属配位假设，但序列组成不能确定金属亲和力、选择性、化学计量、配位几何、氧化态、BBB转运、毒性、分类学归属或与汇总终点的对应关系。</w:t>
      </w:r>
    </w:p>
    <w:p>
      <w:pPr>
        <w:pStyle w:val="BodyText"/>
      </w:pPr>
      <w:r>
        <w:t>Vina均值范围为−9.60至−8.25 kcal/mol，标准差范围为0.04至0.12。FLLHTTR、YLSLLQR和ALLLHRC的均值最低，HLPLLHRCC和HVLLLRQCA的均值最高。1.35 kcal/mol的跨度仅描述该评分表。标准差的逐次运行分母不可获得；缺少构象时也无法评价残基层面相互作用。因此，组氨酸/半胱氨酸组成和评分顺序应用于设计后续实验，而不是推断结合或机制。</w:t>
      </w:r>
    </w:p>
    <w:p>
      <w:pPr>
        <w:pStyle w:val="Caption"/>
      </w:pPr>
      <w:r>
        <w:rPr>
          <w:b/>
        </w:rPr>
        <w:t>表4. 12条序列的组成及现有AChE对接评分。</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1170"/>
        <w:gridCol w:w="1170"/>
        <w:gridCol w:w="1170"/>
        <w:gridCol w:w="1170"/>
        <w:gridCol w:w="1170"/>
        <w:gridCol w:w="1170"/>
        <w:gridCol w:w="1170"/>
        <w:gridCol w:w="1170"/>
      </w:tblGrid>
      <w:tr>
        <w:trPr>
          <w:tblHeader/>
        </w:trPr>
        <w:tc>
          <w:tcPr>
            <w:tcW w:w="1170" w:type="dxa"/>
            <w:tcBorders>
              <w:bottom w:val="single" w:sz="8" w:space="0" w:color="000000"/>
            </w:tcBorders>
            <w:vAlign w:val="center"/>
          </w:tcPr>
          <w:p>
            <w:pPr>
              <w:pStyle w:val="TableText"/>
              <w:spacing w:before="0" w:after="0" w:line="240" w:lineRule="auto"/>
            </w:pPr>
            <w:r>
              <w:rPr>
                <w:sz w:val="20"/>
                <w:szCs w:val="20"/>
              </w:rPr>
              <w:t>排名</w:t>
            </w:r>
          </w:p>
        </w:tc>
        <w:tc>
          <w:tcPr>
            <w:tcW w:w="1170" w:type="dxa"/>
            <w:tcBorders>
              <w:bottom w:val="single" w:sz="8" w:space="0" w:color="000000"/>
            </w:tcBorders>
            <w:vAlign w:val="center"/>
          </w:tcPr>
          <w:p>
            <w:pPr>
              <w:pStyle w:val="TableText"/>
              <w:spacing w:before="0" w:after="0" w:line="240" w:lineRule="auto"/>
            </w:pPr>
            <w:r>
              <w:rPr>
                <w:sz w:val="20"/>
                <w:szCs w:val="20"/>
              </w:rPr>
              <w:t>序列</w:t>
            </w:r>
          </w:p>
        </w:tc>
        <w:tc>
          <w:tcPr>
            <w:tcW w:w="1170" w:type="dxa"/>
            <w:tcBorders>
              <w:bottom w:val="single" w:sz="8" w:space="0" w:color="000000"/>
            </w:tcBorders>
            <w:vAlign w:val="center"/>
          </w:tcPr>
          <w:p>
            <w:pPr>
              <w:pStyle w:val="TableText"/>
              <w:spacing w:before="0" w:after="0" w:line="240" w:lineRule="auto"/>
            </w:pPr>
            <w:r>
              <w:rPr>
                <w:sz w:val="20"/>
                <w:szCs w:val="20"/>
              </w:rPr>
              <w:t>长度</w:t>
            </w:r>
          </w:p>
        </w:tc>
        <w:tc>
          <w:tcPr>
            <w:tcW w:w="1170" w:type="dxa"/>
            <w:tcBorders>
              <w:bottom w:val="single" w:sz="8" w:space="0" w:color="000000"/>
            </w:tcBorders>
            <w:vAlign w:val="center"/>
          </w:tcPr>
          <w:p>
            <w:pPr>
              <w:pStyle w:val="TableText"/>
              <w:spacing w:before="0" w:after="0" w:line="240" w:lineRule="auto"/>
            </w:pPr>
            <w:r>
              <w:rPr>
                <w:sz w:val="20"/>
                <w:szCs w:val="20"/>
              </w:rPr>
              <w:t>His</w:t>
            </w:r>
          </w:p>
        </w:tc>
        <w:tc>
          <w:tcPr>
            <w:tcW w:w="1170" w:type="dxa"/>
            <w:tcBorders>
              <w:bottom w:val="single" w:sz="8" w:space="0" w:color="000000"/>
            </w:tcBorders>
            <w:vAlign w:val="center"/>
          </w:tcPr>
          <w:p>
            <w:pPr>
              <w:pStyle w:val="TableText"/>
              <w:spacing w:before="0" w:after="0" w:line="240" w:lineRule="auto"/>
            </w:pPr>
            <w:r>
              <w:rPr>
                <w:sz w:val="20"/>
                <w:szCs w:val="20"/>
              </w:rPr>
              <w:t>Cys</w:t>
            </w:r>
          </w:p>
        </w:tc>
        <w:tc>
          <w:tcPr>
            <w:tcW w:w="1170" w:type="dxa"/>
            <w:tcBorders>
              <w:bottom w:val="single" w:sz="8" w:space="0" w:color="000000"/>
            </w:tcBorders>
            <w:vAlign w:val="center"/>
          </w:tcPr>
          <w:p>
            <w:pPr>
              <w:pStyle w:val="TableText"/>
              <w:spacing w:before="0" w:after="0" w:line="240" w:lineRule="auto"/>
            </w:pPr>
            <w:r>
              <w:rPr>
                <w:sz w:val="20"/>
                <w:szCs w:val="20"/>
              </w:rPr>
              <w:t>Arg+Lys</w:t>
            </w:r>
          </w:p>
        </w:tc>
        <w:tc>
          <w:tcPr>
            <w:tcW w:w="1170" w:type="dxa"/>
            <w:tcBorders>
              <w:bottom w:val="single" w:sz="8" w:space="0" w:color="000000"/>
            </w:tcBorders>
            <w:vAlign w:val="center"/>
          </w:tcPr>
          <w:p>
            <w:pPr>
              <w:pStyle w:val="TableText"/>
              <w:spacing w:before="0" w:after="0" w:line="240" w:lineRule="auto"/>
            </w:pPr>
            <w:r>
              <w:rPr>
                <w:sz w:val="20"/>
                <w:szCs w:val="20"/>
              </w:rPr>
              <w:t>平均评分（kcal/mol）</w:t>
            </w:r>
          </w:p>
        </w:tc>
        <w:tc>
          <w:tcPr>
            <w:tcW w:w="1170" w:type="dxa"/>
            <w:tcBorders>
              <w:bottom w:val="single" w:sz="8" w:space="0" w:color="000000"/>
            </w:tcBorders>
            <w:vAlign w:val="center"/>
          </w:tcPr>
          <w:p>
            <w:pPr>
              <w:pStyle w:val="TableText"/>
              <w:spacing w:before="0" w:after="0" w:line="240" w:lineRule="auto"/>
            </w:pPr>
            <w:r>
              <w:rPr>
                <w:sz w:val="20"/>
                <w:szCs w:val="20"/>
              </w:rPr>
              <w:t>SD</w:t>
            </w:r>
          </w:p>
        </w:tc>
      </w:tr>
      <w:tr>
        <w:tc>
          <w:tcPr>
            <w:tcW w:w="1170" w:type="dxa"/>
            <w:vAlign w:val="center"/>
          </w:tcPr>
          <w:p>
            <w:pPr>
              <w:pStyle w:val="TableText"/>
              <w:spacing w:before="0" w:after="0" w:line="240" w:lineRule="auto"/>
            </w:pPr>
            <w:r>
              <w:rPr>
                <w:sz w:val="20"/>
                <w:szCs w:val="20"/>
              </w:rPr>
              <w:t>1</w:t>
            </w:r>
          </w:p>
        </w:tc>
        <w:tc>
          <w:tcPr>
            <w:tcW w:w="1170" w:type="dxa"/>
            <w:vAlign w:val="center"/>
          </w:tcPr>
          <w:p>
            <w:pPr>
              <w:pStyle w:val="TableText"/>
              <w:spacing w:before="0" w:after="0" w:line="240" w:lineRule="auto"/>
            </w:pPr>
            <w:r>
              <w:rPr>
                <w:sz w:val="20"/>
                <w:szCs w:val="20"/>
              </w:rPr>
              <w:t>FLLHTTR</w:t>
            </w:r>
          </w:p>
        </w:tc>
        <w:tc>
          <w:tcPr>
            <w:tcW w:w="1170" w:type="dxa"/>
            <w:vAlign w:val="center"/>
          </w:tcPr>
          <w:p>
            <w:pPr>
              <w:pStyle w:val="TableText"/>
              <w:spacing w:before="0" w:after="0" w:line="240" w:lineRule="auto"/>
            </w:pPr>
            <w:r>
              <w:rPr>
                <w:sz w:val="20"/>
                <w:szCs w:val="20"/>
              </w:rPr>
              <w:t>7</w:t>
            </w:r>
          </w:p>
        </w:tc>
        <w:tc>
          <w:tcPr>
            <w:tcW w:w="1170" w:type="dxa"/>
            <w:vAlign w:val="center"/>
          </w:tcPr>
          <w:p>
            <w:pPr>
              <w:pStyle w:val="TableText"/>
              <w:spacing w:before="0" w:after="0" w:line="240" w:lineRule="auto"/>
            </w:pPr>
            <w:r>
              <w:rPr>
                <w:sz w:val="20"/>
                <w:szCs w:val="20"/>
              </w:rPr>
              <w:t>1</w:t>
            </w:r>
          </w:p>
        </w:tc>
        <w:tc>
          <w:tcPr>
            <w:tcW w:w="1170" w:type="dxa"/>
            <w:vAlign w:val="center"/>
          </w:tcPr>
          <w:p>
            <w:pPr>
              <w:pStyle w:val="TableText"/>
              <w:spacing w:before="0" w:after="0" w:line="240" w:lineRule="auto"/>
            </w:pPr>
            <w:r>
              <w:rPr>
                <w:sz w:val="20"/>
                <w:szCs w:val="20"/>
              </w:rPr>
              <w:t>0</w:t>
            </w:r>
          </w:p>
        </w:tc>
        <w:tc>
          <w:tcPr>
            <w:tcW w:w="1170" w:type="dxa"/>
            <w:vAlign w:val="center"/>
          </w:tcPr>
          <w:p>
            <w:pPr>
              <w:pStyle w:val="TableText"/>
              <w:spacing w:before="0" w:after="0" w:line="240" w:lineRule="auto"/>
            </w:pPr>
            <w:r>
              <w:rPr>
                <w:sz w:val="20"/>
                <w:szCs w:val="20"/>
              </w:rPr>
              <w:t>1</w:t>
            </w:r>
          </w:p>
        </w:tc>
        <w:tc>
          <w:tcPr>
            <w:tcW w:w="1170" w:type="dxa"/>
            <w:vAlign w:val="center"/>
          </w:tcPr>
          <w:p>
            <w:pPr>
              <w:pStyle w:val="TableText"/>
              <w:spacing w:before="0" w:after="0" w:line="240" w:lineRule="auto"/>
            </w:pPr>
            <w:r>
              <w:rPr>
                <w:sz w:val="20"/>
                <w:szCs w:val="20"/>
              </w:rPr>
              <w:t>−9.60</w:t>
            </w:r>
          </w:p>
        </w:tc>
        <w:tc>
          <w:tcPr>
            <w:tcW w:w="1170" w:type="dxa"/>
            <w:vAlign w:val="center"/>
          </w:tcPr>
          <w:p>
            <w:pPr>
              <w:pStyle w:val="TableText"/>
              <w:spacing w:before="0" w:after="0" w:line="240" w:lineRule="auto"/>
            </w:pPr>
            <w:r>
              <w:rPr>
                <w:sz w:val="20"/>
                <w:szCs w:val="20"/>
              </w:rPr>
              <w:t>0.08</w:t>
            </w:r>
          </w:p>
        </w:tc>
      </w:tr>
      <w:tr>
        <w:tc>
          <w:tcPr>
            <w:tcW w:w="1170" w:type="dxa"/>
            <w:vAlign w:val="center"/>
          </w:tcPr>
          <w:p>
            <w:pPr>
              <w:pStyle w:val="TableText"/>
              <w:spacing w:before="0" w:after="0" w:line="240" w:lineRule="auto"/>
            </w:pPr>
            <w:r>
              <w:rPr>
                <w:sz w:val="20"/>
                <w:szCs w:val="20"/>
              </w:rPr>
              <w:t>2</w:t>
            </w:r>
          </w:p>
        </w:tc>
        <w:tc>
          <w:tcPr>
            <w:tcW w:w="1170" w:type="dxa"/>
            <w:vAlign w:val="center"/>
          </w:tcPr>
          <w:p>
            <w:pPr>
              <w:pStyle w:val="TableText"/>
              <w:spacing w:before="0" w:after="0" w:line="240" w:lineRule="auto"/>
            </w:pPr>
            <w:r>
              <w:rPr>
                <w:sz w:val="20"/>
                <w:szCs w:val="20"/>
              </w:rPr>
              <w:t>YLSLLQR</w:t>
            </w:r>
          </w:p>
        </w:tc>
        <w:tc>
          <w:tcPr>
            <w:tcW w:w="1170" w:type="dxa"/>
            <w:vAlign w:val="center"/>
          </w:tcPr>
          <w:p>
            <w:pPr>
              <w:pStyle w:val="TableText"/>
              <w:spacing w:before="0" w:after="0" w:line="240" w:lineRule="auto"/>
            </w:pPr>
            <w:r>
              <w:rPr>
                <w:sz w:val="20"/>
                <w:szCs w:val="20"/>
              </w:rPr>
              <w:t>7</w:t>
            </w:r>
          </w:p>
        </w:tc>
        <w:tc>
          <w:tcPr>
            <w:tcW w:w="1170" w:type="dxa"/>
            <w:vAlign w:val="center"/>
          </w:tcPr>
          <w:p>
            <w:pPr>
              <w:pStyle w:val="TableText"/>
              <w:spacing w:before="0" w:after="0" w:line="240" w:lineRule="auto"/>
            </w:pPr>
            <w:r>
              <w:rPr>
                <w:sz w:val="20"/>
                <w:szCs w:val="20"/>
              </w:rPr>
              <w:t>0</w:t>
            </w:r>
          </w:p>
        </w:tc>
        <w:tc>
          <w:tcPr>
            <w:tcW w:w="1170" w:type="dxa"/>
            <w:vAlign w:val="center"/>
          </w:tcPr>
          <w:p>
            <w:pPr>
              <w:pStyle w:val="TableText"/>
              <w:spacing w:before="0" w:after="0" w:line="240" w:lineRule="auto"/>
            </w:pPr>
            <w:r>
              <w:rPr>
                <w:sz w:val="20"/>
                <w:szCs w:val="20"/>
              </w:rPr>
              <w:t>0</w:t>
            </w:r>
          </w:p>
        </w:tc>
        <w:tc>
          <w:tcPr>
            <w:tcW w:w="1170" w:type="dxa"/>
            <w:vAlign w:val="center"/>
          </w:tcPr>
          <w:p>
            <w:pPr>
              <w:pStyle w:val="TableText"/>
              <w:spacing w:before="0" w:after="0" w:line="240" w:lineRule="auto"/>
            </w:pPr>
            <w:r>
              <w:rPr>
                <w:sz w:val="20"/>
                <w:szCs w:val="20"/>
              </w:rPr>
              <w:t>1</w:t>
            </w:r>
          </w:p>
        </w:tc>
        <w:tc>
          <w:tcPr>
            <w:tcW w:w="1170" w:type="dxa"/>
            <w:vAlign w:val="center"/>
          </w:tcPr>
          <w:p>
            <w:pPr>
              <w:pStyle w:val="TableText"/>
              <w:spacing w:before="0" w:after="0" w:line="240" w:lineRule="auto"/>
            </w:pPr>
            <w:r>
              <w:rPr>
                <w:sz w:val="20"/>
                <w:szCs w:val="20"/>
              </w:rPr>
              <w:t>−9.49</w:t>
            </w:r>
          </w:p>
        </w:tc>
        <w:tc>
          <w:tcPr>
            <w:tcW w:w="1170" w:type="dxa"/>
            <w:vAlign w:val="center"/>
          </w:tcPr>
          <w:p>
            <w:pPr>
              <w:pStyle w:val="TableText"/>
              <w:spacing w:before="0" w:after="0" w:line="240" w:lineRule="auto"/>
            </w:pPr>
            <w:r>
              <w:rPr>
                <w:sz w:val="20"/>
                <w:szCs w:val="20"/>
              </w:rPr>
              <w:t>0.05</w:t>
            </w:r>
          </w:p>
        </w:tc>
      </w:tr>
      <w:tr>
        <w:tc>
          <w:tcPr>
            <w:tcW w:w="1170" w:type="dxa"/>
            <w:vAlign w:val="center"/>
          </w:tcPr>
          <w:p>
            <w:pPr>
              <w:pStyle w:val="TableText"/>
              <w:spacing w:before="0" w:after="0" w:line="240" w:lineRule="auto"/>
            </w:pPr>
            <w:r>
              <w:rPr>
                <w:sz w:val="20"/>
                <w:szCs w:val="20"/>
              </w:rPr>
              <w:t>3</w:t>
            </w:r>
          </w:p>
        </w:tc>
        <w:tc>
          <w:tcPr>
            <w:tcW w:w="1170" w:type="dxa"/>
            <w:vAlign w:val="center"/>
          </w:tcPr>
          <w:p>
            <w:pPr>
              <w:pStyle w:val="TableText"/>
              <w:spacing w:before="0" w:after="0" w:line="240" w:lineRule="auto"/>
            </w:pPr>
            <w:r>
              <w:rPr>
                <w:sz w:val="20"/>
                <w:szCs w:val="20"/>
              </w:rPr>
              <w:t>ALLLHRC</w:t>
            </w:r>
          </w:p>
        </w:tc>
        <w:tc>
          <w:tcPr>
            <w:tcW w:w="1170" w:type="dxa"/>
            <w:vAlign w:val="center"/>
          </w:tcPr>
          <w:p>
            <w:pPr>
              <w:pStyle w:val="TableText"/>
              <w:spacing w:before="0" w:after="0" w:line="240" w:lineRule="auto"/>
            </w:pPr>
            <w:r>
              <w:rPr>
                <w:sz w:val="20"/>
                <w:szCs w:val="20"/>
              </w:rPr>
              <w:t>7</w:t>
            </w:r>
          </w:p>
        </w:tc>
        <w:tc>
          <w:tcPr>
            <w:tcW w:w="1170" w:type="dxa"/>
            <w:vAlign w:val="center"/>
          </w:tcPr>
          <w:p>
            <w:pPr>
              <w:pStyle w:val="TableText"/>
              <w:spacing w:before="0" w:after="0" w:line="240" w:lineRule="auto"/>
            </w:pPr>
            <w:r>
              <w:rPr>
                <w:sz w:val="20"/>
                <w:szCs w:val="20"/>
              </w:rPr>
              <w:t>1</w:t>
            </w:r>
          </w:p>
        </w:tc>
        <w:tc>
          <w:tcPr>
            <w:tcW w:w="1170" w:type="dxa"/>
            <w:vAlign w:val="center"/>
          </w:tcPr>
          <w:p>
            <w:pPr>
              <w:pStyle w:val="TableText"/>
              <w:spacing w:before="0" w:after="0" w:line="240" w:lineRule="auto"/>
            </w:pPr>
            <w:r>
              <w:rPr>
                <w:sz w:val="20"/>
                <w:szCs w:val="20"/>
              </w:rPr>
              <w:t>1</w:t>
            </w:r>
          </w:p>
        </w:tc>
        <w:tc>
          <w:tcPr>
            <w:tcW w:w="1170" w:type="dxa"/>
            <w:vAlign w:val="center"/>
          </w:tcPr>
          <w:p>
            <w:pPr>
              <w:pStyle w:val="TableText"/>
              <w:spacing w:before="0" w:after="0" w:line="240" w:lineRule="auto"/>
            </w:pPr>
            <w:r>
              <w:rPr>
                <w:sz w:val="20"/>
                <w:szCs w:val="20"/>
              </w:rPr>
              <w:t>1</w:t>
            </w:r>
          </w:p>
        </w:tc>
        <w:tc>
          <w:tcPr>
            <w:tcW w:w="1170" w:type="dxa"/>
            <w:vAlign w:val="center"/>
          </w:tcPr>
          <w:p>
            <w:pPr>
              <w:pStyle w:val="TableText"/>
              <w:spacing w:before="0" w:after="0" w:line="240" w:lineRule="auto"/>
            </w:pPr>
            <w:r>
              <w:rPr>
                <w:sz w:val="20"/>
                <w:szCs w:val="20"/>
              </w:rPr>
              <w:t>−9.29</w:t>
            </w:r>
          </w:p>
        </w:tc>
        <w:tc>
          <w:tcPr>
            <w:tcW w:w="1170" w:type="dxa"/>
            <w:vAlign w:val="center"/>
          </w:tcPr>
          <w:p>
            <w:pPr>
              <w:pStyle w:val="TableText"/>
              <w:spacing w:before="0" w:after="0" w:line="240" w:lineRule="auto"/>
            </w:pPr>
            <w:r>
              <w:rPr>
                <w:sz w:val="20"/>
                <w:szCs w:val="20"/>
              </w:rPr>
              <w:t>0.11</w:t>
            </w:r>
          </w:p>
        </w:tc>
      </w:tr>
      <w:tr>
        <w:tc>
          <w:tcPr>
            <w:tcW w:w="1170" w:type="dxa"/>
            <w:vAlign w:val="center"/>
          </w:tcPr>
          <w:p>
            <w:pPr>
              <w:pStyle w:val="TableText"/>
              <w:spacing w:before="0" w:after="0" w:line="240" w:lineRule="auto"/>
            </w:pPr>
            <w:r>
              <w:rPr>
                <w:sz w:val="20"/>
                <w:szCs w:val="20"/>
              </w:rPr>
              <w:t>4</w:t>
            </w:r>
          </w:p>
        </w:tc>
        <w:tc>
          <w:tcPr>
            <w:tcW w:w="1170" w:type="dxa"/>
            <w:vAlign w:val="center"/>
          </w:tcPr>
          <w:p>
            <w:pPr>
              <w:pStyle w:val="TableText"/>
              <w:spacing w:before="0" w:after="0" w:line="240" w:lineRule="auto"/>
            </w:pPr>
            <w:r>
              <w:rPr>
                <w:sz w:val="20"/>
                <w:szCs w:val="20"/>
              </w:rPr>
              <w:t>FCLHLQLR</w:t>
            </w:r>
          </w:p>
        </w:tc>
        <w:tc>
          <w:tcPr>
            <w:tcW w:w="1170" w:type="dxa"/>
            <w:vAlign w:val="center"/>
          </w:tcPr>
          <w:p>
            <w:pPr>
              <w:pStyle w:val="TableText"/>
              <w:spacing w:before="0" w:after="0" w:line="240" w:lineRule="auto"/>
            </w:pPr>
            <w:r>
              <w:rPr>
                <w:sz w:val="20"/>
                <w:szCs w:val="20"/>
              </w:rPr>
              <w:t>8</w:t>
            </w:r>
          </w:p>
        </w:tc>
        <w:tc>
          <w:tcPr>
            <w:tcW w:w="1170" w:type="dxa"/>
            <w:vAlign w:val="center"/>
          </w:tcPr>
          <w:p>
            <w:pPr>
              <w:pStyle w:val="TableText"/>
              <w:spacing w:before="0" w:after="0" w:line="240" w:lineRule="auto"/>
            </w:pPr>
            <w:r>
              <w:rPr>
                <w:sz w:val="20"/>
                <w:szCs w:val="20"/>
              </w:rPr>
              <w:t>1</w:t>
            </w:r>
          </w:p>
        </w:tc>
        <w:tc>
          <w:tcPr>
            <w:tcW w:w="1170" w:type="dxa"/>
            <w:vAlign w:val="center"/>
          </w:tcPr>
          <w:p>
            <w:pPr>
              <w:pStyle w:val="TableText"/>
              <w:spacing w:before="0" w:after="0" w:line="240" w:lineRule="auto"/>
            </w:pPr>
            <w:r>
              <w:rPr>
                <w:sz w:val="20"/>
                <w:szCs w:val="20"/>
              </w:rPr>
              <w:t>1</w:t>
            </w:r>
          </w:p>
        </w:tc>
        <w:tc>
          <w:tcPr>
            <w:tcW w:w="1170" w:type="dxa"/>
            <w:vAlign w:val="center"/>
          </w:tcPr>
          <w:p>
            <w:pPr>
              <w:pStyle w:val="TableText"/>
              <w:spacing w:before="0" w:after="0" w:line="240" w:lineRule="auto"/>
            </w:pPr>
            <w:r>
              <w:rPr>
                <w:sz w:val="20"/>
                <w:szCs w:val="20"/>
              </w:rPr>
              <w:t>1</w:t>
            </w:r>
          </w:p>
        </w:tc>
        <w:tc>
          <w:tcPr>
            <w:tcW w:w="1170" w:type="dxa"/>
            <w:vAlign w:val="center"/>
          </w:tcPr>
          <w:p>
            <w:pPr>
              <w:pStyle w:val="TableText"/>
              <w:spacing w:before="0" w:after="0" w:line="240" w:lineRule="auto"/>
            </w:pPr>
            <w:r>
              <w:rPr>
                <w:sz w:val="20"/>
                <w:szCs w:val="20"/>
              </w:rPr>
              <w:t>−9.27</w:t>
            </w:r>
          </w:p>
        </w:tc>
        <w:tc>
          <w:tcPr>
            <w:tcW w:w="1170" w:type="dxa"/>
            <w:vAlign w:val="center"/>
          </w:tcPr>
          <w:p>
            <w:pPr>
              <w:pStyle w:val="TableText"/>
              <w:spacing w:before="0" w:after="0" w:line="240" w:lineRule="auto"/>
            </w:pPr>
            <w:r>
              <w:rPr>
                <w:sz w:val="20"/>
                <w:szCs w:val="20"/>
              </w:rPr>
              <w:t>0.09</w:t>
            </w:r>
          </w:p>
        </w:tc>
      </w:tr>
      <w:tr>
        <w:tc>
          <w:tcPr>
            <w:tcW w:w="1170" w:type="dxa"/>
            <w:vAlign w:val="center"/>
          </w:tcPr>
          <w:p>
            <w:pPr>
              <w:pStyle w:val="TableText"/>
              <w:spacing w:before="0" w:after="0" w:line="240" w:lineRule="auto"/>
            </w:pPr>
            <w:r>
              <w:rPr>
                <w:sz w:val="20"/>
                <w:szCs w:val="20"/>
              </w:rPr>
              <w:t>5</w:t>
            </w:r>
          </w:p>
        </w:tc>
        <w:tc>
          <w:tcPr>
            <w:tcW w:w="1170" w:type="dxa"/>
            <w:vAlign w:val="center"/>
          </w:tcPr>
          <w:p>
            <w:pPr>
              <w:pStyle w:val="TableText"/>
              <w:spacing w:before="0" w:after="0" w:line="240" w:lineRule="auto"/>
            </w:pPr>
            <w:r>
              <w:rPr>
                <w:sz w:val="20"/>
                <w:szCs w:val="20"/>
              </w:rPr>
              <w:t>YHHLLCRR</w:t>
            </w:r>
          </w:p>
        </w:tc>
        <w:tc>
          <w:tcPr>
            <w:tcW w:w="1170" w:type="dxa"/>
            <w:vAlign w:val="center"/>
          </w:tcPr>
          <w:p>
            <w:pPr>
              <w:pStyle w:val="TableText"/>
              <w:spacing w:before="0" w:after="0" w:line="240" w:lineRule="auto"/>
            </w:pPr>
            <w:r>
              <w:rPr>
                <w:sz w:val="20"/>
                <w:szCs w:val="20"/>
              </w:rPr>
              <w:t>8</w:t>
            </w:r>
          </w:p>
        </w:tc>
        <w:tc>
          <w:tcPr>
            <w:tcW w:w="1170" w:type="dxa"/>
            <w:vAlign w:val="center"/>
          </w:tcPr>
          <w:p>
            <w:pPr>
              <w:pStyle w:val="TableText"/>
              <w:spacing w:before="0" w:after="0" w:line="240" w:lineRule="auto"/>
            </w:pPr>
            <w:r>
              <w:rPr>
                <w:sz w:val="20"/>
                <w:szCs w:val="20"/>
              </w:rPr>
              <w:t>2</w:t>
            </w:r>
          </w:p>
        </w:tc>
        <w:tc>
          <w:tcPr>
            <w:tcW w:w="1170" w:type="dxa"/>
            <w:vAlign w:val="center"/>
          </w:tcPr>
          <w:p>
            <w:pPr>
              <w:pStyle w:val="TableText"/>
              <w:spacing w:before="0" w:after="0" w:line="240" w:lineRule="auto"/>
            </w:pPr>
            <w:r>
              <w:rPr>
                <w:sz w:val="20"/>
                <w:szCs w:val="20"/>
              </w:rPr>
              <w:t>1</w:t>
            </w:r>
          </w:p>
        </w:tc>
        <w:tc>
          <w:tcPr>
            <w:tcW w:w="1170" w:type="dxa"/>
            <w:vAlign w:val="center"/>
          </w:tcPr>
          <w:p>
            <w:pPr>
              <w:pStyle w:val="TableText"/>
              <w:spacing w:before="0" w:after="0" w:line="240" w:lineRule="auto"/>
            </w:pPr>
            <w:r>
              <w:rPr>
                <w:sz w:val="20"/>
                <w:szCs w:val="20"/>
              </w:rPr>
              <w:t>2</w:t>
            </w:r>
          </w:p>
        </w:tc>
        <w:tc>
          <w:tcPr>
            <w:tcW w:w="1170" w:type="dxa"/>
            <w:vAlign w:val="center"/>
          </w:tcPr>
          <w:p>
            <w:pPr>
              <w:pStyle w:val="TableText"/>
              <w:spacing w:before="0" w:after="0" w:line="240" w:lineRule="auto"/>
            </w:pPr>
            <w:r>
              <w:rPr>
                <w:sz w:val="20"/>
                <w:szCs w:val="20"/>
              </w:rPr>
              <w:t>−9.03</w:t>
            </w:r>
          </w:p>
        </w:tc>
        <w:tc>
          <w:tcPr>
            <w:tcW w:w="1170" w:type="dxa"/>
            <w:vAlign w:val="center"/>
          </w:tcPr>
          <w:p>
            <w:pPr>
              <w:pStyle w:val="TableText"/>
              <w:spacing w:before="0" w:after="0" w:line="240" w:lineRule="auto"/>
            </w:pPr>
            <w:r>
              <w:rPr>
                <w:sz w:val="20"/>
                <w:szCs w:val="20"/>
              </w:rPr>
              <w:t>0.07</w:t>
            </w:r>
          </w:p>
        </w:tc>
      </w:tr>
      <w:tr>
        <w:tc>
          <w:tcPr>
            <w:tcW w:w="1170" w:type="dxa"/>
            <w:vAlign w:val="center"/>
          </w:tcPr>
          <w:p>
            <w:pPr>
              <w:pStyle w:val="TableText"/>
              <w:spacing w:before="0" w:after="0" w:line="240" w:lineRule="auto"/>
            </w:pPr>
            <w:r>
              <w:rPr>
                <w:sz w:val="20"/>
                <w:szCs w:val="20"/>
              </w:rPr>
              <w:t>6</w:t>
            </w:r>
          </w:p>
        </w:tc>
        <w:tc>
          <w:tcPr>
            <w:tcW w:w="1170" w:type="dxa"/>
            <w:vAlign w:val="center"/>
          </w:tcPr>
          <w:p>
            <w:pPr>
              <w:pStyle w:val="TableText"/>
              <w:spacing w:before="0" w:after="0" w:line="240" w:lineRule="auto"/>
            </w:pPr>
            <w:r>
              <w:rPr>
                <w:sz w:val="20"/>
                <w:szCs w:val="20"/>
              </w:rPr>
              <w:t>LLHLPKRTT</w:t>
            </w:r>
          </w:p>
        </w:tc>
        <w:tc>
          <w:tcPr>
            <w:tcW w:w="1170" w:type="dxa"/>
            <w:vAlign w:val="center"/>
          </w:tcPr>
          <w:p>
            <w:pPr>
              <w:pStyle w:val="TableText"/>
              <w:spacing w:before="0" w:after="0" w:line="240" w:lineRule="auto"/>
            </w:pPr>
            <w:r>
              <w:rPr>
                <w:sz w:val="20"/>
                <w:szCs w:val="20"/>
              </w:rPr>
              <w:t>9</w:t>
            </w:r>
          </w:p>
        </w:tc>
        <w:tc>
          <w:tcPr>
            <w:tcW w:w="1170" w:type="dxa"/>
            <w:vAlign w:val="center"/>
          </w:tcPr>
          <w:p>
            <w:pPr>
              <w:pStyle w:val="TableText"/>
              <w:spacing w:before="0" w:after="0" w:line="240" w:lineRule="auto"/>
            </w:pPr>
            <w:r>
              <w:rPr>
                <w:sz w:val="20"/>
                <w:szCs w:val="20"/>
              </w:rPr>
              <w:t>1</w:t>
            </w:r>
          </w:p>
        </w:tc>
        <w:tc>
          <w:tcPr>
            <w:tcW w:w="1170" w:type="dxa"/>
            <w:vAlign w:val="center"/>
          </w:tcPr>
          <w:p>
            <w:pPr>
              <w:pStyle w:val="TableText"/>
              <w:spacing w:before="0" w:after="0" w:line="240" w:lineRule="auto"/>
            </w:pPr>
            <w:r>
              <w:rPr>
                <w:sz w:val="20"/>
                <w:szCs w:val="20"/>
              </w:rPr>
              <w:t>0</w:t>
            </w:r>
          </w:p>
        </w:tc>
        <w:tc>
          <w:tcPr>
            <w:tcW w:w="1170" w:type="dxa"/>
            <w:vAlign w:val="center"/>
          </w:tcPr>
          <w:p>
            <w:pPr>
              <w:pStyle w:val="TableText"/>
              <w:spacing w:before="0" w:after="0" w:line="240" w:lineRule="auto"/>
            </w:pPr>
            <w:r>
              <w:rPr>
                <w:sz w:val="20"/>
                <w:szCs w:val="20"/>
              </w:rPr>
              <w:t>2</w:t>
            </w:r>
          </w:p>
        </w:tc>
        <w:tc>
          <w:tcPr>
            <w:tcW w:w="1170" w:type="dxa"/>
            <w:vAlign w:val="center"/>
          </w:tcPr>
          <w:p>
            <w:pPr>
              <w:pStyle w:val="TableText"/>
              <w:spacing w:before="0" w:after="0" w:line="240" w:lineRule="auto"/>
            </w:pPr>
            <w:r>
              <w:rPr>
                <w:sz w:val="20"/>
                <w:szCs w:val="20"/>
              </w:rPr>
              <w:t>−9.01</w:t>
            </w:r>
          </w:p>
        </w:tc>
        <w:tc>
          <w:tcPr>
            <w:tcW w:w="1170" w:type="dxa"/>
            <w:vAlign w:val="center"/>
          </w:tcPr>
          <w:p>
            <w:pPr>
              <w:pStyle w:val="TableText"/>
              <w:spacing w:before="0" w:after="0" w:line="240" w:lineRule="auto"/>
            </w:pPr>
            <w:r>
              <w:rPr>
                <w:sz w:val="20"/>
                <w:szCs w:val="20"/>
              </w:rPr>
              <w:t>0.06</w:t>
            </w:r>
          </w:p>
        </w:tc>
      </w:tr>
      <w:tr>
        <w:tc>
          <w:tcPr>
            <w:tcW w:w="1170" w:type="dxa"/>
            <w:vAlign w:val="center"/>
          </w:tcPr>
          <w:p>
            <w:pPr>
              <w:pStyle w:val="TableText"/>
              <w:spacing w:before="0" w:after="0" w:line="240" w:lineRule="auto"/>
            </w:pPr>
            <w:r>
              <w:rPr>
                <w:sz w:val="20"/>
                <w:szCs w:val="20"/>
              </w:rPr>
              <w:t>7</w:t>
            </w:r>
          </w:p>
        </w:tc>
        <w:tc>
          <w:tcPr>
            <w:tcW w:w="1170" w:type="dxa"/>
            <w:vAlign w:val="center"/>
          </w:tcPr>
          <w:p>
            <w:pPr>
              <w:pStyle w:val="TableText"/>
              <w:spacing w:before="0" w:after="0" w:line="240" w:lineRule="auto"/>
            </w:pPr>
            <w:r>
              <w:rPr>
                <w:sz w:val="20"/>
                <w:szCs w:val="20"/>
              </w:rPr>
              <w:t>LLHPLRL</w:t>
            </w:r>
          </w:p>
        </w:tc>
        <w:tc>
          <w:tcPr>
            <w:tcW w:w="1170" w:type="dxa"/>
            <w:vAlign w:val="center"/>
          </w:tcPr>
          <w:p>
            <w:pPr>
              <w:pStyle w:val="TableText"/>
              <w:spacing w:before="0" w:after="0" w:line="240" w:lineRule="auto"/>
            </w:pPr>
            <w:r>
              <w:rPr>
                <w:sz w:val="20"/>
                <w:szCs w:val="20"/>
              </w:rPr>
              <w:t>7</w:t>
            </w:r>
          </w:p>
        </w:tc>
        <w:tc>
          <w:tcPr>
            <w:tcW w:w="1170" w:type="dxa"/>
            <w:vAlign w:val="center"/>
          </w:tcPr>
          <w:p>
            <w:pPr>
              <w:pStyle w:val="TableText"/>
              <w:spacing w:before="0" w:after="0" w:line="240" w:lineRule="auto"/>
            </w:pPr>
            <w:r>
              <w:rPr>
                <w:sz w:val="20"/>
                <w:szCs w:val="20"/>
              </w:rPr>
              <w:t>1</w:t>
            </w:r>
          </w:p>
        </w:tc>
        <w:tc>
          <w:tcPr>
            <w:tcW w:w="1170" w:type="dxa"/>
            <w:vAlign w:val="center"/>
          </w:tcPr>
          <w:p>
            <w:pPr>
              <w:pStyle w:val="TableText"/>
              <w:spacing w:before="0" w:after="0" w:line="240" w:lineRule="auto"/>
            </w:pPr>
            <w:r>
              <w:rPr>
                <w:sz w:val="20"/>
                <w:szCs w:val="20"/>
              </w:rPr>
              <w:t>0</w:t>
            </w:r>
          </w:p>
        </w:tc>
        <w:tc>
          <w:tcPr>
            <w:tcW w:w="1170" w:type="dxa"/>
            <w:vAlign w:val="center"/>
          </w:tcPr>
          <w:p>
            <w:pPr>
              <w:pStyle w:val="TableText"/>
              <w:spacing w:before="0" w:after="0" w:line="240" w:lineRule="auto"/>
            </w:pPr>
            <w:r>
              <w:rPr>
                <w:sz w:val="20"/>
                <w:szCs w:val="20"/>
              </w:rPr>
              <w:t>1</w:t>
            </w:r>
          </w:p>
        </w:tc>
        <w:tc>
          <w:tcPr>
            <w:tcW w:w="1170" w:type="dxa"/>
            <w:vAlign w:val="center"/>
          </w:tcPr>
          <w:p>
            <w:pPr>
              <w:pStyle w:val="TableText"/>
              <w:spacing w:before="0" w:after="0" w:line="240" w:lineRule="auto"/>
            </w:pPr>
            <w:r>
              <w:rPr>
                <w:sz w:val="20"/>
                <w:szCs w:val="20"/>
              </w:rPr>
              <w:t>−8.94</w:t>
            </w:r>
          </w:p>
        </w:tc>
        <w:tc>
          <w:tcPr>
            <w:tcW w:w="1170" w:type="dxa"/>
            <w:vAlign w:val="center"/>
          </w:tcPr>
          <w:p>
            <w:pPr>
              <w:pStyle w:val="TableText"/>
              <w:spacing w:before="0" w:after="0" w:line="240" w:lineRule="auto"/>
            </w:pPr>
            <w:r>
              <w:rPr>
                <w:sz w:val="20"/>
                <w:szCs w:val="20"/>
              </w:rPr>
              <w:t>0.10</w:t>
            </w:r>
          </w:p>
        </w:tc>
      </w:tr>
      <w:tr>
        <w:tc>
          <w:tcPr>
            <w:tcW w:w="1170" w:type="dxa"/>
            <w:vAlign w:val="center"/>
          </w:tcPr>
          <w:p>
            <w:pPr>
              <w:pStyle w:val="TableText"/>
              <w:spacing w:before="0" w:after="0" w:line="240" w:lineRule="auto"/>
            </w:pPr>
            <w:r>
              <w:rPr>
                <w:sz w:val="20"/>
                <w:szCs w:val="20"/>
              </w:rPr>
              <w:t>8</w:t>
            </w:r>
          </w:p>
        </w:tc>
        <w:tc>
          <w:tcPr>
            <w:tcW w:w="1170" w:type="dxa"/>
            <w:vAlign w:val="center"/>
          </w:tcPr>
          <w:p>
            <w:pPr>
              <w:pStyle w:val="TableText"/>
              <w:spacing w:before="0" w:after="0" w:line="240" w:lineRule="auto"/>
            </w:pPr>
            <w:r>
              <w:rPr>
                <w:sz w:val="20"/>
                <w:szCs w:val="20"/>
              </w:rPr>
              <w:t>WLLVHLKK</w:t>
            </w:r>
          </w:p>
        </w:tc>
        <w:tc>
          <w:tcPr>
            <w:tcW w:w="1170" w:type="dxa"/>
            <w:vAlign w:val="center"/>
          </w:tcPr>
          <w:p>
            <w:pPr>
              <w:pStyle w:val="TableText"/>
              <w:spacing w:before="0" w:after="0" w:line="240" w:lineRule="auto"/>
            </w:pPr>
            <w:r>
              <w:rPr>
                <w:sz w:val="20"/>
                <w:szCs w:val="20"/>
              </w:rPr>
              <w:t>8</w:t>
            </w:r>
          </w:p>
        </w:tc>
        <w:tc>
          <w:tcPr>
            <w:tcW w:w="1170" w:type="dxa"/>
            <w:vAlign w:val="center"/>
          </w:tcPr>
          <w:p>
            <w:pPr>
              <w:pStyle w:val="TableText"/>
              <w:spacing w:before="0" w:after="0" w:line="240" w:lineRule="auto"/>
            </w:pPr>
            <w:r>
              <w:rPr>
                <w:sz w:val="20"/>
                <w:szCs w:val="20"/>
              </w:rPr>
              <w:t>1</w:t>
            </w:r>
          </w:p>
        </w:tc>
        <w:tc>
          <w:tcPr>
            <w:tcW w:w="1170" w:type="dxa"/>
            <w:vAlign w:val="center"/>
          </w:tcPr>
          <w:p>
            <w:pPr>
              <w:pStyle w:val="TableText"/>
              <w:spacing w:before="0" w:after="0" w:line="240" w:lineRule="auto"/>
            </w:pPr>
            <w:r>
              <w:rPr>
                <w:sz w:val="20"/>
                <w:szCs w:val="20"/>
              </w:rPr>
              <w:t>0</w:t>
            </w:r>
          </w:p>
        </w:tc>
        <w:tc>
          <w:tcPr>
            <w:tcW w:w="1170" w:type="dxa"/>
            <w:vAlign w:val="center"/>
          </w:tcPr>
          <w:p>
            <w:pPr>
              <w:pStyle w:val="TableText"/>
              <w:spacing w:before="0" w:after="0" w:line="240" w:lineRule="auto"/>
            </w:pPr>
            <w:r>
              <w:rPr>
                <w:sz w:val="20"/>
                <w:szCs w:val="20"/>
              </w:rPr>
              <w:t>2</w:t>
            </w:r>
          </w:p>
        </w:tc>
        <w:tc>
          <w:tcPr>
            <w:tcW w:w="1170" w:type="dxa"/>
            <w:vAlign w:val="center"/>
          </w:tcPr>
          <w:p>
            <w:pPr>
              <w:pStyle w:val="TableText"/>
              <w:spacing w:before="0" w:after="0" w:line="240" w:lineRule="auto"/>
            </w:pPr>
            <w:r>
              <w:rPr>
                <w:sz w:val="20"/>
                <w:szCs w:val="20"/>
              </w:rPr>
              <w:t>−8.94</w:t>
            </w:r>
          </w:p>
        </w:tc>
        <w:tc>
          <w:tcPr>
            <w:tcW w:w="1170" w:type="dxa"/>
            <w:vAlign w:val="center"/>
          </w:tcPr>
          <w:p>
            <w:pPr>
              <w:pStyle w:val="TableText"/>
              <w:spacing w:before="0" w:after="0" w:line="240" w:lineRule="auto"/>
            </w:pPr>
            <w:r>
              <w:rPr>
                <w:sz w:val="20"/>
                <w:szCs w:val="20"/>
              </w:rPr>
              <w:t>0.04</w:t>
            </w:r>
          </w:p>
        </w:tc>
      </w:tr>
      <w:tr>
        <w:tc>
          <w:tcPr>
            <w:tcW w:w="1170" w:type="dxa"/>
            <w:vAlign w:val="center"/>
          </w:tcPr>
          <w:p>
            <w:pPr>
              <w:pStyle w:val="TableText"/>
              <w:spacing w:before="0" w:after="0" w:line="240" w:lineRule="auto"/>
            </w:pPr>
            <w:r>
              <w:rPr>
                <w:sz w:val="20"/>
                <w:szCs w:val="20"/>
              </w:rPr>
              <w:t>9</w:t>
            </w:r>
          </w:p>
        </w:tc>
        <w:tc>
          <w:tcPr>
            <w:tcW w:w="1170" w:type="dxa"/>
            <w:vAlign w:val="center"/>
          </w:tcPr>
          <w:p>
            <w:pPr>
              <w:pStyle w:val="TableText"/>
              <w:spacing w:before="0" w:after="0" w:line="240" w:lineRule="auto"/>
            </w:pPr>
            <w:r>
              <w:rPr>
                <w:sz w:val="20"/>
                <w:szCs w:val="20"/>
              </w:rPr>
              <w:t>LLHPLRC</w:t>
            </w:r>
          </w:p>
        </w:tc>
        <w:tc>
          <w:tcPr>
            <w:tcW w:w="1170" w:type="dxa"/>
            <w:vAlign w:val="center"/>
          </w:tcPr>
          <w:p>
            <w:pPr>
              <w:pStyle w:val="TableText"/>
              <w:spacing w:before="0" w:after="0" w:line="240" w:lineRule="auto"/>
            </w:pPr>
            <w:r>
              <w:rPr>
                <w:sz w:val="20"/>
                <w:szCs w:val="20"/>
              </w:rPr>
              <w:t>7</w:t>
            </w:r>
          </w:p>
        </w:tc>
        <w:tc>
          <w:tcPr>
            <w:tcW w:w="1170" w:type="dxa"/>
            <w:vAlign w:val="center"/>
          </w:tcPr>
          <w:p>
            <w:pPr>
              <w:pStyle w:val="TableText"/>
              <w:spacing w:before="0" w:after="0" w:line="240" w:lineRule="auto"/>
            </w:pPr>
            <w:r>
              <w:rPr>
                <w:sz w:val="20"/>
                <w:szCs w:val="20"/>
              </w:rPr>
              <w:t>1</w:t>
            </w:r>
          </w:p>
        </w:tc>
        <w:tc>
          <w:tcPr>
            <w:tcW w:w="1170" w:type="dxa"/>
            <w:vAlign w:val="center"/>
          </w:tcPr>
          <w:p>
            <w:pPr>
              <w:pStyle w:val="TableText"/>
              <w:spacing w:before="0" w:after="0" w:line="240" w:lineRule="auto"/>
            </w:pPr>
            <w:r>
              <w:rPr>
                <w:sz w:val="20"/>
                <w:szCs w:val="20"/>
              </w:rPr>
              <w:t>1</w:t>
            </w:r>
          </w:p>
        </w:tc>
        <w:tc>
          <w:tcPr>
            <w:tcW w:w="1170" w:type="dxa"/>
            <w:vAlign w:val="center"/>
          </w:tcPr>
          <w:p>
            <w:pPr>
              <w:pStyle w:val="TableText"/>
              <w:spacing w:before="0" w:after="0" w:line="240" w:lineRule="auto"/>
            </w:pPr>
            <w:r>
              <w:rPr>
                <w:sz w:val="20"/>
                <w:szCs w:val="20"/>
              </w:rPr>
              <w:t>1</w:t>
            </w:r>
          </w:p>
        </w:tc>
        <w:tc>
          <w:tcPr>
            <w:tcW w:w="1170" w:type="dxa"/>
            <w:vAlign w:val="center"/>
          </w:tcPr>
          <w:p>
            <w:pPr>
              <w:pStyle w:val="TableText"/>
              <w:spacing w:before="0" w:after="0" w:line="240" w:lineRule="auto"/>
            </w:pPr>
            <w:r>
              <w:rPr>
                <w:sz w:val="20"/>
                <w:szCs w:val="20"/>
              </w:rPr>
              <w:t>−8.91</w:t>
            </w:r>
          </w:p>
        </w:tc>
        <w:tc>
          <w:tcPr>
            <w:tcW w:w="1170" w:type="dxa"/>
            <w:vAlign w:val="center"/>
          </w:tcPr>
          <w:p>
            <w:pPr>
              <w:pStyle w:val="TableText"/>
              <w:spacing w:before="0" w:after="0" w:line="240" w:lineRule="auto"/>
            </w:pPr>
            <w:r>
              <w:rPr>
                <w:sz w:val="20"/>
                <w:szCs w:val="20"/>
              </w:rPr>
              <w:t>0.08</w:t>
            </w:r>
          </w:p>
        </w:tc>
      </w:tr>
      <w:tr>
        <w:tc>
          <w:tcPr>
            <w:tcW w:w="1170" w:type="dxa"/>
            <w:vAlign w:val="center"/>
          </w:tcPr>
          <w:p>
            <w:pPr>
              <w:pStyle w:val="TableText"/>
              <w:spacing w:before="0" w:after="0" w:line="240" w:lineRule="auto"/>
            </w:pPr>
            <w:r>
              <w:rPr>
                <w:sz w:val="20"/>
                <w:szCs w:val="20"/>
              </w:rPr>
              <w:t>10</w:t>
            </w:r>
          </w:p>
        </w:tc>
        <w:tc>
          <w:tcPr>
            <w:tcW w:w="1170" w:type="dxa"/>
            <w:vAlign w:val="center"/>
          </w:tcPr>
          <w:p>
            <w:pPr>
              <w:pStyle w:val="TableText"/>
              <w:spacing w:before="0" w:after="0" w:line="240" w:lineRule="auto"/>
            </w:pPr>
            <w:r>
              <w:rPr>
                <w:sz w:val="20"/>
                <w:szCs w:val="20"/>
              </w:rPr>
              <w:t>HLLTLKKHV</w:t>
            </w:r>
          </w:p>
        </w:tc>
        <w:tc>
          <w:tcPr>
            <w:tcW w:w="1170" w:type="dxa"/>
            <w:vAlign w:val="center"/>
          </w:tcPr>
          <w:p>
            <w:pPr>
              <w:pStyle w:val="TableText"/>
              <w:spacing w:before="0" w:after="0" w:line="240" w:lineRule="auto"/>
            </w:pPr>
            <w:r>
              <w:rPr>
                <w:sz w:val="20"/>
                <w:szCs w:val="20"/>
              </w:rPr>
              <w:t>9</w:t>
            </w:r>
          </w:p>
        </w:tc>
        <w:tc>
          <w:tcPr>
            <w:tcW w:w="1170" w:type="dxa"/>
            <w:vAlign w:val="center"/>
          </w:tcPr>
          <w:p>
            <w:pPr>
              <w:pStyle w:val="TableText"/>
              <w:spacing w:before="0" w:after="0" w:line="240" w:lineRule="auto"/>
            </w:pPr>
            <w:r>
              <w:rPr>
                <w:sz w:val="20"/>
                <w:szCs w:val="20"/>
              </w:rPr>
              <w:t>2</w:t>
            </w:r>
          </w:p>
        </w:tc>
        <w:tc>
          <w:tcPr>
            <w:tcW w:w="1170" w:type="dxa"/>
            <w:vAlign w:val="center"/>
          </w:tcPr>
          <w:p>
            <w:pPr>
              <w:pStyle w:val="TableText"/>
              <w:spacing w:before="0" w:after="0" w:line="240" w:lineRule="auto"/>
            </w:pPr>
            <w:r>
              <w:rPr>
                <w:sz w:val="20"/>
                <w:szCs w:val="20"/>
              </w:rPr>
              <w:t>0</w:t>
            </w:r>
          </w:p>
        </w:tc>
        <w:tc>
          <w:tcPr>
            <w:tcW w:w="1170" w:type="dxa"/>
            <w:vAlign w:val="center"/>
          </w:tcPr>
          <w:p>
            <w:pPr>
              <w:pStyle w:val="TableText"/>
              <w:spacing w:before="0" w:after="0" w:line="240" w:lineRule="auto"/>
            </w:pPr>
            <w:r>
              <w:rPr>
                <w:sz w:val="20"/>
                <w:szCs w:val="20"/>
              </w:rPr>
              <w:t>2</w:t>
            </w:r>
          </w:p>
        </w:tc>
        <w:tc>
          <w:tcPr>
            <w:tcW w:w="1170" w:type="dxa"/>
            <w:vAlign w:val="center"/>
          </w:tcPr>
          <w:p>
            <w:pPr>
              <w:pStyle w:val="TableText"/>
              <w:spacing w:before="0" w:after="0" w:line="240" w:lineRule="auto"/>
            </w:pPr>
            <w:r>
              <w:rPr>
                <w:sz w:val="20"/>
                <w:szCs w:val="20"/>
              </w:rPr>
              <w:t>−8.88</w:t>
            </w:r>
          </w:p>
        </w:tc>
        <w:tc>
          <w:tcPr>
            <w:tcW w:w="1170" w:type="dxa"/>
            <w:vAlign w:val="center"/>
          </w:tcPr>
          <w:p>
            <w:pPr>
              <w:pStyle w:val="TableText"/>
              <w:spacing w:before="0" w:after="0" w:line="240" w:lineRule="auto"/>
            </w:pPr>
            <w:r>
              <w:rPr>
                <w:sz w:val="20"/>
                <w:szCs w:val="20"/>
              </w:rPr>
              <w:t>0.05</w:t>
            </w:r>
          </w:p>
        </w:tc>
      </w:tr>
      <w:tr>
        <w:tc>
          <w:tcPr>
            <w:tcW w:w="1170" w:type="dxa"/>
            <w:vAlign w:val="center"/>
          </w:tcPr>
          <w:p>
            <w:pPr>
              <w:pStyle w:val="TableText"/>
              <w:spacing w:before="0" w:after="0" w:line="240" w:lineRule="auto"/>
            </w:pPr>
            <w:r>
              <w:rPr>
                <w:sz w:val="20"/>
                <w:szCs w:val="20"/>
              </w:rPr>
              <w:t>11</w:t>
            </w:r>
          </w:p>
        </w:tc>
        <w:tc>
          <w:tcPr>
            <w:tcW w:w="1170" w:type="dxa"/>
            <w:vAlign w:val="center"/>
          </w:tcPr>
          <w:p>
            <w:pPr>
              <w:pStyle w:val="TableText"/>
              <w:spacing w:before="0" w:after="0" w:line="240" w:lineRule="auto"/>
            </w:pPr>
            <w:r>
              <w:rPr>
                <w:sz w:val="20"/>
                <w:szCs w:val="20"/>
              </w:rPr>
              <w:t>HLPLLHRCC</w:t>
            </w:r>
          </w:p>
        </w:tc>
        <w:tc>
          <w:tcPr>
            <w:tcW w:w="1170" w:type="dxa"/>
            <w:vAlign w:val="center"/>
          </w:tcPr>
          <w:p>
            <w:pPr>
              <w:pStyle w:val="TableText"/>
              <w:spacing w:before="0" w:after="0" w:line="240" w:lineRule="auto"/>
            </w:pPr>
            <w:r>
              <w:rPr>
                <w:sz w:val="20"/>
                <w:szCs w:val="20"/>
              </w:rPr>
              <w:t>9</w:t>
            </w:r>
          </w:p>
        </w:tc>
        <w:tc>
          <w:tcPr>
            <w:tcW w:w="1170" w:type="dxa"/>
            <w:vAlign w:val="center"/>
          </w:tcPr>
          <w:p>
            <w:pPr>
              <w:pStyle w:val="TableText"/>
              <w:spacing w:before="0" w:after="0" w:line="240" w:lineRule="auto"/>
            </w:pPr>
            <w:r>
              <w:rPr>
                <w:sz w:val="20"/>
                <w:szCs w:val="20"/>
              </w:rPr>
              <w:t>1</w:t>
            </w:r>
          </w:p>
        </w:tc>
        <w:tc>
          <w:tcPr>
            <w:tcW w:w="1170" w:type="dxa"/>
            <w:vAlign w:val="center"/>
          </w:tcPr>
          <w:p>
            <w:pPr>
              <w:pStyle w:val="TableText"/>
              <w:spacing w:before="0" w:after="0" w:line="240" w:lineRule="auto"/>
            </w:pPr>
            <w:r>
              <w:rPr>
                <w:sz w:val="20"/>
                <w:szCs w:val="20"/>
              </w:rPr>
              <w:t>2</w:t>
            </w:r>
          </w:p>
        </w:tc>
        <w:tc>
          <w:tcPr>
            <w:tcW w:w="1170" w:type="dxa"/>
            <w:vAlign w:val="center"/>
          </w:tcPr>
          <w:p>
            <w:pPr>
              <w:pStyle w:val="TableText"/>
              <w:spacing w:before="0" w:after="0" w:line="240" w:lineRule="auto"/>
            </w:pPr>
            <w:r>
              <w:rPr>
                <w:sz w:val="20"/>
                <w:szCs w:val="20"/>
              </w:rPr>
              <w:t>1</w:t>
            </w:r>
          </w:p>
        </w:tc>
        <w:tc>
          <w:tcPr>
            <w:tcW w:w="1170" w:type="dxa"/>
            <w:vAlign w:val="center"/>
          </w:tcPr>
          <w:p>
            <w:pPr>
              <w:pStyle w:val="TableText"/>
              <w:spacing w:before="0" w:after="0" w:line="240" w:lineRule="auto"/>
            </w:pPr>
            <w:r>
              <w:rPr>
                <w:sz w:val="20"/>
                <w:szCs w:val="20"/>
              </w:rPr>
              <w:t>−8.35</w:t>
            </w:r>
          </w:p>
        </w:tc>
        <w:tc>
          <w:tcPr>
            <w:tcW w:w="1170" w:type="dxa"/>
            <w:vAlign w:val="center"/>
          </w:tcPr>
          <w:p>
            <w:pPr>
              <w:pStyle w:val="TableText"/>
              <w:spacing w:before="0" w:after="0" w:line="240" w:lineRule="auto"/>
            </w:pPr>
            <w:r>
              <w:rPr>
                <w:sz w:val="20"/>
                <w:szCs w:val="20"/>
              </w:rPr>
              <w:t>0.12</w:t>
            </w:r>
          </w:p>
        </w:tc>
      </w:tr>
      <w:tr>
        <w:tc>
          <w:tcPr>
            <w:tcW w:w="1170" w:type="dxa"/>
            <w:vAlign w:val="center"/>
          </w:tcPr>
          <w:p>
            <w:pPr>
              <w:pStyle w:val="TableText"/>
              <w:spacing w:before="0" w:after="0" w:line="240" w:lineRule="auto"/>
            </w:pPr>
            <w:r>
              <w:rPr>
                <w:sz w:val="20"/>
                <w:szCs w:val="20"/>
              </w:rPr>
              <w:t>12</w:t>
            </w:r>
          </w:p>
        </w:tc>
        <w:tc>
          <w:tcPr>
            <w:tcW w:w="1170" w:type="dxa"/>
            <w:vAlign w:val="center"/>
          </w:tcPr>
          <w:p>
            <w:pPr>
              <w:pStyle w:val="TableText"/>
              <w:spacing w:before="0" w:after="0" w:line="240" w:lineRule="auto"/>
            </w:pPr>
            <w:r>
              <w:rPr>
                <w:sz w:val="20"/>
                <w:szCs w:val="20"/>
              </w:rPr>
              <w:t>HVLLLRQCA</w:t>
            </w:r>
          </w:p>
        </w:tc>
        <w:tc>
          <w:tcPr>
            <w:tcW w:w="1170" w:type="dxa"/>
            <w:vAlign w:val="center"/>
          </w:tcPr>
          <w:p>
            <w:pPr>
              <w:pStyle w:val="TableText"/>
              <w:spacing w:before="0" w:after="0" w:line="240" w:lineRule="auto"/>
            </w:pPr>
            <w:r>
              <w:rPr>
                <w:sz w:val="20"/>
                <w:szCs w:val="20"/>
              </w:rPr>
              <w:t>9</w:t>
            </w:r>
          </w:p>
        </w:tc>
        <w:tc>
          <w:tcPr>
            <w:tcW w:w="1170" w:type="dxa"/>
            <w:vAlign w:val="center"/>
          </w:tcPr>
          <w:p>
            <w:pPr>
              <w:pStyle w:val="TableText"/>
              <w:spacing w:before="0" w:after="0" w:line="240" w:lineRule="auto"/>
            </w:pPr>
            <w:r>
              <w:rPr>
                <w:sz w:val="20"/>
                <w:szCs w:val="20"/>
              </w:rPr>
              <w:t>1</w:t>
            </w:r>
          </w:p>
        </w:tc>
        <w:tc>
          <w:tcPr>
            <w:tcW w:w="1170" w:type="dxa"/>
            <w:vAlign w:val="center"/>
          </w:tcPr>
          <w:p>
            <w:pPr>
              <w:pStyle w:val="TableText"/>
              <w:spacing w:before="0" w:after="0" w:line="240" w:lineRule="auto"/>
            </w:pPr>
            <w:r>
              <w:rPr>
                <w:sz w:val="20"/>
                <w:szCs w:val="20"/>
              </w:rPr>
              <w:t>1</w:t>
            </w:r>
          </w:p>
        </w:tc>
        <w:tc>
          <w:tcPr>
            <w:tcW w:w="1170" w:type="dxa"/>
            <w:vAlign w:val="center"/>
          </w:tcPr>
          <w:p>
            <w:pPr>
              <w:pStyle w:val="TableText"/>
              <w:spacing w:before="0" w:after="0" w:line="240" w:lineRule="auto"/>
            </w:pPr>
            <w:r>
              <w:rPr>
                <w:sz w:val="20"/>
                <w:szCs w:val="20"/>
              </w:rPr>
              <w:t>1</w:t>
            </w:r>
          </w:p>
        </w:tc>
        <w:tc>
          <w:tcPr>
            <w:tcW w:w="1170" w:type="dxa"/>
            <w:vAlign w:val="center"/>
          </w:tcPr>
          <w:p>
            <w:pPr>
              <w:pStyle w:val="TableText"/>
              <w:spacing w:before="0" w:after="0" w:line="240" w:lineRule="auto"/>
            </w:pPr>
            <w:r>
              <w:rPr>
                <w:sz w:val="20"/>
                <w:szCs w:val="20"/>
              </w:rPr>
              <w:t>−8.25</w:t>
            </w:r>
          </w:p>
        </w:tc>
        <w:tc>
          <w:tcPr>
            <w:tcW w:w="1170" w:type="dxa"/>
            <w:vAlign w:val="center"/>
          </w:tcPr>
          <w:p>
            <w:pPr>
              <w:pStyle w:val="TableText"/>
              <w:spacing w:before="0" w:after="0" w:line="240" w:lineRule="auto"/>
            </w:pPr>
            <w:r>
              <w:rPr>
                <w:sz w:val="20"/>
                <w:szCs w:val="20"/>
              </w:rPr>
              <w:t>0.09</w:t>
            </w:r>
          </w:p>
        </w:tc>
      </w:tr>
    </w:tbl>
    <w:p>
      <w:pPr>
        <w:spacing w:after="40"/>
      </w:pPr>
    </w:p>
    <w:p>
      <w:pPr>
        <w:pStyle w:val="Heading2"/>
        <w:keepNext/>
      </w:pPr>
      <w:r>
        <w:t>讨论</w:t>
      </w:r>
    </w:p>
    <w:p>
      <w:pPr>
        <w:pStyle w:val="Heading3"/>
        <w:keepNext/>
      </w:pPr>
      <w:r>
        <w:t>主要发现</w:t>
      </w:r>
    </w:p>
    <w:p>
      <w:pPr>
        <w:pStyle w:val="BodyText"/>
      </w:pPr>
      <w:r>
        <w:t>本研究重建一条计算漏斗，把数百万条smORF候选缩减为12条主集合和8条严格子集的汇总终点，同时表征另一份12条明确序列并保留现有AChE对接表的评分顺序。主要科学贡献不是验证牙周炎—AD机制，而是形成边界清楚的候选集、明确模型适用性限制，并为恢复缺失的序列层面和实验依据提供有序路径。</w:t>
      </w:r>
    </w:p>
    <w:p>
      <w:pPr>
        <w:pStyle w:val="Heading3"/>
        <w:keepNext/>
      </w:pPr>
      <w:r>
        <w:t>模型级联的解释</w:t>
      </w:r>
    </w:p>
    <w:p>
      <w:pPr>
        <w:pStyle w:val="BodyText"/>
      </w:pPr>
      <w:r>
        <w:t>该级联整合现代神经网络架构，但不能视为多次独立确认。UniDL4BioPep和NTxPred2均使用蛋白质语言模型表示，而mebipred和AnOxPePred包含组成衍生信息，相关序列特征可能沿连续筛选传播。不同训练集在终点定义、序列长度、去冗余、类别平衡和阴性集构建上也存在差异。对于富亮氨酸、带正电且仅7–9 aa的微生物组肽，这些问题尤为重要，因为候选可能偏离训练分布。</w:t>
      </w:r>
    </w:p>
    <w:p>
      <w:pPr>
        <w:pStyle w:val="BodyText"/>
      </w:pPr>
      <w:r>
        <w:t>接近饱和的抗菌输出提供内部校准警示。它不否定所有排序，但表明共同概率阈值在不同任务中可能具有完全不同的意义。因此，“BBB高分”“神经毒性阳性”“金属结合阳性”、CHEL和FRS都只是操作性模型标签，并不等同于转运、神经元损伤、结合常数、配位几何或氧化还原活性。</w:t>
      </w:r>
    </w:p>
    <w:p>
      <w:pPr>
        <w:pStyle w:val="BodyText"/>
      </w:pPr>
      <w:r>
        <w:t>这一界定符合当前微生物组肽发现标准。计算挖掘能够有效缩小序列空间，但只有经过候选合成和受控功能实验后，计算候选才能转化为生物学发现</w:t>
      </w:r>
      <w:r>
        <w:t>[37]</w:t>
      </w:r>
      <w:r>
        <w:t>。可靠的候选矩阵应把每条序列连接到基因组坐标、组装、样本、临床标签、分类学归属、肽谱证据、每项预测评分与适用性标记以及最终集合成员。没有这种结构，就不能把两个库相近的汇总保留率解释为富集或减少，也不能把牙周炎标签赋予单条肽。</w:t>
      </w:r>
    </w:p>
    <w:p>
      <w:pPr>
        <w:pStyle w:val="Heading3"/>
        <w:keepNext/>
      </w:pPr>
      <w:r>
        <w:t>AChE、金属与肽结构假设</w:t>
      </w:r>
    </w:p>
    <w:p>
      <w:pPr>
        <w:pStyle w:val="BodyText"/>
      </w:pPr>
      <w:r>
        <w:t>AChE外周区域可影响Aβ组装，因此具有生物学相关性，但这一背景不能把对接评分转化为靶点结合。柔性肽具有多种可达构象，质子化、末端状态、受体柔性、初始结构和搜索设置均可能改变排序。独立重现应包含制备后的受体和配体文件、多种起始构象、明确随机种子、全部原始分数与构象，以及FlexPepDock等肽特异性柔性精修</w:t>
      </w:r>
      <w:r>
        <w:t>[38]</w:t>
      </w:r>
      <w:r>
        <w:t>。正在进行的比较性MD扩展可从记录完整的起始复合物评价接触持续性和构象行为，而不能替代不确定的对接制备。MD应分别报告受体拟合和肽自拟合运动，明确周期性边界处理，保存起始结构与拓扑，采用独立种子，并评价重复间收敛。已发表AChE–Aβ轨迹可作为方法学参照，但其中的肽驻留区域和接触不能迁移到本研究的7–9残基候选</w:t>
      </w:r>
      <w:r>
        <w:t>[36]</w:t>
      </w:r>
      <w:r>
        <w:t>。</w:t>
      </w:r>
    </w:p>
    <w:p>
      <w:pPr>
        <w:pStyle w:val="BodyText"/>
      </w:pPr>
      <w:r>
        <w:t>组氨酸和半胱氨酸富集提供潜在金属配位基团。金属稳态失衡与Aβ聚集、氧化还原化学、脂质过氧化和神经元损伤相交，但这些通路构成网络，而不是单一笼统的“金属结合”终点</w:t>
      </w:r>
      <w:r>
        <w:t>[39]</w:t>
      </w:r>
      <w:r>
        <w:t>。元素组学视角也强调金属种类、区室、氧化态、配体环境和浓度</w:t>
      </w:r>
      <w:r>
        <w:t>[40]</w:t>
      </w:r>
      <w:r>
        <w:t>。序列组成不能确定亲和力、化学计量、离子选择性、配位几何、氧化态或氧化还原后果。直接测量应在受控pH和化学计量下比较Cu(II)、Fe(II/III)和Zn(II)，并包括光谱、热力学、活性氧及脂质过氧化终点。需要设置仅肽、仅金属、打乱序列、组成匹配及明确阳性和阴性对照。</w:t>
      </w:r>
    </w:p>
    <w:p>
      <w:pPr>
        <w:pStyle w:val="Heading3"/>
        <w:keepNext/>
      </w:pPr>
      <w:r>
        <w:t>牙周与AD解释</w:t>
      </w:r>
    </w:p>
    <w:p>
      <w:pPr>
        <w:pStyle w:val="BodyText"/>
      </w:pPr>
      <w:r>
        <w:t>牙周背景仍属于假设生成。人体关联可能受到年龄、吸烟、糖尿病、用药、衰弱、社会经济因素、口腔护理可及性和反向因果影响。</w:t>
      </w:r>
      <w:r>
        <w:rPr>
          <w:i/>
        </w:rPr>
        <w:t>P. gingivalis</w:t>
      </w:r>
      <w:r>
        <w:t>实验系统在规定剂量和暴露路径下证明若干可能性，但不能转移到缺少追溯关系的群落肽。当前标签不能证明任何序列具有牙周炎特异性、由</w:t>
      </w:r>
      <w:r>
        <w:rPr>
          <w:i/>
        </w:rPr>
        <w:t>P. gingivalis</w:t>
      </w:r>
      <w:r>
        <w:t>编码、在来源口腔群落中表达、进入循环或到达脑组织。</w:t>
      </w:r>
    </w:p>
    <w:p>
      <w:pPr>
        <w:pStyle w:val="BodyText"/>
      </w:pPr>
      <w:r>
        <w:t>可信的分子链需要序列到contig或组装的映射、样本和临床分组、分类学解析、队列匹配的转录或翻译证据、系统暴露、BBB转运以及可重复的靶点或细胞表型。每一步回答不同问题，不能通过累积更多计算评分来替代。</w:t>
      </w:r>
    </w:p>
    <w:p>
      <w:pPr>
        <w:pStyle w:val="Heading3"/>
        <w:keepNext/>
      </w:pPr>
      <w:r>
        <w:t>验证优先级与局限</w:t>
      </w:r>
    </w:p>
    <w:p>
      <w:pPr>
        <w:pStyle w:val="BodyText"/>
      </w:pPr>
      <w:r>
        <w:t>首要任务是恢复候选层面数据表，将序列、稳定标识符、基因组坐标、组装、样本、分组、分类学、肽谱证据、每个预测器评分与适用性标记、CHEL/FRS值、主/严格集合成员及对接配体身份连接起来。这将解决12条明确序列是否对应汇总终点，并确定严格8条子集。</w:t>
      </w:r>
    </w:p>
    <w:p>
      <w:pPr>
        <w:pStyle w:val="BodyText"/>
      </w:pPr>
      <w:r>
        <w:t>固定版本计算重现后，合成肽应依次接受身份、纯度、溶解性、聚集和血清/蛋白酶稳定性检验。BBB转运与细胞毒性应分别采用浓度—反应设计和非神经元对照。随后在预设条件下评价金属化学、AChE/BChE活性、直接结合及Aβ聚集。正在进行的MD扩展将在质量控制后提供轨迹稳定性和接触指标；只有分子身份、暴露、可重复生化活性和生物学重复表型均成立时，才适合进入疾病模型。</w:t>
      </w:r>
    </w:p>
    <w:p>
      <w:pPr>
        <w:pStyle w:val="BodyText"/>
      </w:pPr>
      <w:r>
        <w:t>另一项关键流程局限是BBB优选后的长度依赖性流失。尽管牙周炎标记分支中有72条经宏蛋白质组支持并去重的长肽达到BBB高分，但923条NTxPred2阳性序列全部≤30 aa；因此，后续金属结合及CHEL/FRS网页预测级联没有保留任何长肽，最终汇总的12条候选只包含短肽。这一结果不能证明长肽在生物学上缺乏神经毒性或金属相关活性；它可能反映串行阈值、模型适用性或校准以及网页预测器实现方式。缺少候选层面评分时，无法区分这些解释。</w:t>
      </w:r>
    </w:p>
    <w:p>
      <w:pPr>
        <w:pStyle w:val="BodyText"/>
      </w:pPr>
      <w:r>
        <w:t>决定性局限包括缺少漏斗逐行数据、12与8终点成员未解决、缺少原始对接输入和构象、MD轨迹分析仍在进行，以及缺少生物学测量。健康标记与牙周炎标记库相近的汇总保留率不能支持疾病富集，因为适当推断单位应是参与者或样本。这些限制将当前研究限定为计算优选与验证规划。</w:t>
      </w:r>
    </w:p>
    <w:p>
      <w:pPr>
        <w:pStyle w:val="Heading2"/>
        <w:keepNext/>
      </w:pPr>
      <w:r>
        <w:t>参考文献</w:t>
      </w:r>
    </w:p>
    <w:p>
      <w:pPr>
        <w:pStyle w:val="Reference"/>
        <w:ind w:left="360" w:hanging="360"/>
      </w:pPr>
      <w:r>
        <w:rPr>
          <w:sz w:val="24"/>
          <w:szCs w:val="24"/>
        </w:rPr>
        <w:t xml:space="preserve">1. Scheltens P, De Strooper B, Kivipelto M, et al. Alzheimer’s disease. </w:t>
      </w:r>
      <w:r>
        <w:rPr>
          <w:i/>
          <w:sz w:val="24"/>
          <w:szCs w:val="24"/>
        </w:rPr>
        <w:t>Lancet</w:t>
      </w:r>
      <w:r>
        <w:rPr>
          <w:sz w:val="24"/>
          <w:szCs w:val="24"/>
        </w:rPr>
        <w:t>. 2021;397(10284):1577–1590. doi:10.1016/S0140-6736(20)32205-4.</w:t>
      </w:r>
    </w:p>
    <w:p>
      <w:pPr>
        <w:pStyle w:val="Reference"/>
        <w:ind w:left="360" w:hanging="360"/>
      </w:pPr>
      <w:r>
        <w:rPr>
          <w:sz w:val="24"/>
          <w:szCs w:val="24"/>
        </w:rPr>
        <w:t xml:space="preserve">2. Selkoe DJ, Hardy J. The amyloid hypothesis of Alzheimer’s disease at 25 years. </w:t>
      </w:r>
      <w:r>
        <w:rPr>
          <w:i/>
          <w:sz w:val="24"/>
          <w:szCs w:val="24"/>
        </w:rPr>
        <w:t>EMBO Mol Med</w:t>
      </w:r>
      <w:r>
        <w:rPr>
          <w:sz w:val="24"/>
          <w:szCs w:val="24"/>
        </w:rPr>
        <w:t>. 2016;8(6):595–608. doi:10.15252/emmm.201606210.</w:t>
      </w:r>
    </w:p>
    <w:p>
      <w:pPr>
        <w:pStyle w:val="Reference"/>
        <w:ind w:left="360" w:hanging="360"/>
      </w:pPr>
      <w:r>
        <w:rPr>
          <w:sz w:val="24"/>
          <w:szCs w:val="24"/>
        </w:rPr>
        <w:t xml:space="preserve">3. Hampel H, Mesulam MM, Cuello AC, et al. The cholinergic system in the pathophysiology and treatment of Alzheimer’s disease. </w:t>
      </w:r>
      <w:r>
        <w:rPr>
          <w:i/>
          <w:sz w:val="24"/>
          <w:szCs w:val="24"/>
        </w:rPr>
        <w:t>Brain</w:t>
      </w:r>
      <w:r>
        <w:rPr>
          <w:sz w:val="24"/>
          <w:szCs w:val="24"/>
        </w:rPr>
        <w:t>. 2018;141(7):1917–1933. doi:10.1093/brain/awy132.</w:t>
      </w:r>
    </w:p>
    <w:p>
      <w:pPr>
        <w:pStyle w:val="Reference"/>
        <w:ind w:left="360" w:hanging="360"/>
      </w:pPr>
      <w:r>
        <w:rPr>
          <w:sz w:val="24"/>
          <w:szCs w:val="24"/>
        </w:rPr>
        <w:t xml:space="preserve">4. Inestrosa NC, Alvarez A, Pérez CA, et al. Acetylcholinesterase accelerates assembly of amyloid-β-peptides into Alzheimer’s fibrils. </w:t>
      </w:r>
      <w:r>
        <w:rPr>
          <w:i/>
          <w:sz w:val="24"/>
          <w:szCs w:val="24"/>
        </w:rPr>
        <w:t>Neuron</w:t>
      </w:r>
      <w:r>
        <w:rPr>
          <w:sz w:val="24"/>
          <w:szCs w:val="24"/>
        </w:rPr>
        <w:t>. 1996;16(4):881–891. doi:10.1016/s0896-6273(00)80108-7.</w:t>
      </w:r>
    </w:p>
    <w:p>
      <w:pPr>
        <w:pStyle w:val="Reference"/>
        <w:ind w:left="360" w:hanging="360"/>
      </w:pPr>
      <w:r>
        <w:rPr>
          <w:sz w:val="24"/>
          <w:szCs w:val="24"/>
        </w:rPr>
        <w:t xml:space="preserve">5. Chalmers JC, Hernandez-Kapila YL. The role of the oral microbiome, host response, and periodontal disease treatment in Alzheimer’s disease: a primer. </w:t>
      </w:r>
      <w:r>
        <w:rPr>
          <w:i/>
          <w:sz w:val="24"/>
          <w:szCs w:val="24"/>
        </w:rPr>
        <w:t>Periodontol 2000</w:t>
      </w:r>
      <w:r>
        <w:rPr>
          <w:sz w:val="24"/>
          <w:szCs w:val="24"/>
        </w:rPr>
        <w:t>. 2025;98(1):220–227. doi:10.1111/prd.12631.</w:t>
      </w:r>
    </w:p>
    <w:p>
      <w:pPr>
        <w:pStyle w:val="Reference"/>
        <w:ind w:left="360" w:hanging="360"/>
      </w:pPr>
      <w:r>
        <w:rPr>
          <w:sz w:val="24"/>
          <w:szCs w:val="24"/>
        </w:rPr>
        <w:t xml:space="preserve">6. Belstrøm D, Constancias F, Drautz-Moses DI, et al. Periodontitis associates with species-specific gene expression of the oral microbiota. </w:t>
      </w:r>
      <w:r>
        <w:rPr>
          <w:i/>
          <w:sz w:val="24"/>
          <w:szCs w:val="24"/>
        </w:rPr>
        <w:t>npj Biofilms Microbiomes</w:t>
      </w:r>
      <w:r>
        <w:rPr>
          <w:sz w:val="24"/>
          <w:szCs w:val="24"/>
        </w:rPr>
        <w:t>. 2021;7:76. doi:10.1038/s41522-021-00247-y.</w:t>
      </w:r>
    </w:p>
    <w:p>
      <w:pPr>
        <w:pStyle w:val="Reference"/>
        <w:ind w:left="360" w:hanging="360"/>
      </w:pPr>
      <w:r>
        <w:rPr>
          <w:sz w:val="24"/>
          <w:szCs w:val="24"/>
        </w:rPr>
        <w:t xml:space="preserve">7. Ovsepian A, Kardaras FS, Skoulakis A, Hatzigeorgiou AG. Microbial signatures in human periodontal disease: a metatranscriptome meta-analysis. </w:t>
      </w:r>
      <w:r>
        <w:rPr>
          <w:i/>
          <w:sz w:val="24"/>
          <w:szCs w:val="24"/>
        </w:rPr>
        <w:t>Front Microbiol</w:t>
      </w:r>
      <w:r>
        <w:rPr>
          <w:sz w:val="24"/>
          <w:szCs w:val="24"/>
        </w:rPr>
        <w:t>. 2024;15:1383404. doi:10.3389/fmicb.2024.1383404.</w:t>
      </w:r>
    </w:p>
    <w:p>
      <w:pPr>
        <w:pStyle w:val="Reference"/>
        <w:ind w:left="360" w:hanging="360"/>
      </w:pPr>
      <w:r>
        <w:rPr>
          <w:sz w:val="24"/>
          <w:szCs w:val="24"/>
        </w:rPr>
        <w:t xml:space="preserve">8. Guo Y, Nguyen KA, Potempa J. Dichotomy of gingipains action as virulence factors. </w:t>
      </w:r>
      <w:r>
        <w:rPr>
          <w:i/>
          <w:sz w:val="24"/>
          <w:szCs w:val="24"/>
        </w:rPr>
        <w:t>Periodontol 2000</w:t>
      </w:r>
      <w:r>
        <w:rPr>
          <w:sz w:val="24"/>
          <w:szCs w:val="24"/>
        </w:rPr>
        <w:t>. 2010;54(1):15–44. doi:10.1111/j.1600-0757.2010.00377.x.</w:t>
      </w:r>
    </w:p>
    <w:p>
      <w:pPr>
        <w:pStyle w:val="Reference"/>
        <w:ind w:left="360" w:hanging="360"/>
      </w:pPr>
      <w:r>
        <w:rPr>
          <w:sz w:val="24"/>
          <w:szCs w:val="24"/>
        </w:rPr>
        <w:t xml:space="preserve">9. Ho MH, Chen CH, Goodwin JS, et al. Functional advantages of </w:t>
      </w:r>
      <w:r>
        <w:rPr>
          <w:i/>
          <w:sz w:val="24"/>
          <w:szCs w:val="24"/>
        </w:rPr>
        <w:t>Porphyromonas gingivalis</w:t>
      </w:r>
      <w:r>
        <w:rPr>
          <w:sz w:val="24"/>
          <w:szCs w:val="24"/>
        </w:rPr>
        <w:t xml:space="preserve"> vesicles. </w:t>
      </w:r>
      <w:r>
        <w:rPr>
          <w:i/>
          <w:sz w:val="24"/>
          <w:szCs w:val="24"/>
        </w:rPr>
        <w:t>PLoS One</w:t>
      </w:r>
      <w:r>
        <w:rPr>
          <w:sz w:val="24"/>
          <w:szCs w:val="24"/>
        </w:rPr>
        <w:t>. 2015;10(4):e0123448. doi:10.1371/journal.pone.0123448.</w:t>
      </w:r>
    </w:p>
    <w:p>
      <w:pPr>
        <w:pStyle w:val="Reference"/>
        <w:ind w:left="360" w:hanging="360"/>
      </w:pPr>
      <w:r>
        <w:rPr>
          <w:sz w:val="24"/>
          <w:szCs w:val="24"/>
        </w:rPr>
        <w:t xml:space="preserve">10. Larvin H, Gao C, Kang J, et al. The impact of study factors in the association of periodontal disease and cognitive disorders. </w:t>
      </w:r>
      <w:r>
        <w:rPr>
          <w:i/>
          <w:sz w:val="24"/>
          <w:szCs w:val="24"/>
        </w:rPr>
        <w:t>Age Ageing</w:t>
      </w:r>
      <w:r>
        <w:rPr>
          <w:sz w:val="24"/>
          <w:szCs w:val="24"/>
        </w:rPr>
        <w:t>. 2023;52(2):afad015. doi:10.1093/ageing/afad015.</w:t>
      </w:r>
    </w:p>
    <w:p>
      <w:pPr>
        <w:pStyle w:val="Reference"/>
        <w:ind w:left="360" w:hanging="360"/>
      </w:pPr>
      <w:r>
        <w:rPr>
          <w:sz w:val="24"/>
          <w:szCs w:val="24"/>
        </w:rPr>
        <w:t xml:space="preserve">11. Ide M, Harris M, Stevens A, et al. Periodontitis and cognitive decline in Alzheimer’s disease. </w:t>
      </w:r>
      <w:r>
        <w:rPr>
          <w:i/>
          <w:sz w:val="24"/>
          <w:szCs w:val="24"/>
        </w:rPr>
        <w:t>PLoS One</w:t>
      </w:r>
      <w:r>
        <w:rPr>
          <w:sz w:val="24"/>
          <w:szCs w:val="24"/>
        </w:rPr>
        <w:t>. 2016;11(3):e0151081. doi:10.1371/journal.pone.0151081.</w:t>
      </w:r>
    </w:p>
    <w:p>
      <w:pPr>
        <w:pStyle w:val="Reference"/>
        <w:ind w:left="360" w:hanging="360"/>
      </w:pPr>
      <w:r>
        <w:rPr>
          <w:sz w:val="24"/>
          <w:szCs w:val="24"/>
        </w:rPr>
        <w:t xml:space="preserve">12. Dominy SS, Lynch C, Ermini F, et al. </w:t>
      </w:r>
      <w:r>
        <w:rPr>
          <w:i/>
          <w:sz w:val="24"/>
          <w:szCs w:val="24"/>
        </w:rPr>
        <w:t>Porphyromonas gingivalis</w:t>
      </w:r>
      <w:r>
        <w:rPr>
          <w:sz w:val="24"/>
          <w:szCs w:val="24"/>
        </w:rPr>
        <w:t xml:space="preserve"> in Alzheimer’s disease brains. </w:t>
      </w:r>
      <w:r>
        <w:rPr>
          <w:i/>
          <w:sz w:val="24"/>
          <w:szCs w:val="24"/>
        </w:rPr>
        <w:t>Sci Adv</w:t>
      </w:r>
      <w:r>
        <w:rPr>
          <w:sz w:val="24"/>
          <w:szCs w:val="24"/>
        </w:rPr>
        <w:t>. 2019;5(1):eaau3333. doi:10.1126/sciadv.aau3333.</w:t>
      </w:r>
    </w:p>
    <w:p>
      <w:pPr>
        <w:pStyle w:val="Reference"/>
        <w:ind w:left="360" w:hanging="360"/>
      </w:pPr>
      <w:r>
        <w:rPr>
          <w:sz w:val="24"/>
          <w:szCs w:val="24"/>
        </w:rPr>
        <w:t xml:space="preserve">13. Ilievski V, Zuchowska PK, Green SJ, et al. Chronic oral application of a periodontal pathogen results in brain inflammation, neurodegeneration and amyloid beta production in wild type mice. </w:t>
      </w:r>
      <w:r>
        <w:rPr>
          <w:i/>
          <w:sz w:val="24"/>
          <w:szCs w:val="24"/>
        </w:rPr>
        <w:t>PLoS One</w:t>
      </w:r>
      <w:r>
        <w:rPr>
          <w:sz w:val="24"/>
          <w:szCs w:val="24"/>
        </w:rPr>
        <w:t>. 2018;13(10):e0204941. doi:10.1371/journal.pone.0204941.</w:t>
      </w:r>
    </w:p>
    <w:p>
      <w:pPr>
        <w:pStyle w:val="Reference"/>
        <w:ind w:left="360" w:hanging="360"/>
      </w:pPr>
      <w:r>
        <w:rPr>
          <w:sz w:val="24"/>
          <w:szCs w:val="24"/>
        </w:rPr>
        <w:t xml:space="preserve">14. Nara PL, Sindelar D, Penn MS, et al. </w:t>
      </w:r>
      <w:r>
        <w:rPr>
          <w:i/>
          <w:sz w:val="24"/>
          <w:szCs w:val="24"/>
        </w:rPr>
        <w:t>Porphyromonas gingivalis</w:t>
      </w:r>
      <w:r>
        <w:rPr>
          <w:sz w:val="24"/>
          <w:szCs w:val="24"/>
        </w:rPr>
        <w:t xml:space="preserve"> outer membrane vesicles as the major driver of and explanation for neuropathogenesis. </w:t>
      </w:r>
      <w:r>
        <w:rPr>
          <w:i/>
          <w:sz w:val="24"/>
          <w:szCs w:val="24"/>
        </w:rPr>
        <w:t>J Alzheimers Dis</w:t>
      </w:r>
      <w:r>
        <w:rPr>
          <w:sz w:val="24"/>
          <w:szCs w:val="24"/>
        </w:rPr>
        <w:t>. 2021;82(4):1417–1450. doi:10.3233/JAD-210448.</w:t>
      </w:r>
    </w:p>
    <w:p>
      <w:pPr>
        <w:pStyle w:val="Reference"/>
        <w:ind w:left="360" w:hanging="360"/>
      </w:pPr>
      <w:r>
        <w:rPr>
          <w:sz w:val="24"/>
          <w:szCs w:val="24"/>
        </w:rPr>
        <w:t xml:space="preserve">15. Hu C, Li H, Huang L, et al. Periodontal disease and risk of Alzheimer’s disease: a two-sample Mendelian randomization. </w:t>
      </w:r>
      <w:r>
        <w:rPr>
          <w:i/>
          <w:sz w:val="24"/>
          <w:szCs w:val="24"/>
        </w:rPr>
        <w:t>Brain Behav</w:t>
      </w:r>
      <w:r>
        <w:rPr>
          <w:sz w:val="24"/>
          <w:szCs w:val="24"/>
        </w:rPr>
        <w:t>. 2024;14(4):e3486. doi:10.1002/brb3.3486.</w:t>
      </w:r>
    </w:p>
    <w:p>
      <w:pPr>
        <w:pStyle w:val="Reference"/>
        <w:ind w:left="360" w:hanging="360"/>
      </w:pPr>
      <w:r>
        <w:rPr>
          <w:sz w:val="24"/>
          <w:szCs w:val="24"/>
        </w:rPr>
        <w:t xml:space="preserve">16. Sberro H, Fremin BJ, Zlitni S, et al. Large-scale analyses of human microbiomes reveal thousands of small, novel genes. </w:t>
      </w:r>
      <w:r>
        <w:rPr>
          <w:i/>
          <w:sz w:val="24"/>
          <w:szCs w:val="24"/>
        </w:rPr>
        <w:t>Cell</w:t>
      </w:r>
      <w:r>
        <w:rPr>
          <w:sz w:val="24"/>
          <w:szCs w:val="24"/>
        </w:rPr>
        <w:t>. 2019;178(5):1245–1259.e14. doi:10.1016/j.cell.2019.07.016.</w:t>
      </w:r>
    </w:p>
    <w:p>
      <w:pPr>
        <w:pStyle w:val="Reference"/>
        <w:ind w:left="360" w:hanging="360"/>
      </w:pPr>
      <w:r>
        <w:rPr>
          <w:sz w:val="24"/>
          <w:szCs w:val="24"/>
        </w:rPr>
        <w:t xml:space="preserve">17. Durrant MG, Bhatt AS. Automated prediction and annotation of small open reading frames in microbial genomes. </w:t>
      </w:r>
      <w:r>
        <w:rPr>
          <w:i/>
          <w:sz w:val="24"/>
          <w:szCs w:val="24"/>
        </w:rPr>
        <w:t>Cell Host Microbe</w:t>
      </w:r>
      <w:r>
        <w:rPr>
          <w:sz w:val="24"/>
          <w:szCs w:val="24"/>
        </w:rPr>
        <w:t>. 2021;29(1):121–131.e4. doi:10.1016/j.chom.2020.11.002.</w:t>
      </w:r>
    </w:p>
    <w:p>
      <w:pPr>
        <w:pStyle w:val="Reference"/>
        <w:ind w:left="360" w:hanging="360"/>
      </w:pPr>
      <w:r>
        <w:rPr>
          <w:sz w:val="24"/>
          <w:szCs w:val="24"/>
        </w:rPr>
        <w:t xml:space="preserve">18. Couso JP, Patra P. Short ORFs: finding gems in hidden places. </w:t>
      </w:r>
      <w:r>
        <w:rPr>
          <w:i/>
          <w:sz w:val="24"/>
          <w:szCs w:val="24"/>
        </w:rPr>
        <w:t>Curr Opin Genet Dev</w:t>
      </w:r>
      <w:r>
        <w:rPr>
          <w:sz w:val="24"/>
          <w:szCs w:val="24"/>
        </w:rPr>
        <w:t>. 2017;45:14–21. doi:10.1016/j.gde.2017.04.002.</w:t>
      </w:r>
    </w:p>
    <w:p>
      <w:pPr>
        <w:pStyle w:val="Reference"/>
        <w:ind w:left="360" w:hanging="360"/>
      </w:pPr>
      <w:r>
        <w:rPr>
          <w:sz w:val="24"/>
          <w:szCs w:val="24"/>
        </w:rPr>
        <w:t xml:space="preserve">19. van Heesch S, Wit F, Botter J, et al. The translational landscape of the human heart. </w:t>
      </w:r>
      <w:r>
        <w:rPr>
          <w:i/>
          <w:sz w:val="24"/>
          <w:szCs w:val="24"/>
        </w:rPr>
        <w:t>Cell</w:t>
      </w:r>
      <w:r>
        <w:rPr>
          <w:sz w:val="24"/>
          <w:szCs w:val="24"/>
        </w:rPr>
        <w:t>. 2019;178(1):236–251.e24. doi:10.1016/j.cell.2019.05.010.</w:t>
      </w:r>
    </w:p>
    <w:p>
      <w:pPr>
        <w:pStyle w:val="Reference"/>
        <w:ind w:left="360" w:hanging="360"/>
      </w:pPr>
      <w:r>
        <w:rPr>
          <w:sz w:val="24"/>
          <w:szCs w:val="24"/>
        </w:rPr>
        <w:t xml:space="preserve">20. Chen T, Yu WH, Izard J, et al. The Human Oral Microbiome Database: a web accessible resource for investigating oral microbe taxonomic and genomic information. </w:t>
      </w:r>
      <w:r>
        <w:rPr>
          <w:i/>
          <w:sz w:val="24"/>
          <w:szCs w:val="24"/>
        </w:rPr>
        <w:t>Database (Oxford)</w:t>
      </w:r>
      <w:r>
        <w:rPr>
          <w:sz w:val="24"/>
          <w:szCs w:val="24"/>
        </w:rPr>
        <w:t>. 2010;2010:baq013. doi:10.1093/database/baq013.</w:t>
      </w:r>
    </w:p>
    <w:p>
      <w:pPr>
        <w:pStyle w:val="Reference"/>
        <w:ind w:left="360" w:hanging="360"/>
      </w:pPr>
      <w:r>
        <w:rPr>
          <w:sz w:val="24"/>
          <w:szCs w:val="24"/>
        </w:rPr>
        <w:t xml:space="preserve">21. Belstrøm D, Jersie-Christensen RR, Lyon D, et al. Metaproteomics of saliva identifies human protein markers specific for individuals with periodontitis and dental caries compared to orally healthy controls. </w:t>
      </w:r>
      <w:r>
        <w:rPr>
          <w:i/>
          <w:sz w:val="24"/>
          <w:szCs w:val="24"/>
        </w:rPr>
        <w:t>PeerJ</w:t>
      </w:r>
      <w:r>
        <w:rPr>
          <w:sz w:val="24"/>
          <w:szCs w:val="24"/>
        </w:rPr>
        <w:t>. 2016;4:e2433. doi:10.7717/peerj.2433.</w:t>
      </w:r>
    </w:p>
    <w:p>
      <w:pPr>
        <w:pStyle w:val="Reference"/>
        <w:ind w:left="360" w:hanging="360"/>
      </w:pPr>
      <w:r>
        <w:rPr>
          <w:sz w:val="24"/>
          <w:szCs w:val="24"/>
        </w:rPr>
        <w:t xml:space="preserve">22. Jiang X, Zhang Y, Wang H, et al. In-depth metaproteomics analysis of oral microbiome for lung cancer. </w:t>
      </w:r>
      <w:r>
        <w:rPr>
          <w:i/>
          <w:sz w:val="24"/>
          <w:szCs w:val="24"/>
        </w:rPr>
        <w:t>Research</w:t>
      </w:r>
      <w:r>
        <w:rPr>
          <w:sz w:val="24"/>
          <w:szCs w:val="24"/>
        </w:rPr>
        <w:t>. 2022;2022:9781578. doi:10.34133/2022/9781578.</w:t>
      </w:r>
    </w:p>
    <w:p>
      <w:pPr>
        <w:pStyle w:val="Reference"/>
        <w:ind w:left="360" w:hanging="360"/>
      </w:pPr>
      <w:r>
        <w:rPr>
          <w:sz w:val="24"/>
          <w:szCs w:val="24"/>
        </w:rPr>
        <w:t xml:space="preserve">23. Yuan J, Sun B, Li M, et al. OSaMPle workflow for salivary metaproteomics analysis reveals dysbiosis in inflammatory bowel disease patients. </w:t>
      </w:r>
      <w:r>
        <w:rPr>
          <w:i/>
          <w:sz w:val="24"/>
          <w:szCs w:val="24"/>
        </w:rPr>
        <w:t>npj Biofilms Microbiomes</w:t>
      </w:r>
      <w:r>
        <w:rPr>
          <w:sz w:val="24"/>
          <w:szCs w:val="24"/>
        </w:rPr>
        <w:t>. 2025;11:63. doi:10.1038/s41522-025-00692-z.</w:t>
      </w:r>
    </w:p>
    <w:p>
      <w:pPr>
        <w:pStyle w:val="Reference"/>
        <w:ind w:left="360" w:hanging="360"/>
      </w:pPr>
      <w:r>
        <w:rPr>
          <w:sz w:val="24"/>
          <w:szCs w:val="24"/>
        </w:rPr>
        <w:t xml:space="preserve">24. Du Z, Ding X, Xu Y, Li Y. UniDL4BioPep: a universal deep learning architecture for binary classification in peptide bioactivity. </w:t>
      </w:r>
      <w:r>
        <w:rPr>
          <w:i/>
          <w:sz w:val="24"/>
          <w:szCs w:val="24"/>
        </w:rPr>
        <w:t>Brief Bioinform</w:t>
      </w:r>
      <w:r>
        <w:rPr>
          <w:sz w:val="24"/>
          <w:szCs w:val="24"/>
        </w:rPr>
        <w:t>. 2023;24(3):bbad135. doi:10.1093/bib/bbad135.</w:t>
      </w:r>
    </w:p>
    <w:p>
      <w:pPr>
        <w:pStyle w:val="Reference"/>
        <w:ind w:left="360" w:hanging="360"/>
      </w:pPr>
      <w:r>
        <w:rPr>
          <w:sz w:val="24"/>
          <w:szCs w:val="24"/>
        </w:rPr>
        <w:t xml:space="preserve">25. Gu ZF, Hao YD, Wang TY, et al. Prediction of blood-brain barrier penetrating peptides based on data augmentation with Augur. </w:t>
      </w:r>
      <w:r>
        <w:rPr>
          <w:i/>
          <w:sz w:val="24"/>
          <w:szCs w:val="24"/>
        </w:rPr>
        <w:t>BMC Biol</w:t>
      </w:r>
      <w:r>
        <w:rPr>
          <w:sz w:val="24"/>
          <w:szCs w:val="24"/>
        </w:rPr>
        <w:t>. 2024;22:86. doi:10.1186/s12915-024-01883-4.</w:t>
      </w:r>
    </w:p>
    <w:p>
      <w:pPr>
        <w:pStyle w:val="Reference"/>
        <w:ind w:left="360" w:hanging="360"/>
      </w:pPr>
      <w:r>
        <w:rPr>
          <w:sz w:val="24"/>
          <w:szCs w:val="24"/>
        </w:rPr>
        <w:t xml:space="preserve">26. Rathore AS, Jain S, Choudhury S, Raghava GPS. A large language model for predicting neurotoxic peptides and neurotoxins. </w:t>
      </w:r>
      <w:r>
        <w:rPr>
          <w:i/>
          <w:sz w:val="24"/>
          <w:szCs w:val="24"/>
        </w:rPr>
        <w:t>Protein Sci</w:t>
      </w:r>
      <w:r>
        <w:rPr>
          <w:sz w:val="24"/>
          <w:szCs w:val="24"/>
        </w:rPr>
        <w:t>. 2025;34(8):e70200. doi:10.1002/pro.70200.</w:t>
      </w:r>
    </w:p>
    <w:p>
      <w:pPr>
        <w:pStyle w:val="Reference"/>
        <w:ind w:left="360" w:hanging="360"/>
      </w:pPr>
      <w:r>
        <w:rPr>
          <w:sz w:val="24"/>
          <w:szCs w:val="24"/>
        </w:rPr>
        <w:t xml:space="preserve">27. Aptekmann AA, Buongiorno J, Giovannelli D, et al. mebipred: identifying metal-binding potential in protein sequence. </w:t>
      </w:r>
      <w:r>
        <w:rPr>
          <w:i/>
          <w:sz w:val="24"/>
          <w:szCs w:val="24"/>
        </w:rPr>
        <w:t>Bioinformatics</w:t>
      </w:r>
      <w:r>
        <w:rPr>
          <w:sz w:val="24"/>
          <w:szCs w:val="24"/>
        </w:rPr>
        <w:t>. 2022;38(14):3532–3540. doi:10.1093/bioinformatics/btac358.</w:t>
      </w:r>
    </w:p>
    <w:p>
      <w:pPr>
        <w:pStyle w:val="Reference"/>
        <w:ind w:left="360" w:hanging="360"/>
      </w:pPr>
      <w:r>
        <w:rPr>
          <w:sz w:val="24"/>
          <w:szCs w:val="24"/>
        </w:rPr>
        <w:t xml:space="preserve">28. Olsen TH, Yesiltas B, Marin FI, et al. AnOxPePred: using deep learning for the prediction of antioxidative properties of peptides. </w:t>
      </w:r>
      <w:r>
        <w:rPr>
          <w:i/>
          <w:sz w:val="24"/>
          <w:szCs w:val="24"/>
        </w:rPr>
        <w:t>Sci Rep</w:t>
      </w:r>
      <w:r>
        <w:rPr>
          <w:sz w:val="24"/>
          <w:szCs w:val="24"/>
        </w:rPr>
        <w:t>. 2020;10:21471. doi:10.1038/s41598-020-78319-w.</w:t>
      </w:r>
    </w:p>
    <w:p>
      <w:pPr>
        <w:pStyle w:val="Reference"/>
        <w:ind w:left="360" w:hanging="360"/>
      </w:pPr>
      <w:r>
        <w:rPr>
          <w:sz w:val="24"/>
          <w:szCs w:val="24"/>
        </w:rPr>
        <w:t xml:space="preserve">29. De Ferrari GV, Canales MA, Shin I, et al. A structural motif of acetylcholinesterase that promotes amyloid β-peptide fibril formation. </w:t>
      </w:r>
      <w:r>
        <w:rPr>
          <w:i/>
          <w:sz w:val="24"/>
          <w:szCs w:val="24"/>
        </w:rPr>
        <w:t>Biochemistry</w:t>
      </w:r>
      <w:r>
        <w:rPr>
          <w:sz w:val="24"/>
          <w:szCs w:val="24"/>
        </w:rPr>
        <w:t>. 2001;40(35):10447–10457. doi:10.1021/bi0101392.</w:t>
      </w:r>
    </w:p>
    <w:p>
      <w:pPr>
        <w:pStyle w:val="Reference"/>
        <w:ind w:left="360" w:hanging="360"/>
      </w:pPr>
      <w:r>
        <w:rPr>
          <w:sz w:val="24"/>
          <w:szCs w:val="24"/>
        </w:rPr>
        <w:t xml:space="preserve">30. Bartolini M, Bertucci C, Cavrini V, Andrisano V. β-Amyloid aggregation induced by human acetylcholinesterase: inhibition studies. </w:t>
      </w:r>
      <w:r>
        <w:rPr>
          <w:i/>
          <w:sz w:val="24"/>
          <w:szCs w:val="24"/>
        </w:rPr>
        <w:t>Biochem Pharmacol</w:t>
      </w:r>
      <w:r>
        <w:rPr>
          <w:sz w:val="24"/>
          <w:szCs w:val="24"/>
        </w:rPr>
        <w:t>. 2003;65(3):407–416. doi:10.1016/s0006-2952(02)01514-9.</w:t>
      </w:r>
    </w:p>
    <w:p>
      <w:pPr>
        <w:pStyle w:val="Reference"/>
        <w:ind w:left="360" w:hanging="360"/>
      </w:pPr>
      <w:r>
        <w:rPr>
          <w:sz w:val="24"/>
          <w:szCs w:val="24"/>
        </w:rPr>
        <w:t xml:space="preserve">31. Cheung J, Rudolph MJ, Burshteyn F, et al. Structures of human acetylcholinesterase in complex with pharmacologically important ligands. </w:t>
      </w:r>
      <w:r>
        <w:rPr>
          <w:i/>
          <w:sz w:val="24"/>
          <w:szCs w:val="24"/>
        </w:rPr>
        <w:t>J Med Chem</w:t>
      </w:r>
      <w:r>
        <w:rPr>
          <w:sz w:val="24"/>
          <w:szCs w:val="24"/>
        </w:rPr>
        <w:t>. 2012;55(23):10282–10286. doi:10.1021/jm300871x.</w:t>
      </w:r>
    </w:p>
    <w:p>
      <w:pPr>
        <w:pStyle w:val="Reference"/>
        <w:ind w:left="360" w:hanging="360"/>
      </w:pPr>
      <w:r>
        <w:rPr>
          <w:sz w:val="24"/>
          <w:szCs w:val="24"/>
        </w:rPr>
        <w:t xml:space="preserve">32. Trott O, Olson AJ. AutoDock Vina: improving the speed and accuracy of docking with a new scoring function. </w:t>
      </w:r>
      <w:r>
        <w:rPr>
          <w:i/>
          <w:sz w:val="24"/>
          <w:szCs w:val="24"/>
        </w:rPr>
        <w:t>J Comput Chem</w:t>
      </w:r>
      <w:r>
        <w:rPr>
          <w:sz w:val="24"/>
          <w:szCs w:val="24"/>
        </w:rPr>
        <w:t>. 2010;31(2):455–461. doi:10.1002/jcc.21334.</w:t>
      </w:r>
    </w:p>
    <w:p>
      <w:pPr>
        <w:pStyle w:val="Reference"/>
        <w:ind w:left="360" w:hanging="360"/>
      </w:pPr>
      <w:r>
        <w:rPr>
          <w:sz w:val="24"/>
          <w:szCs w:val="24"/>
        </w:rPr>
        <w:t xml:space="preserve">33. Eberhardt J, Santos-Martins D, Tillack AF, Forli S. AutoDock Vina 1.2.0: new docking methods, expanded force field, and Python bindings. </w:t>
      </w:r>
      <w:r>
        <w:rPr>
          <w:i/>
          <w:sz w:val="24"/>
          <w:szCs w:val="24"/>
        </w:rPr>
        <w:t>J Chem Inf Model</w:t>
      </w:r>
      <w:r>
        <w:rPr>
          <w:sz w:val="24"/>
          <w:szCs w:val="24"/>
        </w:rPr>
        <w:t>. 2021;61(8):3891–3898. doi:10.1021/acs.jcim.1c00203.</w:t>
      </w:r>
    </w:p>
    <w:p>
      <w:pPr>
        <w:pStyle w:val="Reference"/>
        <w:ind w:left="360" w:hanging="360"/>
      </w:pPr>
      <w:r>
        <w:rPr>
          <w:sz w:val="24"/>
          <w:szCs w:val="24"/>
        </w:rPr>
        <w:t xml:space="preserve">34. Abraham MJ, Murtola T, Schulz R, et al. GROMACS: high performance molecular simulations through multi-level parallelism from laptops to supercomputers. </w:t>
      </w:r>
      <w:r>
        <w:rPr>
          <w:i/>
          <w:sz w:val="24"/>
          <w:szCs w:val="24"/>
        </w:rPr>
        <w:t>SoftwareX</w:t>
      </w:r>
      <w:r>
        <w:rPr>
          <w:sz w:val="24"/>
          <w:szCs w:val="24"/>
        </w:rPr>
        <w:t>. 2015;1–2:19–25. doi:10.1016/j.softx.2015.06.001.</w:t>
      </w:r>
    </w:p>
    <w:p>
      <w:pPr>
        <w:pStyle w:val="Reference"/>
        <w:ind w:left="360" w:hanging="360"/>
      </w:pPr>
      <w:r>
        <w:rPr>
          <w:sz w:val="24"/>
          <w:szCs w:val="24"/>
        </w:rPr>
        <w:t xml:space="preserve">35. Lindorff-Larsen K, Piana S, Palmo K, et al. Improved side-chain torsion potentials for the Amber ff99SB protein force field. </w:t>
      </w:r>
      <w:r>
        <w:rPr>
          <w:i/>
          <w:sz w:val="24"/>
          <w:szCs w:val="24"/>
        </w:rPr>
        <w:t>Proteins</w:t>
      </w:r>
      <w:r>
        <w:rPr>
          <w:sz w:val="24"/>
          <w:szCs w:val="24"/>
        </w:rPr>
        <w:t>. 2010;78(8):1950–1958. doi:10.1002/prot.22711.</w:t>
      </w:r>
    </w:p>
    <w:p>
      <w:pPr>
        <w:pStyle w:val="Reference"/>
        <w:ind w:left="360" w:hanging="360"/>
      </w:pPr>
      <w:r>
        <w:rPr>
          <w:sz w:val="24"/>
          <w:szCs w:val="24"/>
        </w:rPr>
        <w:t xml:space="preserve">36. Atanasova M, Dimitrov I, Ivanov S. Molecular dynamics simulations of acetylcholinesterase–beta-amyloid peptide complex. </w:t>
      </w:r>
      <w:r>
        <w:rPr>
          <w:i/>
          <w:sz w:val="24"/>
          <w:szCs w:val="24"/>
        </w:rPr>
        <w:t>Cybern Inf Technol</w:t>
      </w:r>
      <w:r>
        <w:rPr>
          <w:sz w:val="24"/>
          <w:szCs w:val="24"/>
        </w:rPr>
        <w:t>. 2020;20(6):140–154. doi:10.2478/cait-2020-0068.</w:t>
      </w:r>
    </w:p>
    <w:p>
      <w:pPr>
        <w:pStyle w:val="Reference"/>
        <w:ind w:left="360" w:hanging="360"/>
      </w:pPr>
      <w:r>
        <w:rPr>
          <w:sz w:val="24"/>
          <w:szCs w:val="24"/>
        </w:rPr>
        <w:t xml:space="preserve">37. Torres MDT, Brooks EF, Cesaro A, et al. Mining human microbiomes reveals an untapped source of peptide antibiotics. </w:t>
      </w:r>
      <w:r>
        <w:rPr>
          <w:i/>
          <w:sz w:val="24"/>
          <w:szCs w:val="24"/>
        </w:rPr>
        <w:t>Cell</w:t>
      </w:r>
      <w:r>
        <w:rPr>
          <w:sz w:val="24"/>
          <w:szCs w:val="24"/>
        </w:rPr>
        <w:t>. 2024;187(19):5453–5467.e15. doi:10.1016/j.cell.2024.07.027.</w:t>
      </w:r>
    </w:p>
    <w:p>
      <w:pPr>
        <w:pStyle w:val="Reference"/>
        <w:ind w:left="360" w:hanging="360"/>
      </w:pPr>
      <w:r>
        <w:rPr>
          <w:sz w:val="24"/>
          <w:szCs w:val="24"/>
        </w:rPr>
        <w:t xml:space="preserve">38. London N, Raveh B, Cohen E, et al. Rosetta FlexPepDock web server—high resolution modeling of peptide–protein interactions. </w:t>
      </w:r>
      <w:r>
        <w:rPr>
          <w:i/>
          <w:sz w:val="24"/>
          <w:szCs w:val="24"/>
        </w:rPr>
        <w:t>Nucleic Acids Res</w:t>
      </w:r>
      <w:r>
        <w:rPr>
          <w:sz w:val="24"/>
          <w:szCs w:val="24"/>
        </w:rPr>
        <w:t>. 2011;39:W249–W253. doi:10.1093/nar/gkr326.</w:t>
      </w:r>
    </w:p>
    <w:p>
      <w:pPr>
        <w:pStyle w:val="Reference"/>
        <w:ind w:left="360" w:hanging="360"/>
      </w:pPr>
      <w:r>
        <w:rPr>
          <w:sz w:val="24"/>
          <w:szCs w:val="24"/>
        </w:rPr>
        <w:t xml:space="preserve">39. Bush AI. The metal theory of Alzheimer’s disease. </w:t>
      </w:r>
      <w:r>
        <w:rPr>
          <w:i/>
          <w:sz w:val="24"/>
          <w:szCs w:val="24"/>
        </w:rPr>
        <w:t>J Alzheimers Dis</w:t>
      </w:r>
      <w:r>
        <w:rPr>
          <w:sz w:val="24"/>
          <w:szCs w:val="24"/>
        </w:rPr>
        <w:t>. 2013;33 Suppl 1:S277–S281. doi:10.3233/JAD-2012-129011.</w:t>
      </w:r>
    </w:p>
    <w:p>
      <w:pPr>
        <w:pStyle w:val="Reference"/>
        <w:ind w:left="360" w:hanging="360"/>
      </w:pPr>
      <w:r>
        <w:rPr>
          <w:sz w:val="24"/>
          <w:szCs w:val="24"/>
        </w:rPr>
        <w:t xml:space="preserve">40. Lei P, Ayton S, Bush AI. The essential elements of Alzheimer’s disease. </w:t>
      </w:r>
      <w:r>
        <w:rPr>
          <w:i/>
          <w:sz w:val="24"/>
          <w:szCs w:val="24"/>
        </w:rPr>
        <w:t>J Biol Chem</w:t>
      </w:r>
      <w:r>
        <w:rPr>
          <w:sz w:val="24"/>
          <w:szCs w:val="24"/>
        </w:rPr>
        <w:t>. 2021;296:100105. doi:10.1074/jbc.REV120.008207.</w:t>
      </w:r>
    </w:p>
    <w:sectPr>
      <w:pgSz w:w="11906" w:h="16838"/>
      <w:pgMar w:top="1440" w:right="1440" w:bottom="1440" w:left="1440" w:header="600" w:footer="600" w:gutter="0"/>
      <w:cols w:space="720"/>
      <w:docGrid w:linePitch="480"/>
    </w:sectPr>
  </w:body>
</w:document>
</file>

<file path=word/fontTable.xml><?xml version="1.0" encoding="utf-8"?>
<w:fonts xmlns:w="http://schemas.openxmlformats.org/wordprocessingml/2006/main">
  <w:font w:name="Times New Roman"/>
  <w:font w:name="Arial"/>
  <w:font w:name="宋体"/>
  <w:font w:name="黑体"/>
  <w:font w:name="Consolas"/>
  <w:font w:name="等线"/>
</w:fonts>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宋体" w:cs="Times New Roman"/>
        <w:sz w:val="24"/>
        <w:szCs w:val="24"/>
        <w:lang w:val="en-US" w:eastAsia="zh-CN"/>
      </w:rPr>
    </w:rPrDefault>
    <w:pPrDefault>
      <w:pPr>
        <w:spacing w:before="0" w:after="0" w:line="480" w:lineRule="auto"/>
        <w:jc w:val="both"/>
        <w:widowControl/>
      </w:pPr>
    </w:pPrDefault>
  </w:docDefaults>
  <w:style w:type="paragraph" w:default="1" w:styleId="Normal">
    <w:name w:val="Normal"/>
    <w:qFormat/>
    <w:pPr>
      <w:spacing w:before="0" w:after="0" w:line="480" w:lineRule="auto"/>
      <w:jc w:val="both"/>
      <w:widowControl/>
    </w:pPr>
    <w:rPr>
      <w:sz w:val="24"/>
      <w:szCs w:val="24"/>
    </w:rPr>
  </w:style>
  <w:style w:type="paragraph" w:styleId="BodyText">
    <w:name w:val="Body Text"/>
    <w:basedOn w:val="Normal"/>
    <w:next w:val="BodyText"/>
    <w:qFormat/>
    <w:pPr>
      <w:ind w:firstLine="480"/>
      <w:spacing w:before="0" w:after="0" w:line="480" w:lineRule="auto"/>
      <w:jc w:val="both"/>
      <w:widowControl/>
    </w:pPr>
    <w:rPr>
      <w:sz w:val="24"/>
      <w:szCs w:val="24"/>
    </w:rPr>
  </w:style>
  <w:style w:type="paragraph" w:styleId="Heading1">
    <w:name w:val="heading 1"/>
    <w:basedOn w:val="Normal"/>
    <w:next w:val="Normal"/>
    <w:qFormat/>
    <w:pPr>
      <w:keepNext/>
      <w:keepLines/>
      <w:spacing w:before="240" w:after="120"/>
      <w:jc w:val="left"/>
      <w:outlineLvl w:val="0"/>
    </w:pPr>
    <w:rPr>
      <w:rFonts w:ascii="Times New Roman" w:hAnsi="Times New Roman" w:eastAsia="黑体"/>
      <w:b/>
      <w:color w:val="000000"/>
      <w:sz w:val="30"/>
      <w:szCs w:val="30"/>
    </w:rPr>
  </w:style>
  <w:style w:type="paragraph" w:styleId="Heading2">
    <w:name w:val="heading 2"/>
    <w:basedOn w:val="Normal"/>
    <w:next w:val="Normal"/>
    <w:qFormat/>
    <w:pPr>
      <w:keepNext/>
      <w:keepLines/>
      <w:spacing w:before="240" w:after="120"/>
      <w:jc w:val="left"/>
      <w:outlineLvl w:val="1"/>
    </w:pPr>
    <w:rPr>
      <w:rFonts w:ascii="Times New Roman" w:hAnsi="Times New Roman" w:eastAsia="黑体"/>
      <w:b/>
      <w:color w:val="000000"/>
      <w:sz w:val="28"/>
      <w:szCs w:val="28"/>
    </w:rPr>
  </w:style>
  <w:style w:type="paragraph" w:styleId="Heading3">
    <w:name w:val="heading 3"/>
    <w:basedOn w:val="Normal"/>
    <w:next w:val="Normal"/>
    <w:qFormat/>
    <w:pPr>
      <w:keepNext/>
      <w:keepLines/>
      <w:spacing w:before="180" w:after="60"/>
      <w:outlineLvl w:val="2"/>
    </w:pPr>
    <w:rPr>
      <w:rFonts w:ascii="Times New Roman" w:hAnsi="Times New Roman" w:eastAsia="黑体"/>
      <w:b/>
      <w:i/>
      <w:color w:val="000000"/>
      <w:sz w:val="24"/>
      <w:szCs w:val="24"/>
    </w:rPr>
  </w:style>
  <w:style w:type="paragraph" w:styleId="Heading4">
    <w:name w:val="heading 4"/>
    <w:basedOn w:val="Normal"/>
    <w:next w:val="Normal"/>
    <w:qFormat/>
    <w:pPr>
      <w:keepNext/>
      <w:spacing w:before="120" w:after="0"/>
      <w:outlineLvl w:val="3"/>
    </w:pPr>
    <w:rPr>
      <w:i/>
      <w:color w:val="000000"/>
      <w:sz w:val="24"/>
      <w:szCs w:val="24"/>
    </w:rPr>
  </w:style>
  <w:style w:type="paragraph" w:styleId="Note">
    <w:name w:val="Note"/>
    <w:basedOn w:val="Normal"/>
    <w:pPr>
      <w:spacing w:after="0" w:line="480" w:lineRule="auto"/>
    </w:pPr>
    <w:rPr>
      <w:i/>
      <w:sz w:val="24"/>
      <w:szCs w:val="24"/>
    </w:rPr>
  </w:style>
  <w:style w:type="paragraph" w:styleId="Keywords">
    <w:name w:val="Keywords"/>
    <w:basedOn w:val="Normal"/>
    <w:pPr>
      <w:spacing w:after="120" w:line="480" w:lineRule="auto"/>
    </w:pPr>
    <w:rPr>
      <w:sz w:val="24"/>
      <w:szCs w:val="24"/>
    </w:rPr>
  </w:style>
  <w:style w:type="paragraph" w:styleId="Caption">
    <w:name w:val="Caption"/>
    <w:basedOn w:val="Normal"/>
    <w:pPr>
      <w:keepNext/>
      <w:spacing w:before="120" w:after="60" w:line="240" w:lineRule="auto"/>
      <w:jc w:val="left"/>
    </w:pPr>
    <w:rPr>
      <w:sz w:val="20"/>
      <w:szCs w:val="20"/>
    </w:rPr>
  </w:style>
  <w:style w:type="paragraph" w:styleId="Figure">
    <w:name w:val="Figure"/>
    <w:basedOn w:val="Normal"/>
  </w:style>
  <w:style w:type="paragraph" w:styleId="Reference">
    <w:name w:val="Reference"/>
    <w:basedOn w:val="Normal"/>
    <w:pPr>
      <w:spacing w:after="0" w:line="480" w:lineRule="auto"/>
      <w:jc w:val="left"/>
    </w:pPr>
    <w:rPr>
      <w:sz w:val="24"/>
      <w:szCs w:val="24"/>
    </w:rPr>
  </w:style>
  <w:style w:type="paragraph" w:styleId="ListParagraph">
    <w:name w:val="List Paragraph"/>
    <w:basedOn w:val="Normal"/>
    <w:pPr>
      <w:spacing w:after="0" w:line="480" w:lineRule="auto"/>
    </w:pPr>
  </w:style>
  <w:style w:type="paragraph" w:styleId="TableText">
    <w:name w:val="Table Text"/>
    <w:basedOn w:val="Normal"/>
    <w:pPr>
      <w:spacing w:before="0" w:after="0" w:line="240" w:lineRule="auto"/>
      <w:jc w:val="left"/>
    </w:pPr>
    <w:rPr>
      <w:sz w:val="20"/>
      <w:szCs w:val="20"/>
    </w:rPr>
  </w:style>
  <w:style w:type="table" w:styleId="ThreeLineTable">
    <w:name w:val="Three-Line Table"/>
    <w:tblPr>
      <w:tblBorders>
        <w:top w:val="single" w:sz="12" w:color="000000"/>
        <w:left w:val="nil"/>
        <w:bottom w:val="single" w:sz="12" w:color="000000"/>
        <w:right w:val="nil"/>
        <w:insideH w:val="nil"/>
        <w:insideV w:val="nil"/>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Application>Dependency-free OOXML builder</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Chinese</dc:title>
  <dcterms:created xsi:type="dcterms:W3CDTF">2026-08-23T00:00:00Z</dcterms:created>
  <dcterms:modified xsi:type="dcterms:W3CDTF">2026-08-23T00:00:00Z</dcterms:modified>
</cp:coreProperties>
</file>