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2"/>
        <w:keepNext/>
      </w:pPr>
      <w:r>
        <w:t>分析方法</w:t>
      </w:r>
    </w:p>
    <w:p>
      <w:pPr>
        <w:pStyle w:val="Heading3"/>
        <w:keepNext/>
      </w:pPr>
      <w:r>
        <w:t>研究设计与证据范围</w:t>
      </w:r>
    </w:p>
    <w:p>
      <w:pPr>
        <w:pStyle w:val="BodyText"/>
      </w:pPr>
      <w:r>
        <w:t>本研究是对已有MD输出进行的纯计算描述性分析。可用证据包括与</w:t>
      </w:r>
      <w:r>
        <w:rPr>
          <w:rFonts w:ascii="Consolas" w:hAnsi="Consolas" w:eastAsia="等线"/>
          <w:shd w:val="clear" w:color="auto" w:fill="F2F4F7"/>
        </w:rPr>
        <w:t>md_alllhrc</w:t>
      </w:r>
      <w:r>
        <w:t>体系目录关联的一张六面板轨迹汇总图和一份RMSD诊断导出。各面板报告了100 ns内的骨架RMSD、骨架RMSF、肽–AChE质心径向分布、溶剂可及表面积（solvent-accessible surface area，SASA）、二级结构比例和分子间氢键数。本结果报告未实施湿实验、新对接、新MD产物模拟、统计比较或生物学测定。</w:t>
      </w:r>
    </w:p>
    <w:p>
      <w:pPr>
        <w:pStyle w:val="BodyText"/>
      </w:pPr>
      <w:r>
        <w:t>体系身份依据ALLLHRC目录标签和结果随附的明确体系说明进行归属。图形标题仍保留继承的“AChE–Aβ”标签。本研究将其视为有待核实的标注差异，而不将其视为模拟肽为Aβ的证据。参考文献中的任何Aβ特异序列、接触残基、表面区域或相互作用均未被移植到ALLLHRC结果中。仍需提供拓扑–轨迹清单及相互匹配的坐标哈希，才能关闭这一身份溯源缺口。</w:t>
      </w:r>
    </w:p>
    <w:p>
      <w:pPr>
        <w:pStyle w:val="Heading3"/>
        <w:keepNext/>
      </w:pPr>
      <w:r>
        <w:t>配置的分子动力学方案</w:t>
      </w:r>
    </w:p>
    <w:p>
      <w:pPr>
        <w:pStyle w:val="BodyText"/>
      </w:pPr>
      <w:r>
        <w:t>上游流程指定使用GROMACS生成并分析轨迹。其可执行的100 ns配置采用Amber99SB-ILDN力场；该力场改进了Amber ff99SB家族中的侧链扭转势。体系配置于三斜周期性盒中，溶质至盒边距离为1.0 nm，采用与TIP3P兼容的水坐标，并加入中和离子和0.15 mol/L NaCl。由于缺少完整运行日志和二进制输入文件，这些内容被报告为“配置参数”，而非已经独立确认的实际运行参数。</w:t>
      </w:r>
    </w:p>
    <w:p>
      <w:pPr>
        <w:pStyle w:val="BodyText"/>
      </w:pPr>
      <w:r>
        <w:t>配置的预处理包括在1,255 kJ mol⁻¹ nm⁻²重原子位置约束下进行2,000步最速下降能量最小化，随后进行1.0 ns从10 K升温至300 K的受限NVT平衡、1.0 ns受限NPT平衡以及300 K和1 bar下1.0 ns无约束NPT平衡。产物阶段配置为100 ns，时间步长2 fs，采用LINCS约束含氢键，实空间截断为1.2 nm，范德华相互作用从1.0 nm开始力切换，长程静电采用粒子网格Ewald，温度耦合采用速度重标度，压力耦合采用Berendsen方法。坐标计划每20 ps保存一次，相当于5,000个预期帧。现有材料未提供确切GROMACS版本、生成的速度种子、硬件、运行完成日志、能量文件、检查点、拓扑和最终坐标。</w:t>
      </w:r>
    </w:p>
    <w:p>
      <w:pPr>
        <w:pStyle w:val="Heading3"/>
        <w:keepNext/>
      </w:pPr>
      <w:r>
        <w:t>轨迹指标与解释规则</w:t>
      </w:r>
    </w:p>
    <w:p>
      <w:pPr>
        <w:pStyle w:val="BodyText"/>
      </w:pPr>
      <w:r>
        <w:t>现有RMSD诊断将AChE定义为残基1–530，将ALLLHRC定义为残基531–537。肽骨架RMSD在肽骨架自拟合后计算，因此它在去除整条肽平移和旋转的同时，测量肽内部构象相对于起始构象的偏离。诊断汇总根据数字化RMSD曲线而不是GROMACS原始时间序列计算，因此属于描述性估计，不能替代基于坐标的重新分析。由于在将受体与肽作为同一拟合组时，全复合物拟合可能对周期性边界成像敏感，复合物曲线仅作定性解释。</w:t>
      </w:r>
    </w:p>
    <w:p>
      <w:pPr>
        <w:pStyle w:val="BodyText"/>
      </w:pPr>
      <w:r>
        <w:t>RMSF用于识别相对活动的序列位置。质心径向分布函数g(r)被解释为肽–AChE质心间距分布，而不是原子接触距离或结合亲和力。SASA曲线用于评估溶剂暴露的大幅变化。二级结构比例按图中内容转录；由于该面板的结构选择未提供，不能假定这些比例是ALLLHRC特异的。分子间氢键数被视为瞬时几何接触。现有六面板结果未提供残基层面的供体–受体身份、占有率阈值、距离/角度定义、寿命分布或水桥输出。</w:t>
      </w:r>
    </w:p>
    <w:p>
      <w:pPr>
        <w:pStyle w:val="BodyText"/>
      </w:pPr>
      <w:r>
        <w:t>只有诊断导出中明确存在的数值才按精确值报告。RMSF、RDF、SASA、二级结构和氢键的近似范围均从图轴保守读取。未根据图像像素重建均值、置信区间、假设检验或收敛性结论。</w:t>
      </w:r>
    </w:p>
    <w:p>
      <w:pPr>
        <w:pStyle w:val="Heading2"/>
        <w:keepNext/>
      </w:pPr>
      <w:r>
        <w:t>结果</w:t>
      </w:r>
    </w:p>
    <w:p>
      <w:pPr>
        <w:pStyle w:val="Heading3"/>
        <w:keepNext/>
      </w:pPr>
      <w:r>
        <w:t>AChE骨架偏差范围较窄，而ALLLHRC发生两次转变</w:t>
      </w:r>
    </w:p>
    <w:p>
      <w:pPr>
        <w:pStyle w:val="BodyText"/>
      </w:pPr>
      <w:r>
        <w:t>在现有诊断序列中，AChE骨架RMSD为0.1803 ± 0.0220 nm，报告的最大值为0.2320 nm（表1）。在100 ns轨迹的大部分时间内，图中的复合物与AChE曲线相互接近，并在初始上升后主要处于约0.10–0.20 nm范围。按现有输出的分辨率，该模式未显示受体骨架发生较大的整体重排。</w:t>
      </w:r>
    </w:p>
    <w:p>
      <w:pPr>
        <w:pStyle w:val="BodyText"/>
      </w:pPr>
      <w:r>
        <w:t>肽的行为不同。全轨迹自拟合ALLLHRC骨架RMSD为0.1789 ± 0.0870 nm，范围为0.0151–0.3141 nm。曲线依次占据三个平台：0.0–22.6 ns的均值为0.0582 ± 0.0091 nm；23.4–55.6 ns为0.1432 ± 0.0161 nm；57.0–100.0 ns为0.2694 ± 0.0148 nm。转变约发生在23–24 ns和56–58 ns。由于肽对自身骨架进行了拟合，这些阶跃反映内部构象重排，而不是由周期性盒中刚体平移直接造成。末段窄平台表明相对于第0帧的一种新内部构象具有持续性，但它本身不能证明肽仍与AChE结合。</w:t>
      </w:r>
    </w:p>
    <w:p>
      <w:pPr>
        <w:pStyle w:val="Caption"/>
      </w:pPr>
      <w:r>
        <w:rPr>
          <w:b/>
        </w:rPr>
        <w:t>表1. ALLLHRC–AChE分子动力学输出的描述性汇总。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指标</w:t>
            </w:r>
          </w:p>
        </w:tc>
        <w:tc>
          <w:tcPr>
            <w:tcW w:w="312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现有结果</w:t>
            </w:r>
          </w:p>
        </w:tc>
        <w:tc>
          <w:tcPr>
            <w:tcW w:w="312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支持的解释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AChE骨架RMSD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0.1803 ± 0.0220 nm；最大0.2320 nm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100 ns内受体骨架偏差有限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ALLLHRC自拟合RMSD，全轨迹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0.1789 ± 0.0870 nm；0.0151–0.3141 nm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肽内部构象相对第0帧明显改变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ALLLHRC平台1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0.0582 ± 0.0091 nm，0.0–22.6 ns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初始低偏差状态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ALLLHRC平台2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0.1432 ± 0.0161 nm，23.4–55.6 ns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第一次重排后的状态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ALLLHRC平台3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0.2694 ± 0.0148 nm，57.0–100.0 ns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持续的第二次重排状态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肽–AChE质心RDF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主峰约1.2 nm；次峰约1.4 nm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两个优选质心间距范围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复合物SASA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约210–223 nm²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未见整体溶剂暴露的大幅增减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肽SASA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约10–12 nm²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肽溶剂暴露保持在较窄的图示范围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分子间氢键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0–11；后段主要约1–4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极性接触间歇存在，后段数量减少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RMSF显示局部受体活动性和不对称的肽涨落分布</w:t>
      </w:r>
    </w:p>
    <w:p>
      <w:pPr>
        <w:pStyle w:val="BodyText"/>
      </w:pPr>
      <w:r>
        <w:t>大多数AChE骨架RMSF低于约0.10 nm。局部峰值达到约0.2–0.4 nm，末端区域出现最大的图示偏移，接近0.60 nm。这些峰可识别本条轨迹中较柔性的位点；但由于缺少残基映射和起始结构，不能可靠地把它们归属于某个结构环或链末端。</w:t>
      </w:r>
    </w:p>
    <w:p>
      <w:pPr>
        <w:pStyle w:val="BodyText"/>
      </w:pPr>
      <w:r>
        <w:t>对ALLLHRC而言，大多数图示骨架RMSF约为0.05–0.10 nm，而肽的一个端点接近约0.21 nm。该不对称分布说明七残基骨架的活动性并不均匀。由于未提供肽的方向和残基名称映射，仅凭图形不能判断较活动的端点是N端还是C端。</w:t>
      </w:r>
    </w:p>
    <w:p>
      <w:pPr>
        <w:pStyle w:val="Heading3"/>
        <w:keepNext/>
      </w:pPr>
      <w:r>
        <w:t>距离分布显示两个优选质心间距</w:t>
      </w:r>
    </w:p>
    <w:p>
      <w:pPr>
        <w:pStyle w:val="BodyText"/>
      </w:pPr>
      <w:r>
        <w:t>肽–AChE质心RDF在约1.2 nm处出现尖锐主峰，g(r)超过200，并在约1.4 nm处出现g(r)约80–90的次峰。在图示范围中，该分布在约1.6 nm之后接近零。这些峰与轨迹集中占据两个质心间距范围相符。它们不能识别结合残基、原子接触距离、外周阴离子位点姿势或解离常数。异常高的归一化峰值也依赖有限体系中的归一化方式；在缺少计算细节时，不应直接与体相溶剂RDF比较。</w:t>
      </w:r>
    </w:p>
    <w:p>
      <w:pPr>
        <w:pStyle w:val="Heading3"/>
        <w:keepNext/>
      </w:pPr>
      <w:r>
        <w:t>溶剂暴露和二级结构比例未显示较大的整体转变</w:t>
      </w:r>
    </w:p>
    <w:p>
      <w:pPr>
        <w:pStyle w:val="BodyText"/>
      </w:pPr>
      <w:r>
        <w:t>复合物SASA在约210–223 nm²内波动，轨迹后段有轻度上升趋势。肽SASA保持在约10–12 nm²。现有曲线未显示持续性SASA降低，因此不能仅依据该指标主张复合物逐渐压紧。相反，SASA稳定也不能证明界面埋藏面积恒定，因为全局复合物数值可能主要受受体溶剂暴露支配。</w:t>
      </w:r>
    </w:p>
    <w:p>
      <w:pPr>
        <w:pStyle w:val="BodyText"/>
      </w:pPr>
      <w:r>
        <w:t>二级结构曲线相对稳定：螺旋约0.33–0.37，coil约0.19–0.23，sheet约0.14–0.17，bend约0.12–0.15，turn约0.09–0.13。肽RMSD转变并未伴随系统尺度的突然二级结构转换。该面板的分析选择未记录；如果按整个复合物计算，结果将由530残基的酶主导，不能解释为七肽本身的二级结构。</w:t>
      </w:r>
    </w:p>
    <w:p>
      <w:pPr>
        <w:pStyle w:val="Heading3"/>
        <w:keepNext/>
      </w:pPr>
      <w:r>
        <w:t>分子间氢键间歇保留，但轨迹后段数量降低</w:t>
      </w:r>
    </w:p>
    <w:p>
      <w:pPr>
        <w:pStyle w:val="BodyText"/>
      </w:pPr>
      <w:r>
        <w:t>AChE–ALLLHRC瞬时氢键数在0–11之间变化。轨迹前段和中段经常出现约3–7个氢键，偶尔达到更高数值。约65–70 ns之后，氢键更多处于1–4个，但接触仍间歇持续到轨迹结束，并且全程均偶有零氢键帧。后段较低的氢键数与肽的高RMSD平台在时间上重合，与界面重排相容。缺少同步数值序列、残基层面的供体–受体身份和接触寿命时，不能确定因果关系。</w:t>
      </w:r>
    </w:p>
    <w:p>
      <w:pPr>
        <w:pStyle w:val="Caption"/>
      </w:pPr>
      <w:r>
        <w:rPr>
          <w:b/>
        </w:rPr>
        <w:t>表2. 现有100 ns轨迹的证据边界。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观察结果</w:t>
            </w:r>
          </w:p>
        </w:tc>
        <w:tc>
          <w:tcPr>
            <w:tcW w:w="312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支持的表述</w:t>
            </w:r>
          </w:p>
        </w:tc>
        <w:tc>
          <w:tcPr>
            <w:tcW w:w="312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当前数据不支持的表述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较低的AChE RMSD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本条轨迹中受体骨架偏差有限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AChE在实验中被稳定或受到功能性抑制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三个肽RMSD平台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ALLLHRC发生两次内部重排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肽发生解离、重新结合或改变了某个特定位姿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RDF峰约为1.2和1.4 nm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采样到两个优选质心间距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直接原子接触、PAS驻留或结合亲和力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较窄的SASA范围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未见较大的整体溶剂暴露转变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界面埋藏面积恒定或复合物逐渐压紧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稳定的二级结构比例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未见系统尺度二级结构转变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ALLLHRC形成了确定的螺旋或折叠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间歇氢键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极性接触反复出现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持续的残基特异氢键或生化抑制作用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讨论</w:t>
      </w:r>
    </w:p>
    <w:p>
      <w:pPr>
        <w:pStyle w:val="Heading3"/>
        <w:keepNext/>
      </w:pPr>
      <w:r>
        <w:t>主要解释</w:t>
      </w:r>
    </w:p>
    <w:p>
      <w:pPr>
        <w:pStyle w:val="BodyText"/>
      </w:pPr>
      <w:r>
        <w:t>现有100 ns输出最符合以下描述：AChE骨架总体受限，而柔性短肽发生两次重排，随后进入与起始状态明显不同的末段构象区间。AChE RMSD保持在约0.23 nm以下；ALLLHRC自拟合RMSD则从低偏差平台依次进入两个偏差更大的平台。由于自拟合去除了肽的平移和旋转，这些阶跃不能用完整刚性肽跨越周期性边界来解释，而是代表相对于起始构象的内部骨架重排。</w:t>
      </w:r>
    </w:p>
    <w:p>
      <w:pPr>
        <w:pStyle w:val="BodyText"/>
      </w:pPr>
      <w:r>
        <w:t>RDF与氢键曲线补充了界面层面的信息，但不能把RMSD模式转化为稳定结合的证据。RDF集中于两个质心距离，第二次肽转变之后仍可观察到分子间氢键；同时，轨迹后段的氢键数总体较少。因此，更节制的描述是“伴随界面重排的动态关联”，而不是“保持单一刚性对接姿势”。ALLLHRC究竟停留在一个表面口袋、在相邻区域之间移动，还是发生部分脱离，仍需AChE拟合后的肽位置RMSD、最小距离曲线、残基接触、代表性结构及轨迹可视化才能判断。</w:t>
      </w:r>
    </w:p>
    <w:p>
      <w:pPr>
        <w:pStyle w:val="Heading3"/>
        <w:keepNext/>
      </w:pPr>
      <w:r>
        <w:t>与参考AChE–Aβ研究的关系</w:t>
      </w:r>
    </w:p>
    <w:p>
      <w:pPr>
        <w:pStyle w:val="BodyText"/>
      </w:pPr>
      <w:r>
        <w:t>Atanasova研究的重要意义在于表明：肽在AChE表面移动可以与受体稳定性同时存在，且仅凭RMSD不足以界定驻留行为。其1 μs AChE–Aβ分析包含快照、残基接触、氢键、疏水相互作用、SASA、二级结构、RDF和水介导桥连。本研究采用相同指标类别组织结果，但并未复现该研究。</w:t>
      </w:r>
    </w:p>
    <w:p>
      <w:pPr>
        <w:pStyle w:val="BodyText"/>
      </w:pPr>
      <w:r>
        <w:t>两者存在多项不能直接迁移的差异。ALLLHRC是七残基序列而不是Aβ；产物阶段的时长只有参考研究的十分之一；配置的力场和运行实现也不同。现有ALLLHRC输出不含经过核实的残基接触图、水桥分析、肽驻留区域或与实验相关的表型。因此，不能把AChE 344–361驻留区、PAS迁移、Aβ聚集行为或任何Aβ特异相互作用赋予ALLLHRC。图标题中继承的Aβ文字还需要在源分析包中更正，并通过拓扑与轨迹标识符进行确认。</w:t>
      </w:r>
    </w:p>
    <w:p>
      <w:pPr>
        <w:pStyle w:val="Heading3"/>
        <w:keepNext/>
      </w:pPr>
      <w:r>
        <w:t>结构与生物学局限</w:t>
      </w:r>
    </w:p>
    <w:p>
      <w:pPr>
        <w:pStyle w:val="BodyText"/>
      </w:pPr>
      <w:r>
        <w:t>本分析基于单条轨迹。未提供独立种子重复、apo-AChE对照、替代起始姿势或其他肽复合物。一个100 ns运行内的平台持续性不等于系综收敛，单一力场轨迹也无法估计初始化和模型选择所产生的不确定性。配置流程中的Berendsen压力耦合和未固定的生成速度种子应被如实报告，并在后续重复产物模拟中前瞻性处理，而不能在观察结果后再改变。</w:t>
      </w:r>
    </w:p>
    <w:p>
      <w:pPr>
        <w:pStyle w:val="BodyText"/>
      </w:pPr>
      <w:r>
        <w:t>当前输出还缺少完整复现材料，包括确切GROMACS版本、起始坐标、末端和质子化状态、拓扑、TPR、XTC/TRR、EDR、LOG、CPT、索引组、分析命令及文件哈希。全复合物RMSD尤其容易受到周期性边界成像影响。后续分析应明确拟合和居中顺序，并在肽自拟合RMSD之外提供受体拟合后的肽RMSD。还应固定RMSF残基名称、二级结构分析选择、RDF归一化、氢键几何定义和帧排除规则。</w:t>
      </w:r>
    </w:p>
    <w:p>
      <w:pPr>
        <w:pStyle w:val="BodyText"/>
      </w:pPr>
      <w:r>
        <w:t>本研究未测量结合自由能、动力学驻留时间、AChE催化活性、与已知配体的竞争、Aβ聚集、BBB转运、细胞毒性或AD相关表型。该轨迹不能证明ALLLHRC抑制AChE、结合外周阴离子位点、改变淀粉样组装、进入脑内或参与疾病。回答这些问题需要经过核实的体系身份、独立种子轨迹、残基层面结构分析、生化结合和酶学实验，以及适当的肽对照。</w:t>
      </w:r>
    </w:p>
    <w:sectPr>
      <w:pgSz w:w="11906" w:h="16838"/>
      <w:pgMar w:top="1440" w:right="1440" w:bottom="1440" w:left="1440" w:header="600" w:footer="600" w:gutter="0"/>
      <w:cols w:space="720"/>
      <w:docGrid w:linePitch="480"/>
    </w:sectPr>
  </w:body>
</w:document>
</file>

<file path=word/fontTable.xml><?xml version="1.0" encoding="utf-8"?>
<w:fonts xmlns:w="http://schemas.openxmlformats.org/wordprocessingml/2006/main">
  <w:font w:name="Times New Roman"/>
  <w:font w:name="Arial"/>
  <w:font w:name="宋体"/>
  <w:font w:name="黑体"/>
  <w:font w:name="Consolas"/>
  <w:font w:name="等线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4"/>
        <w:szCs w:val="24"/>
        <w:lang w:val="en-US" w:eastAsia="zh-CN"/>
      </w:rPr>
    </w:rPrDefault>
    <w:pPrDefault>
      <w:pPr>
        <w:spacing w:before="0" w:after="0" w:line="480" w:lineRule="auto"/>
        <w:jc w:val="both"/>
        <w:widowControl/>
      </w:pPr>
    </w:pPrDefault>
  </w:docDefaults>
  <w:style w:type="paragraph" w:default="1" w:styleId="Normal">
    <w:name w:val="Normal"/>
    <w:qFormat/>
    <w:pPr>
      <w:spacing w:before="0" w:after="0" w:line="480" w:lineRule="auto"/>
      <w:jc w:val="both"/>
      <w:widowControl/>
    </w:pPr>
    <w:rPr>
      <w:sz w:val="24"/>
      <w:szCs w:val="24"/>
    </w:rPr>
  </w:style>
  <w:style w:type="paragraph" w:styleId="BodyText">
    <w:name w:val="Body Text"/>
    <w:basedOn w:val="Normal"/>
    <w:next w:val="BodyText"/>
    <w:qFormat/>
    <w:pPr>
      <w:ind w:firstLine="480"/>
      <w:spacing w:before="0" w:after="0" w:line="480" w:lineRule="auto"/>
      <w:jc w:val="both"/>
      <w:widowControl/>
    </w:pPr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jc w:val="left"/>
      <w:outlineLvl w:val="0"/>
    </w:pPr>
    <w:rPr>
      <w:rFonts w:ascii="Times New Roman" w:hAnsi="Times New Roman" w:eastAsia="黑体"/>
      <w:b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before="240" w:after="120"/>
      <w:jc w:val="left"/>
      <w:outlineLvl w:val="1"/>
    </w:pPr>
    <w:rPr>
      <w:rFonts w:ascii="Times New Roman" w:hAnsi="Times New Roman" w:eastAsia="黑体"/>
      <w:b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180" w:after="60"/>
      <w:outlineLvl w:val="2"/>
    </w:pPr>
    <w:rPr>
      <w:rFonts w:ascii="Times New Roman" w:hAnsi="Times New Roman" w:eastAsia="黑体"/>
      <w:b/>
      <w:i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120" w:after="0"/>
      <w:outlineLvl w:val="3"/>
    </w:pPr>
    <w:rPr>
      <w:i/>
      <w:color w:val="000000"/>
      <w:sz w:val="24"/>
      <w:szCs w:val="24"/>
    </w:rPr>
  </w:style>
  <w:style w:type="paragraph" w:styleId="Note">
    <w:name w:val="Note"/>
    <w:basedOn w:val="Normal"/>
    <w:pPr>
      <w:spacing w:after="0" w:line="480" w:lineRule="auto"/>
    </w:pPr>
    <w:rPr>
      <w:i/>
      <w:sz w:val="24"/>
      <w:szCs w:val="24"/>
    </w:rPr>
  </w:style>
  <w:style w:type="paragraph" w:styleId="Keywords">
    <w:name w:val="Keywords"/>
    <w:basedOn w:val="Normal"/>
    <w:pPr>
      <w:spacing w:after="120" w:line="480" w:lineRule="auto"/>
    </w:pPr>
    <w:rPr>
      <w:sz w:val="24"/>
      <w:szCs w:val="24"/>
    </w:rPr>
  </w:style>
  <w:style w:type="paragraph" w:styleId="Caption">
    <w:name w:val="Caption"/>
    <w:basedOn w:val="Normal"/>
    <w:pPr>
      <w:keepNext/>
      <w:spacing w:before="120" w:after="60" w:line="240" w:lineRule="auto"/>
      <w:jc w:val="left"/>
    </w:pPr>
    <w:rPr>
      <w:sz w:val="20"/>
      <w:szCs w:val="20"/>
    </w:rPr>
  </w:style>
  <w:style w:type="paragraph" w:styleId="Figure">
    <w:name w:val="Figure"/>
    <w:basedOn w:val="Normal"/>
  </w:style>
  <w:style w:type="paragraph" w:styleId="Reference">
    <w:name w:val="Reference"/>
    <w:basedOn w:val="Normal"/>
    <w:pPr>
      <w:spacing w:after="0" w:line="480" w:lineRule="auto"/>
      <w:jc w:val="left"/>
    </w:pPr>
    <w:rPr>
      <w:sz w:val="24"/>
      <w:szCs w:val="24"/>
    </w:rPr>
  </w:style>
  <w:style w:type="paragraph" w:styleId="ListParagraph">
    <w:name w:val="List Paragraph"/>
    <w:basedOn w:val="Normal"/>
    <w:pPr>
      <w:spacing w:after="0" w:line="480" w:lineRule="auto"/>
    </w:pPr>
  </w:style>
  <w:style w:type="paragraph" w:styleId="TableText">
    <w:name w:val="Table Text"/>
    <w:basedOn w:val="Normal"/>
    <w:pPr>
      <w:spacing w:before="0" w:after="0" w:line="240" w:lineRule="auto"/>
      <w:jc w:val="left"/>
    </w:pPr>
    <w:rPr>
      <w:sz w:val="20"/>
      <w:szCs w:val="20"/>
    </w:rPr>
  </w:style>
  <w:style w:type="table" w:styleId="ThreeLineTable">
    <w:name w:val="Three-Line Table"/>
    <w:tblPr>
      <w:tblBorders>
        <w:top w:val="single" w:sz="12" w:color="000000"/>
        <w:left w:val="nil"/>
        <w:bottom w:val="single" w:sz="12" w:color="000000"/>
        <w:right w:val="nil"/>
        <w:insideH w:val="nil"/>
        <w:insideV w:val="nil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Dependency-free OOXML builder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Chinese</dc:title>
  <dcterms:created xsi:type="dcterms:W3CDTF">2026-08-23T00:00:00Z</dcterms:created>
  <dcterms:modified xsi:type="dcterms:W3CDTF">2026-08-23T00:00:00Z</dcterms:modified>
</cp:coreProperties>
</file>