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Computational Prioritization of Periodontitis-Cohort Oral Micropeptides with Predicted Blood–Brain Barrier Permeability, Neurotoxicity, and Metal-Interaction Features Relevant to Alzheimer’s Disease: A Multi-Model In Silico Study</w:t>
      </w:r>
    </w:p>
    <w:p>
      <w:pPr>
        <w:pStyle w:val="Heading1"/>
        <w:keepNext/>
      </w:pPr>
      <w:r>
        <w:t>牙周炎队列口腔微肽的计算优先级排序：与阿尔茨海默病相关的血脑屏障渗透、神经毒性及金属相互作用预测的多模型研究</w:t>
      </w:r>
    </w:p>
    <w:p>
      <w:pPr>
        <w:pStyle w:val="Note"/>
      </w:pPr>
      <w:r>
        <w:rPr>
          <w:b/>
        </w:rPr>
        <w:t>Bilingual section-parallel scientific-content draft / 中英文分节对照科学内容草案</w:t>
      </w:r>
    </w:p>
    <w:p>
      <w:pPr>
        <w:pStyle w:val="Note"/>
      </w:pPr>
      <w:r>
        <w:rPr>
          <w:b/>
        </w:rPr>
        <w:t>Article type:</w:t>
      </w:r>
      <w:r>
        <w:t xml:space="preserve"> Original Research Article</w:t>
      </w:r>
    </w:p>
    <w:p>
      <w:pPr>
        <w:pStyle w:val="Note"/>
      </w:pPr>
      <w:r>
        <w:rPr>
          <w:b/>
        </w:rPr>
        <w:t>Draft status:</w:t>
      </w:r>
      <w:r>
        <w:t xml:space="preserve"> Scientific-content draft for author review. Author names, affiliations, correspondence details, and author-approved declarations were not supplied and are intentionally not invented.</w:t>
      </w:r>
    </w:p>
    <w:p>
      <w:pPr>
        <w:pStyle w:val="Note"/>
      </w:pPr>
      <w:r>
        <w:rPr>
          <w:b/>
        </w:rPr>
        <w:t>文章类型：</w:t>
      </w:r>
      <w:r>
        <w:t xml:space="preserve"> 原创研究论文</w:t>
      </w:r>
    </w:p>
    <w:p>
      <w:pPr>
        <w:pStyle w:val="Note"/>
      </w:pPr>
      <w:r>
        <w:rPr>
          <w:b/>
        </w:rPr>
        <w:t>稿件状态：</w:t>
      </w:r>
      <w:r>
        <w:t xml:space="preserve"> 供作者审核的科学内容草案。因未提供作者姓名、单位、通讯信息及经作者批准的声明，本稿不作任何虚构性补写。</w:t>
      </w:r>
    </w:p>
    <w:p>
      <w:pPr>
        <w:pStyle w:val="Heading2"/>
        <w:keepNext/>
      </w:pPr>
      <w:r>
        <w:t>Abstract / 摘要</w:t>
      </w:r>
    </w:p>
    <w:p>
      <w:pPr>
        <w:pStyle w:val="Heading3"/>
        <w:keepNext/>
      </w:pPr>
      <w:r>
        <w:t>English</w:t>
      </w:r>
    </w:p>
    <w:p>
      <w:pPr>
        <w:pStyle w:val="Normal"/>
      </w:pPr>
      <w:r>
        <w:rPr>
          <w:b/>
        </w:rPr>
        <w:t>Background:</w:t>
      </w:r>
      <w:r>
        <w:t xml:space="preserve"> Periodontitis is associated with cognitive disorders in observational and preclinical literature, but the molecular mediators of this relationship remain uncertain. Small proteins encoded by oral microbial short open reading frames are under-characterized and may provide experimentally tractable candidates. This study aimed to prioritize periodontitis-cohort oral peptides with convergent sequence-based predictions relevant to blood–brain barrier (BBB) permeability, neurotoxicity, and metal interaction.</w:t>
      </w:r>
    </w:p>
    <w:p>
      <w:pPr>
        <w:pStyle w:val="Normal"/>
      </w:pPr>
      <w:r>
        <w:rPr>
          <w:b/>
        </w:rPr>
        <w:t>Methods:</w:t>
      </w:r>
      <w:r>
        <w:t xml:space="preserve"> Aggregate inputs and outputs were obtained from the supplied primary analysis record. That record described 4–50-amino-acid sORFs from an oral metagenomic cohort, exact sequence matching against oral proteomic/reference resources, removal of duplicates, and division into 5–30-amino-acid and 31–50-amino-acid branches. UniDL4BioPep outputs at a model-score threshold of 0.80 were used to identify BBB-high candidates. The periodontitis branch was then evaluated with NTxPred2 for sequences of at least 7 amino acids, mebipred at a threshold of 0.50 for Cu/Fe/Zn-binding potential, and AnOxPePred for chelating (CHEL) and free-radical-scavenging (FRS) scores. Analyses were descriptive; percentages were recomputed from reported aggregate counts.</w:t>
      </w:r>
    </w:p>
    <w:p>
      <w:pPr>
        <w:pStyle w:val="Normal"/>
      </w:pPr>
      <w:r>
        <w:rPr>
          <w:b/>
        </w:rPr>
        <w:t>Results:</w:t>
      </w:r>
      <w:r>
        <w:t xml:space="preserve"> The supplied workflow reported 11,269,961 healthy-branch and 11,721,988 periodontitis-branch sORFs, yielding 31,510 and 33,786 nonredundant evidence-filtered candidates, respectively. BBB-high predictions included 3,359 of 30,557 healthy short peptides (10.99%), 3,446 of 32,754 periodontitis short peptides (10.52%), 40 of 953 healthy long peptides (4.20%), and 72 of 1,032 periodontitis long peptides (6.98%). Downstream periodontitis prioritization therefore comprised 3,518 candidates, of which 3,446 (97.95%) were 5–30 amino acids. NTxPred2 covered 3,299 candidates after 219 sequences shorter than 7 amino acids were excluded; 923 of 3,299 (27.98%) were predicted neurotoxic. The supplied record next reported 111 Cu/Fe/Zn-binding-positive candidates. Of these, 15 had CHEL≥0.25, 12 additionally met FRS&lt;0.50, and 8 met the stricter FRS&lt;0.45 criterion.</w:t>
      </w:r>
    </w:p>
    <w:p>
      <w:pPr>
        <w:pStyle w:val="Normal"/>
      </w:pPr>
      <w:r>
        <w:rPr>
          <w:b/>
        </w:rPr>
        <w:t>Conclusions:</w:t>
      </w:r>
      <w:r>
        <w:t xml:space="preserve"> Sequential model convergence reduced a large periodontitis-cohort sORF space to a 12-candidate operational set and an 8-candidate stricter subset for experimental follow-up. These outputs are prioritization signals, not evidence of brain exposure, neurotoxicity, metal-dependent pro-oxidant activity, taxonomic origin, or Alzheimer’s disease causation. Sequence-level outputs, model provenance, and experimental validation are required before mechanistic claims can be evaluated.</w:t>
      </w:r>
    </w:p>
    <w:p>
      <w:pPr>
        <w:pStyle w:val="Keywords"/>
      </w:pPr>
      <w:r>
        <w:rPr>
          <w:b/>
        </w:rPr>
        <w:t>Keywords:</w:t>
      </w:r>
      <w:r>
        <w:t xml:space="preserve"> periodontitis; oral microbiome; micropeptide; short open reading frame; blood–brain barrier; neurotoxicity; metal binding; Alzheimer’s disease; computational prioritization</w:t>
      </w:r>
    </w:p>
    <w:p>
      <w:pPr>
        <w:pStyle w:val="Heading3"/>
        <w:keepNext/>
      </w:pPr>
      <w:r>
        <w:t>中文</w:t>
      </w:r>
    </w:p>
    <w:p>
      <w:pPr>
        <w:pStyle w:val="Normal"/>
      </w:pPr>
      <w:r>
        <w:rPr>
          <w:b/>
        </w:rPr>
        <w:t>背景：</w:t>
      </w:r>
      <w:r>
        <w:t xml:space="preserve"> 观察性和临床前文献显示牙周炎与认知障碍存在关联，但其分子介质仍不明确。口腔微生物短开放阅读框编码的小蛋白尚未得到充分表征，可能为实验验证提供可操作的候选对象。本研究旨在对牙周炎队列口腔肽进行优先级排序，筛选在血脑屏障（BBB）渗透、神经毒性和金属相互作用等序列预测上呈现汇聚特征的候选肽。</w:t>
      </w:r>
    </w:p>
    <w:p>
      <w:pPr>
        <w:pStyle w:val="Normal"/>
      </w:pPr>
      <w:r>
        <w:rPr>
          <w:b/>
        </w:rPr>
        <w:t>方法：</w:t>
      </w:r>
      <w:r>
        <w:t xml:space="preserve"> 聚合层面的输入和输出取自所提供的主要分析记录。该记录描述了口腔宏基因组队列的 4–50 aa sORF、与口腔蛋白质组/参考资源的精确序列匹配、去重，以及 5–30 aa 与 31–50 aa 两个分支。以 UniDL4BioPep 模型输出 0.80 为阈值筛选 BBB 高分候选。随后，对牙周炎分支中长度至少为 7 aa 的序列使用 NTxPred2；以 0.50 为阈值使用 mebipred 预测 Cu/Fe/Zn 结合潜力；并使用 AnOxPePred 计算螯合（CHEL）与自由基清除（FRS）分数。分析为描述性分析；比例由报告的聚合计数重新计算。</w:t>
      </w:r>
    </w:p>
    <w:p>
      <w:pPr>
        <w:pStyle w:val="Normal"/>
      </w:pPr>
      <w:r>
        <w:rPr>
          <w:b/>
        </w:rPr>
        <w:t>结果：</w:t>
      </w:r>
      <w:r>
        <w:t xml:space="preserve"> 所提供流程报告健康分支和牙周炎分支分别含 11,269,961 和 11,721,988 条 sORF，经证据过滤后分别获得 31,510 和 33,786 条非冗余候选。BBB 高分预测包括：健康短肽 3,359/30,557（10.99%）、牙周炎短肽 3,446/32,754（10.52%）、健康长肽 40/953（4.20%）及牙周炎长肽 72/1,032（6.98%）。因此，牙周炎分支后续优先排序集合共 3,518 条，其中 3,446 条（97.95%）为 5–30 aa。排除 219 条短于 7 aa 的序列后，NTxPred2 覆盖 3,299 条，其中 923 条（27.98%）被预测为神经毒性阳性。所提供记录随后报告 111 条 Cu/Fe/Zn 结合阳性候选；其中 15 条满足 CHEL≥0.25，12 条进一步满足 FRS&lt;0.50，8 条满足更严格的 FRS&lt;0.45。</w:t>
      </w:r>
    </w:p>
    <w:p>
      <w:pPr>
        <w:pStyle w:val="Normal"/>
      </w:pPr>
      <w:r>
        <w:rPr>
          <w:b/>
        </w:rPr>
        <w:t>结论：</w:t>
      </w:r>
      <w:r>
        <w:t xml:space="preserve"> 多模型顺序汇聚将牙周炎队列的大规模 sORF 空间缩减为 12 条操作性主候选和 8 条严格子集，可供后续实验优先验证。这些输出仅是优先级信号，不构成脑暴露、神经毒性、金属依赖性促氧化作用、分类学来源或 AD 因果关系的证据。在评价机制性主张之前，必须补齐序列级输出、模型运行来源及实验验证。</w:t>
      </w:r>
    </w:p>
    <w:p>
      <w:pPr>
        <w:pStyle w:val="Keywords"/>
      </w:pPr>
      <w:r>
        <w:rPr>
          <w:b/>
        </w:rPr>
        <w:t>关键词：</w:t>
      </w:r>
      <w:r>
        <w:t xml:space="preserve"> 牙周炎；口腔微生物组；微肽；短开放阅读框；血脑屏障；神经毒性；金属结合；阿尔茨海默病；计算优先排序</w:t>
      </w:r>
    </w:p>
    <w:p>
      <w:pPr>
        <w:pStyle w:val="Heading2"/>
        <w:keepNext/>
        <w:pageBreakBefore/>
      </w:pPr>
      <w:r>
        <w:t>1. Introduction / 1 引言</w:t>
      </w:r>
    </w:p>
    <w:p>
      <w:pPr>
        <w:pStyle w:val="Heading3"/>
        <w:keepNext/>
      </w:pPr>
      <w:r>
        <w:t>English</w:t>
      </w:r>
    </w:p>
    <w:p>
      <w:pPr>
        <w:pStyle w:val="Normal"/>
      </w:pPr>
      <w:r>
        <w:t>Small proteins encoded by short open reading frames are routinely under-detected because sequence length complicates both gene calling and experimental annotation. Large-scale analyses of human-associated metagenomes have nevertheless identified thousands of conserved small-protein families, many lacking known domains, and have provided transcriptional or translational evidence for subsets [1]. Oral metagenomic and metatranscriptomic studies further show that periodontitis is associated with altered species-level activity in a complex microbial community [2]. These observations motivate systematic analysis of small coding sequences in periodontal microbiomes, while also emphasizing that a predicted sORF is not automatically a translated or functional peptide.</w:t>
      </w:r>
    </w:p>
    <w:p>
      <w:pPr>
        <w:pStyle w:val="Normal"/>
      </w:pPr>
      <w:r>
        <w:t>Sequence databases and mass-spectrometry repositories offer complementary evidence. HOMD/eHOMD provides curated oral microbial taxonomic and genomic references [3,4], whereas salivary metaproteomic studies can establish that a peptide sequence has been observed in an oral mass-spectrometry context [5,6]. Such cross-resource matching can reduce an initial search space, but its meaning depends on the source dataset. In particular, prior detection in an oral dataset from another disease or experimental system does not establish expression in the metagenomic cohort being analyzed, nor does it establish periodontitis specificity.</w:t>
      </w:r>
    </w:p>
    <w:p>
      <w:pPr>
        <w:pStyle w:val="Normal"/>
      </w:pPr>
      <w:r>
        <w:t>A second challenge is to convert a large candidate set into a tractable validation panel without overstating model outputs. UniDL4BioPep applies pretrained biological-language-model representations within a common deep-learning architecture for peptide bioactivity classification [7]. NTxPred2, mebipred, and AnOxPePred respectively estimate neurotoxicity, sequence-level metal-binding potential, and antioxidant-related chelating/free-radical-scavenging features [8–10]. Convergence across these tools may be useful for ranking, but the tools were trained for different tasks and do not jointly demonstrate a biological mechanism.</w:t>
      </w:r>
    </w:p>
    <w:p>
      <w:pPr>
        <w:pStyle w:val="Normal"/>
      </w:pPr>
      <w:r>
        <w:t xml:space="preserve">Periodontal disease has been associated with cognitive decline, dementia, and Alzheimer’s disease (AD) in observational syntheses, although estimates vary by disease definition, severity, sex, population, and study design [11,12,17]. Oral-bacteria/AD findings are also heterogeneous [13]. Mechanistic studies involving </w:t>
      </w:r>
      <w:r>
        <w:rPr>
          <w:i/>
        </w:rPr>
        <w:t>Porphyromonas gingivalis</w:t>
      </w:r>
      <w:r>
        <w:t xml:space="preserve"> and gingipains provide a rationale for investigating oral microbial products [14], but they cannot be transferred to unclassified peptides. Accordingly, this study asked a deliberately narrower question: among periodontitis-branch oral sORF candidates in the supplied analysis, which peptides survive a transparent sequence of BBB, neurotoxicity, metal-binding, CHEL, and FRS prediction filters? The objective was computational prioritization rather than causal or mechanistic validation.</w:t>
      </w:r>
    </w:p>
    <w:p>
      <w:pPr>
        <w:pStyle w:val="Heading3"/>
        <w:keepNext/>
      </w:pPr>
      <w:r>
        <w:t>中文</w:t>
      </w:r>
    </w:p>
    <w:p>
      <w:pPr>
        <w:pStyle w:val="Normal"/>
      </w:pPr>
      <w:r>
        <w:t>短开放阅读框编码的小蛋白常因序列过短增加基因识别和实验注释难度而被漏检。然而，对人体相关宏基因组的大规模分析已发现数千个保守的小蛋白家族，其中许多缺少已知结构域，并有部分家族获得转录或翻译证据 [1]。口腔宏基因组和宏转录组研究还显示，牙周炎与复杂微生物群落中物种层面的活性变化相关 [2]。这些结果为系统分析牙周微生物组中的小编码序列提供了依据，同时也提示：预测到 sORF 并不等于其必然被翻译或具有生物学功能。</w:t>
      </w:r>
    </w:p>
    <w:p>
      <w:pPr>
        <w:pStyle w:val="Normal"/>
      </w:pPr>
      <w:r>
        <w:t>序列数据库与质谱数据库可以提供互补证据。HOMD/eHOMD 提供经整理的口腔微生物分类学和基因组参考 [3,4]，而唾液宏蛋白质组研究可以表明某条肽序列曾在口腔质谱场景中被观察到 [5,6]。跨资源匹配有助于缩小初始搜索空间，但其证据含义取决于源数据集。特别是，在另一疾病或实验体系的口腔数据集中曾被检测到，并不能证明该序列在本研究的宏基因组队列中表达，也不能证明其具有牙周炎特异性。</w:t>
      </w:r>
    </w:p>
    <w:p>
      <w:pPr>
        <w:pStyle w:val="Normal"/>
      </w:pPr>
      <w:r>
        <w:t>第二个挑战是在不夸大模型输出的前提下，把庞大的候选集合缩减到可验证规模。UniDL4BioPep 在统一深度学习框架中使用预训练生物语言模型表征，对肽生物活性进行分类 [7]。NTxPred2、mebipred 和 AnOxPePred 分别估计神经毒性、序列层面的金属结合潜力，以及与抗氧化相关的螯合/自由基清除特征 [8–10]。这些工具的预测汇聚可用于排序，但各工具的训练任务不同，不能共同替代生物机制证据。</w:t>
      </w:r>
    </w:p>
    <w:p>
      <w:pPr>
        <w:pStyle w:val="Normal"/>
      </w:pPr>
      <w:r>
        <w:t>观察性证据汇总显示，牙周病与认知下降、痴呆及 AD 存在关联，但效应估计受到疾病定义、严重程度、性别、人群和研究设计影响 [11,12,17]。口腔细菌与 AD 的研究结果也存在异质性 [13]。涉及牙龈卟啉单胞菌及牙龈蛋白酶的机制研究为探索口腔微生物产物提供了依据 [14]，但不能将相关物种归因转移给未分类的候选肽。因此，本研究提出一个有意收窄的问题：在所提供分析的牙周炎分支口腔 sORF 候选中，哪些肽能依次通过 BBB、神经毒性、金属结合、CHEL 和 FRS 的预测过滤？本研究的目标是计算优先级排序，而不是因果或机制验证。</w:t>
      </w:r>
    </w:p>
    <w:p>
      <w:pPr>
        <w:pStyle w:val="Heading2"/>
        <w:keepNext/>
        <w:pageBreakBefore/>
      </w:pPr>
      <w:r>
        <w:t>2. Materials and Methods / 2 材料与方法</w:t>
      </w:r>
    </w:p>
    <w:p>
      <w:pPr>
        <w:pStyle w:val="Heading3"/>
        <w:keepNext/>
      </w:pPr>
      <w:r>
        <w:t>English</w:t>
      </w:r>
    </w:p>
    <w:p>
      <w:pPr>
        <w:pStyle w:val="Heading4"/>
        <w:keepNext/>
      </w:pPr>
      <w:r>
        <w:t>2.1 Study design and evidence provenance</w:t>
      </w:r>
    </w:p>
    <w:p>
      <w:pPr>
        <w:pStyle w:val="Normal"/>
      </w:pPr>
      <w:r>
        <w:t xml:space="preserve">This was a secondary computational analysis of public-data-derived sORF candidates, reported at aggregate level in the supplied primary record </w:t>
      </w:r>
      <w:r>
        <w:rPr>
          <w:rFonts w:ascii="Consolas" w:hAnsi="Consolas" w:eastAsia="等线"/>
          <w:shd w:val="clear" w:color="auto" w:fill="F2F4F7"/>
        </w:rPr>
        <w:t>材料与方法及结果_机制研究版.docx</w:t>
      </w:r>
      <w:r>
        <w:t xml:space="preserve"> (SHA-256: </w:t>
      </w:r>
      <w:r>
        <w:rPr>
          <w:rFonts w:ascii="Consolas" w:hAnsi="Consolas" w:eastAsia="等线"/>
          <w:shd w:val="clear" w:color="auto" w:fill="F2F4F7"/>
        </w:rPr>
        <w:t>f4132a02cb9955c808739c3cbf15edd947f6203d577e8586490933a5d2daa4b5</w:t>
      </w:r>
      <w:r>
        <w:t>). No new participants, specimens, wet-laboratory experiments, docking, molecular dynamics, or quantum calculations were included in the present study.</w:t>
      </w:r>
    </w:p>
    <w:p>
      <w:pPr>
        <w:pStyle w:val="Normal"/>
      </w:pPr>
      <w:r>
        <w:t>The source record identified PRJNA678453 and PRJEB65451 and stated that 296 high-quality metagenome-assembled genomes represented 24 healthy controls and 26 individuals with periodontitis. PRJNA678453 could be linked to a published oral metagenomic/metatranscriptomic study [2]. PRJEB65451 could not be independently resolved during manuscript preparation; its role therefore remains a provenance uncertainty rather than a verified accession claim.</w:t>
      </w:r>
    </w:p>
    <w:p>
      <w:pPr>
        <w:pStyle w:val="Normal"/>
      </w:pPr>
      <w:r>
        <w:t>Only aggregate counts, thresholds, and workflow descriptions were available for drafting. Candidate sequences, sample-to-sequence mappings, taxonomic assignments, per-row prediction scores, model-run logs, executable code, and software/database version snapshots were not provided. The analyses reported below reproduce the supplied aggregate record and deterministic percentage calculations, not an independent rerun of the underlying bioinformatics pipeline.</w:t>
      </w:r>
    </w:p>
    <w:p>
      <w:pPr>
        <w:pStyle w:val="Heading4"/>
        <w:keepNext/>
      </w:pPr>
      <w:r>
        <w:t>2.2 sORF construction and sequence-evidence filtering</w:t>
      </w:r>
    </w:p>
    <w:p>
      <w:pPr>
        <w:pStyle w:val="Normal"/>
      </w:pPr>
      <w:r>
        <w:t>According to the supplied record, sample-specific mapping was used to construct healthy and periodontitis sORF libraries, followed by retention of translated sequences 4–50 amino acids long. The raw libraries contained 11,269,961 healthy-branch and 11,721,988 periodontitis-branch sORFs.</w:t>
      </w:r>
    </w:p>
    <w:p>
      <w:pPr>
        <w:pStyle w:val="Normal"/>
      </w:pPr>
      <w:r>
        <w:t>The workflow used hash-indexed exact sequence matching against oral sequence/proteomic resources and then removed duplicate sequences. The short-peptide resource set named PXD003151, PXD004319, and PXD026727. PXD004319 contains saliva from participants with periodontitis, dental caries, and oral health [5]. PXD026727 derives from a lung-cancer salivary metaproteomics study [6], and PXD003151 has been described in the oral-dysbiosis/caries-risk context. These heterogeneous datasets can support prior observation in an oral mass-spectrometry context but cannot, by themselves, establish periodontitis-specific expression. The supplied record labeled the 31–50-amino-acid branch as HOMD-derived [3,4]; because HOMD is a sequence/taxonomy resource rather than a mass-spectrometry repository, the exact expression-evidence status of this branch requires clarification.</w:t>
      </w:r>
    </w:p>
    <w:p>
      <w:pPr>
        <w:pStyle w:val="Normal"/>
      </w:pPr>
      <w:r>
        <w:t>After filtering and deduplication, the reported healthy and periodontitis candidate sets contained 31,510 and 33,786 sequences. Candidates were analyzed as a short branch (5–30 amino acids; healthy, 30,557; periodontitis, 32,754) and a long branch (31–50 amino acids; healthy, 953; periodontitis, 1,032). Although the initial length filter included 4-amino-acid sequences, the reported downstream branch counts begin at 5 amino acids; the fate of 4-amino-acid sequences was not documented.</w:t>
      </w:r>
    </w:p>
    <w:p>
      <w:pPr>
        <w:pStyle w:val="Heading4"/>
        <w:keepNext/>
      </w:pPr>
      <w:r>
        <w:t>2.3 Multi-activity prediction with UniDL4BioPep</w:t>
      </w:r>
    </w:p>
    <w:p>
      <w:pPr>
        <w:pStyle w:val="Normal"/>
      </w:pPr>
      <w:r>
        <w:t>The supplied workflow used UniDL4BioPep [7] with ESM2-derived sequence representations (</w:t>
      </w:r>
      <w:r>
        <w:rPr>
          <w:rFonts w:ascii="Consolas" w:hAnsi="Consolas" w:eastAsia="等线"/>
          <w:shd w:val="clear" w:color="auto" w:fill="F2F4F7"/>
        </w:rPr>
        <w:t>esm2_t6_8M_UR50D</w:t>
      </w:r>
      <w:r>
        <w:t>) to score more than 20 peptide-bioactivity classes. A model output of at least 0.80 was treated as an operational high-score threshold for every class. Because model calibration and external validation in the present candidate domain were not available, “high-score” is used here instead of “confirmed high-confidence activity.”</w:t>
      </w:r>
    </w:p>
    <w:p>
      <w:pPr>
        <w:pStyle w:val="Normal"/>
      </w:pPr>
      <w:r>
        <w:t>The present article focuses on BBB-related predictions because these defined the input to the downstream prioritization pipeline. The complete reported activity-class counts are retained in Supplementary Tables S1 and S2. Healthy and periodontitis results are descriptive; no hypothesis test, confidence interval, or multiple-testing procedure was reconstructable from the aggregate outputs.</w:t>
      </w:r>
    </w:p>
    <w:p>
      <w:pPr>
        <w:pStyle w:val="Heading4"/>
        <w:keepNext/>
      </w:pPr>
      <w:r>
        <w:t>2.4 BBB-based periodontitis-branch selection</w:t>
      </w:r>
    </w:p>
    <w:p>
      <w:pPr>
        <w:pStyle w:val="Normal"/>
      </w:pPr>
      <w:r>
        <w:t>Candidates with a UniDL4BioPep BBB output of at least 0.80 were retained. The downstream study set was restricted to the periodontitis branch and combined 5–30-amino-acid and 31–50-amino-acid candidates. This restriction creates a disease-branch prioritization set, not a demonstrated disease-specific set, because sequence-level exclusivity and matched differential-abundance analyses were unavailable.</w:t>
      </w:r>
    </w:p>
    <w:p>
      <w:pPr>
        <w:pStyle w:val="Heading4"/>
        <w:keepNext/>
      </w:pPr>
      <w:r>
        <w:t>2.5 NTxPred2 neurotoxicity prediction</w:t>
      </w:r>
    </w:p>
    <w:p>
      <w:pPr>
        <w:pStyle w:val="Normal"/>
      </w:pPr>
      <w:r>
        <w:t>NTxPred2 was used to evaluate candidate neurotoxicity [8]. Per the supplied workflow, this step accepted sequences 7–50 amino acids long. Sequences of 5–6 amino acids were therefore not classified by NTxPred2 and were retained as “not evaluated,” not as neurotoxicity-negative. The reported model output was dichotomized as neurotoxic or non-neurotoxic.</w:t>
      </w:r>
    </w:p>
    <w:p>
      <w:pPr>
        <w:pStyle w:val="Heading4"/>
        <w:keepNext/>
      </w:pPr>
      <w:r>
        <w:t>2.6 Metal-binding and antioxidant-feature prediction</w:t>
      </w:r>
    </w:p>
    <w:p>
      <w:pPr>
        <w:pStyle w:val="Normal"/>
      </w:pPr>
      <w:r>
        <w:t>The workflow next used mebipred with a threshold of 0.50 to prioritize sequences with predicted Cu-, Fe-, or Zn-binding potential [9]. A positive result was interpreted only as sequence-level metal-binding potential; it supplied no binding constant, stoichiometry, residue-level site, oxidation-state preference, or coordination geometry. The supplied narrative positions this step after the NTxPred2-positive set, but no row-level handoff file was available to independently audit the precise mebipred input denominator.</w:t>
      </w:r>
    </w:p>
    <w:p>
      <w:pPr>
        <w:pStyle w:val="Normal"/>
      </w:pPr>
      <w:r>
        <w:t>Mebipred-positive candidates were evaluated with AnOxPePred [10]. Chelating score (CHEL) and free-radical-scavenging score (FRS) files were merged by sequence identifier according to the supplied workflow. Three prespecified operational outputs were summarized: CHEL≥0.25; CHEL≥0.25 plus FRS&lt;0.50 (main set); and CHEL≥0.25 plus FRS&lt;0.45 (stricter subset). These thresholds were prioritization rules in the supplied analysis and were not experimentally calibrated in the current cohort. In particular, high CHEL with lower predicted FRS does not establish metal-dependent pro-oxidant activity.</w:t>
      </w:r>
    </w:p>
    <w:p>
      <w:pPr>
        <w:pStyle w:val="Heading4"/>
        <w:keepNext/>
      </w:pPr>
      <w:r>
        <w:t>2.7 Descriptive analysis</w:t>
      </w:r>
    </w:p>
    <w:p>
      <w:pPr>
        <w:pStyle w:val="Normal"/>
      </w:pPr>
      <w:r>
        <w:t>Counts were transcribed from the primary aggregate record. Percentages were recomputed as 100×n/N using Python standard-library arithmetic and rounded to two decimal places in narrative text. No row-level uncertainty estimate, group-comparison test, effect size, receiver-operating-characteristic analysis, or correction for correlated model outputs could be performed.</w:t>
      </w:r>
    </w:p>
    <w:p>
      <w:pPr>
        <w:pStyle w:val="Heading3"/>
        <w:keepNext/>
      </w:pPr>
      <w:r>
        <w:t>中文</w:t>
      </w:r>
    </w:p>
    <w:p>
      <w:pPr>
        <w:pStyle w:val="Heading4"/>
        <w:keepNext/>
      </w:pPr>
      <w:r>
        <w:t>2.1 研究设计与证据来源</w:t>
      </w:r>
    </w:p>
    <w:p>
      <w:pPr>
        <w:pStyle w:val="Normal"/>
      </w:pPr>
      <w:r>
        <w:t xml:space="preserve">本研究是对来源于公共数据的 sORF 候选进行的二次计算分析；所用信息由主分析记录 </w:t>
      </w:r>
      <w:r>
        <w:rPr>
          <w:rFonts w:ascii="Consolas" w:hAnsi="Consolas" w:eastAsia="等线"/>
          <w:shd w:val="clear" w:color="auto" w:fill="F2F4F7"/>
        </w:rPr>
        <w:t>材料与方法及结果_机制研究版.docx</w:t>
      </w:r>
      <w:r>
        <w:t xml:space="preserve"> 以聚合形式提供（SHA-256：</w:t>
      </w:r>
      <w:r>
        <w:rPr>
          <w:rFonts w:ascii="Consolas" w:hAnsi="Consolas" w:eastAsia="等线"/>
          <w:shd w:val="clear" w:color="auto" w:fill="F2F4F7"/>
        </w:rPr>
        <w:t>f4132a02cb9955c808739c3cbf15edd947f6203d577e8586490933a5d2daa4b5</w:t>
      </w:r>
      <w:r>
        <w:t>）。本研究未新增受试者、样本、湿实验、分子对接、分子动力学或量子化学计算。</w:t>
      </w:r>
    </w:p>
    <w:p>
      <w:pPr>
        <w:pStyle w:val="Normal"/>
      </w:pPr>
      <w:r>
        <w:t>主记录列出 PRJNA678453 和 PRJEB65451，并报告 296 个高质量宏基因组组装基因组来自 24 名健康对照和 26 名牙周炎患者。PRJNA678453 可与已发表的口腔宏基因组/宏转录组研究对应 [2]。在稿件准备期间未能独立解析 PRJEB65451，因此其作用保留为来源不确定性，而不将其写成已经核实的登录号事实。</w:t>
      </w:r>
    </w:p>
    <w:p>
      <w:pPr>
        <w:pStyle w:val="Normal"/>
      </w:pPr>
      <w:r>
        <w:t>本轮写作仅获得聚合计数、阈值和流程描述，未获得候选序列、样本—序列映射、分类学归属、逐行预测分数、模型运行日志、可执行代码及软件/数据库版本快照。因此，下文是对所提供聚合记录和确定性比例计算的复述，而不是对底层生物信息学流程的独立重跑。</w:t>
      </w:r>
    </w:p>
    <w:p>
      <w:pPr>
        <w:pStyle w:val="Heading4"/>
        <w:keepNext/>
      </w:pPr>
      <w:r>
        <w:t>2.2 sORF 构建与序列证据过滤</w:t>
      </w:r>
    </w:p>
    <w:p>
      <w:pPr>
        <w:pStyle w:val="Normal"/>
      </w:pPr>
      <w:r>
        <w:t>根据所提供记录，流程利用样本特异性映射构建健康和牙周炎 sORF 库，随后保留翻译长度为 4–50 aa 的序列。原始库分别含 11,269,961 条健康分支 sORF 和 11,721,988 条牙周炎分支 sORF。</w:t>
      </w:r>
    </w:p>
    <w:p>
      <w:pPr>
        <w:pStyle w:val="Normal"/>
      </w:pPr>
      <w:r>
        <w:t>流程采用基于哈希索引的精确序列匹配，将候选与口腔序列/蛋白质组资源比对，并进行序列去重。短肽资源包括 PXD003151、PXD004319 和 PXD026727。PXD004319 包含牙周炎、龋病和口腔健康受试者的唾液数据 [5]；PXD026727 来自肺癌唾液宏蛋白质组研究 [6]；PXD003151 曾用于口腔生态失调/龋病高风险场景。这些异质数据集可以支持“曾在口腔质谱场景中观察到”，但不能单独证明牙周炎特异性表达。所提供记录把 31–50 aa 分支标记为 HOMD 来源 [3,4]；由于 HOMD 是序列/分类学资源而不是质谱仓库，该分支的表达证据性质仍需澄清。</w:t>
      </w:r>
    </w:p>
    <w:p>
      <w:pPr>
        <w:pStyle w:val="Normal"/>
      </w:pPr>
      <w:r>
        <w:t>过滤和去重后，健康组和牙周炎组分别报告 31,510 和 33,786 条候选。候选按短肽分支（5–30 aa；健康 30,557，牙周炎 32,754）和长肽分支（31–50 aa；健康 953，牙周炎 1,032）分析。尽管初始长度过滤包含 4 aa 序列，报告的后续分支从 5 aa 开始；4 aa 序列的去向没有记录。</w:t>
      </w:r>
    </w:p>
    <w:p>
      <w:pPr>
        <w:pStyle w:val="Heading4"/>
        <w:keepNext/>
      </w:pPr>
      <w:r>
        <w:t>2.3 UniDL4BioPep 多活性预测</w:t>
      </w:r>
    </w:p>
    <w:p>
      <w:pPr>
        <w:pStyle w:val="Normal"/>
      </w:pPr>
      <w:r>
        <w:t>所提供流程使用 UniDL4BioPep [7] 和 ESM2 序列表征（</w:t>
      </w:r>
      <w:r>
        <w:rPr>
          <w:rFonts w:ascii="Consolas" w:hAnsi="Consolas" w:eastAsia="等线"/>
          <w:shd w:val="clear" w:color="auto" w:fill="F2F4F7"/>
        </w:rPr>
        <w:t>esm2_t6_8M_UR50D</w:t>
      </w:r>
      <w:r>
        <w:t>），对 20 余类肽生物活性进行评分。所有类别均以模型输出不低于 0.80 作为操作性高分阈值。由于缺少模型校准及在本候选域中的外部验证，本稿采用“高分”而不是“已证实的高置信活性”。</w:t>
      </w:r>
    </w:p>
    <w:p>
      <w:pPr>
        <w:pStyle w:val="Normal"/>
      </w:pPr>
      <w:r>
        <w:t>本稿聚焦 BBB 相关预测，因为该类别决定后续优先排序流程的输入。完整活性类别计数保存在补充表 S1 和 S2。健康和牙周炎结果均为描述性结果；根据聚合输出无法重建假设检验、置信区间或多重检验校正。</w:t>
      </w:r>
    </w:p>
    <w:p>
      <w:pPr>
        <w:pStyle w:val="Heading4"/>
        <w:keepNext/>
      </w:pPr>
      <w:r>
        <w:t>2.4 基于 BBB 的牙周炎分支筛选</w:t>
      </w:r>
    </w:p>
    <w:p>
      <w:pPr>
        <w:pStyle w:val="Normal"/>
      </w:pPr>
      <w:r>
        <w:t>保留 UniDL4BioPep BBB 输出不低于 0.80 的候选。后续研究集限于牙周炎分支，并合并 5–30 aa 与 31–50 aa 候选。由于缺少序列级排他性和匹配的差异丰度分析，这一限制产生的是“疾病分支优先排序集合”，而不是已证实的“疾病特异性集合”。</w:t>
      </w:r>
    </w:p>
    <w:p>
      <w:pPr>
        <w:pStyle w:val="Heading4"/>
        <w:keepNext/>
      </w:pPr>
      <w:r>
        <w:t>2.5 NTxPred2 神经毒性预测</w:t>
      </w:r>
    </w:p>
    <w:p>
      <w:pPr>
        <w:pStyle w:val="Normal"/>
      </w:pPr>
      <w:r>
        <w:t>采用 NTxPred2 评估候选神经毒性 [8]。根据所提供流程，该步骤接受 7–50 aa 序列。因此，5–6 aa 序列没有接受 NTxPred2 分类，应标记为“未评价”，而不是“神经毒性阴性”。模型输出按神经毒性阳性或阴性汇总。</w:t>
      </w:r>
    </w:p>
    <w:p>
      <w:pPr>
        <w:pStyle w:val="Heading4"/>
        <w:keepNext/>
      </w:pPr>
      <w:r>
        <w:t>2.6 金属结合和抗氧化相关特征预测</w:t>
      </w:r>
    </w:p>
    <w:p>
      <w:pPr>
        <w:pStyle w:val="Normal"/>
      </w:pPr>
      <w:r>
        <w:t>随后使用 mebipred，并以 0.50 为阈值，对具有 Cu、Fe 或 Zn 结合潜力的序列进行优先排序 [9]。阳性结果只解释为序列层面的金属结合潜力，不提供结合常数、化学计量、残基位点、氧化态偏好或配位几何。所提供叙述把该步骤置于 NTxPred2 阳性集合之后，但缺少逐行交接文件，无法独立审核进入 mebipred 的精确分母。</w:t>
      </w:r>
    </w:p>
    <w:p>
      <w:pPr>
        <w:pStyle w:val="Normal"/>
      </w:pPr>
      <w:r>
        <w:t>对 mebipred 阳性候选使用 AnOxPePred [10]。根据所提供流程，按序列标识符合并螯合分数（CHEL）和自由基清除分数（FRS）文件。汇总三个预设操作性输出：CHEL≥0.25；CHEL≥0.25 且 FRS&lt;0.50（主集合）；以及 CHEL≥0.25 且 FRS&lt;0.45（严格子集）。这些阈值是所提供分析中的优先排序规则，在当前队列中没有实验校准。特别是，CHEL 较高且预测 FRS 较低并不能证明金属依赖性促氧化作用。</w:t>
      </w:r>
    </w:p>
    <w:p>
      <w:pPr>
        <w:pStyle w:val="Heading4"/>
        <w:keepNext/>
      </w:pPr>
      <w:r>
        <w:t>2.7 描述性分析</w:t>
      </w:r>
    </w:p>
    <w:p>
      <w:pPr>
        <w:pStyle w:val="Normal"/>
      </w:pPr>
      <w:r>
        <w:t>计数来自主聚合记录。使用 Python 标准库按 100×n/N 重新计算比例，正文保留两位小数。由于缺少逐行数据，无法进行不确定性估计、组间检验、效应量分析、受试者工作特征分析或相关模型输出的校正。</w:t>
      </w:r>
    </w:p>
    <w:p>
      <w:pPr>
        <w:pStyle w:val="Heading2"/>
        <w:keepNext/>
        <w:pageBreakBefore/>
      </w:pPr>
      <w:r>
        <w:t>3. Results / 3 结果</w:t>
      </w:r>
    </w:p>
    <w:p>
      <w:pPr>
        <w:pStyle w:val="Heading3"/>
        <w:keepNext/>
      </w:pPr>
      <w:r>
        <w:t>English</w:t>
      </w:r>
    </w:p>
    <w:p>
      <w:pPr>
        <w:pStyle w:val="Heading4"/>
        <w:keepNext/>
      </w:pPr>
      <w:r>
        <w:t>3.1 Candidate reduction before functional prediction</w:t>
      </w:r>
    </w:p>
    <w:p>
      <w:pPr>
        <w:pStyle w:val="Normal"/>
      </w:pPr>
      <w:r>
        <w:t>The healthy and periodontitis branches began with 11,269,961 and 11,721,988 sORFs, respectively. Evidence filtering and deduplication yielded 31,510 healthy candidates (0.2796% of the raw healthy library) and 33,786 periodontitis candidates (0.2882% of the raw periodontitis library). These proportions describe pipeline retention and were not compared inferentially.</w:t>
      </w:r>
    </w:p>
    <w:p>
      <w:pPr>
        <w:pStyle w:val="Caption"/>
      </w:pPr>
      <w:r>
        <w:rPr>
          <w:b/>
        </w:rPr>
        <w:t>Table 1. Candidate libraries and BBB-high model outputs</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Branch</w:t>
            </w:r>
          </w:p>
        </w:tc>
        <w:tc>
          <w:tcPr>
            <w:tcW w:w="1337" w:type="dxa"/>
            <w:shd w:val="clear" w:color="auto" w:fill="DCE6F1"/>
            <w:vAlign w:val="center"/>
          </w:tcPr>
          <w:p>
            <w:pPr>
              <w:pStyle w:val="TableText"/>
              <w:spacing w:before="0" w:after="0" w:line="220" w:lineRule="auto"/>
            </w:pPr>
            <w:r>
              <w:rPr>
                <w:sz w:val="17"/>
                <w:szCs w:val="17"/>
              </w:rPr>
              <w:t>Raw sORFs</w:t>
            </w:r>
          </w:p>
        </w:tc>
        <w:tc>
          <w:tcPr>
            <w:tcW w:w="1337" w:type="dxa"/>
            <w:shd w:val="clear" w:color="auto" w:fill="DCE6F1"/>
            <w:vAlign w:val="center"/>
          </w:tcPr>
          <w:p>
            <w:pPr>
              <w:pStyle w:val="TableText"/>
              <w:spacing w:before="0" w:after="0" w:line="220" w:lineRule="auto"/>
            </w:pPr>
            <w:r>
              <w:rPr>
                <w:sz w:val="17"/>
                <w:szCs w:val="17"/>
              </w:rPr>
              <w:t>Evidence-filtered candidates</w:t>
            </w:r>
          </w:p>
        </w:tc>
        <w:tc>
          <w:tcPr>
            <w:tcW w:w="1337" w:type="dxa"/>
            <w:shd w:val="clear" w:color="auto" w:fill="DCE6F1"/>
            <w:vAlign w:val="center"/>
          </w:tcPr>
          <w:p>
            <w:pPr>
              <w:pStyle w:val="TableText"/>
              <w:spacing w:before="0" w:after="0" w:line="220" w:lineRule="auto"/>
            </w:pPr>
            <w:r>
              <w:rPr>
                <w:sz w:val="17"/>
                <w:szCs w:val="17"/>
              </w:rPr>
              <w:t>Short background (5–30 aa)</w:t>
            </w:r>
          </w:p>
        </w:tc>
        <w:tc>
          <w:tcPr>
            <w:tcW w:w="1337" w:type="dxa"/>
            <w:shd w:val="clear" w:color="auto" w:fill="DCE6F1"/>
            <w:vAlign w:val="center"/>
          </w:tcPr>
          <w:p>
            <w:pPr>
              <w:pStyle w:val="TableText"/>
              <w:spacing w:before="0" w:after="0" w:line="220" w:lineRule="auto"/>
            </w:pPr>
            <w:r>
              <w:rPr>
                <w:sz w:val="17"/>
                <w:szCs w:val="17"/>
              </w:rPr>
              <w:t>BBB-high short, n (%)</w:t>
            </w:r>
          </w:p>
        </w:tc>
        <w:tc>
          <w:tcPr>
            <w:tcW w:w="1337" w:type="dxa"/>
            <w:shd w:val="clear" w:color="auto" w:fill="DCE6F1"/>
            <w:vAlign w:val="center"/>
          </w:tcPr>
          <w:p>
            <w:pPr>
              <w:pStyle w:val="TableText"/>
              <w:spacing w:before="0" w:after="0" w:line="220" w:lineRule="auto"/>
            </w:pPr>
            <w:r>
              <w:rPr>
                <w:sz w:val="17"/>
                <w:szCs w:val="17"/>
              </w:rPr>
              <w:t>Long background (31–50 aa)</w:t>
            </w:r>
          </w:p>
        </w:tc>
        <w:tc>
          <w:tcPr>
            <w:tcW w:w="1337" w:type="dxa"/>
            <w:shd w:val="clear" w:color="auto" w:fill="DCE6F1"/>
            <w:vAlign w:val="center"/>
          </w:tcPr>
          <w:p>
            <w:pPr>
              <w:pStyle w:val="TableText"/>
              <w:spacing w:before="0" w:after="0" w:line="220" w:lineRule="auto"/>
            </w:pPr>
            <w:r>
              <w:rPr>
                <w:sz w:val="17"/>
                <w:szCs w:val="17"/>
              </w:rPr>
              <w:t>BBB-high long, n (%)</w:t>
            </w:r>
          </w:p>
        </w:tc>
      </w:tr>
      <w:tr>
        <w:tc>
          <w:tcPr>
            <w:tcW w:w="1337" w:type="dxa"/>
            <w:vAlign w:val="center"/>
          </w:tcPr>
          <w:p>
            <w:pPr>
              <w:pStyle w:val="TableText"/>
              <w:spacing w:before="0" w:after="0" w:line="220" w:lineRule="auto"/>
            </w:pPr>
            <w:r>
              <w:rPr>
                <w:sz w:val="17"/>
                <w:szCs w:val="17"/>
              </w:rPr>
              <w:t>Healthy</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 (10.99)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 (4.20)</w:t>
            </w:r>
          </w:p>
        </w:tc>
      </w:tr>
      <w:tr>
        <w:tc>
          <w:tcPr>
            <w:tcW w:w="1337" w:type="dxa"/>
            <w:vAlign w:val="center"/>
          </w:tcPr>
          <w:p>
            <w:pPr>
              <w:pStyle w:val="TableText"/>
              <w:spacing w:before="0" w:after="0" w:line="220" w:lineRule="auto"/>
            </w:pPr>
            <w:r>
              <w:rPr>
                <w:sz w:val="17"/>
                <w:szCs w:val="17"/>
              </w:rPr>
              <w:t>Periodontitis</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 (10.52)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 (6.98)</w:t>
            </w:r>
          </w:p>
        </w:tc>
      </w:tr>
    </w:tbl>
    <w:p>
      <w:pPr>
        <w:spacing w:after="40"/>
      </w:pPr>
    </w:p>
    <w:p>
      <w:pPr>
        <w:pStyle w:val="Heading4"/>
        <w:keepNext/>
      </w:pPr>
      <w:r>
        <w:t>3.2 Descriptive multi-activity profiles</w:t>
      </w:r>
    </w:p>
    <w:p>
      <w:pPr>
        <w:pStyle w:val="Normal"/>
      </w:pPr>
      <w:r>
        <w:t>At the 0.80 output threshold, the short branches contained large predicted-positive fractions for several activity classes. For example, the antimicrobial-activity model labeled 30,537 of 30,557 healthy short candidates (99.93%) and 32,721 of 32,754 periodontitis short candidates (99.90%). The corresponding BBB counts were 3,359 (10.99%) and 3,446 (10.52%); NeuroPred counts were 3,876 (12.68%) and 4,019 (12.27%). Such high prevalences, particularly for antimicrobial activity, should be interpreted as model-output distributions in this sequence domain rather than measured biological prevalence.</w:t>
      </w:r>
    </w:p>
    <w:p>
      <w:pPr>
        <w:pStyle w:val="Normal"/>
      </w:pPr>
      <w:r>
        <w:t>In the long branch, BBB-high predictions comprised 40 of 953 healthy candidates (4.20%) and 72 of 1,032 periodontitis candidates (6.98%). NeuroPred outputs were positive for 82 healthy candidates (8.60%) and 77 periodontitis candidates (7.46%), whereas antimicrobial outputs were positive for 206 (21.62%) and 238 (23.06%). Full class-by-class counts are provided in the supplementary tables. No claim of enrichment or between-group difference was made because row-level predictions and inferential analyses were unavailable.</w:t>
      </w:r>
    </w:p>
    <w:p>
      <w:pPr>
        <w:pStyle w:val="Heading4"/>
        <w:keepNext/>
      </w:pPr>
      <w:r>
        <w:t>3.3 Composition of the periodontitis BBB-high set</w:t>
      </w:r>
    </w:p>
    <w:p>
      <w:pPr>
        <w:pStyle w:val="Normal"/>
      </w:pPr>
      <w:r>
        <w:t>Combining the two length branches produced 3,518 periodontitis BBB-high candidates: 3,446 short peptides (97.95%) and 72 long peptides (2.05%). Among the short candidates, 547 (15.87%) were 5–7 amino acids long, 2,893 (83.95%) were 8–15 amino acids long, and 6 (0.17%) were 16–30 amino acids long. All 72 long candidates were 31–50 amino acids long. Thus, the downstream set was dominated numerically by 8–15-amino-acid sequences.</w:t>
      </w:r>
    </w:p>
    <w:p>
      <w:pPr>
        <w:pStyle w:val="Heading4"/>
        <w:keepNext/>
      </w:pPr>
      <w:r>
        <w:t>3.4 Sequential neurotoxicity, metal-binding, CHEL, and FRS prioritization</w:t>
      </w:r>
    </w:p>
    <w:p>
      <w:pPr>
        <w:pStyle w:val="Normal"/>
      </w:pPr>
      <w:r>
        <w:t>NTxPred2 covered 3,299 of the 3,518 BBB-high candidates. The remaining 219 (6.23%) were shorter than 7 amino acids and were not evaluated in that model step. Of the covered candidates, 923 of 3,299 (27.98%) were classified as neurotoxic; the source record stated that all 923 were 30 amino acids or shorter.</w:t>
      </w:r>
    </w:p>
    <w:p>
      <w:pPr>
        <w:pStyle w:val="Normal"/>
      </w:pPr>
      <w:r>
        <w:t>The supplied record next reported 111 candidates positive for Cu/Fe/Zn-binding potential at the mebipred threshold. Because the row-level handoff was absent, a percentage relative to the preceding 923 candidates is intentionally not reported. Within the 111 reported metal-binding-positive candidates, 15 (13.51%) had CHEL≥0.25. Twelve of 111 (10.81%) also met FRS&lt;0.50 and constituted the operational main set; 8 of 111 (7.21%) met the stricter FRS&lt;0.45 criterion.</w:t>
      </w:r>
    </w:p>
    <w:p>
      <w:pPr>
        <w:pStyle w:val="Caption"/>
      </w:pPr>
      <w:r>
        <w:rPr>
          <w:b/>
        </w:rPr>
        <w:t>Table 2. Periodontitis-branch prioritization funnel</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2340"/>
        <w:gridCol w:w="2340"/>
        <w:gridCol w:w="2340"/>
        <w:gridCol w:w="2340"/>
      </w:tblGrid>
      <w:tr>
        <w:trPr>
          <w:tblHeader/>
        </w:trPr>
        <w:tc>
          <w:tcPr>
            <w:tcW w:w="2340" w:type="dxa"/>
            <w:shd w:val="clear" w:color="auto" w:fill="DCE6F1"/>
            <w:vAlign w:val="center"/>
          </w:tcPr>
          <w:p>
            <w:pPr>
              <w:pStyle w:val="TableText"/>
              <w:spacing w:before="0" w:after="0" w:line="220" w:lineRule="auto"/>
            </w:pPr>
            <w:r>
              <w:rPr>
                <w:sz w:val="17"/>
                <w:szCs w:val="17"/>
              </w:rPr>
              <w:t>Stage</w:t>
            </w:r>
          </w:p>
        </w:tc>
        <w:tc>
          <w:tcPr>
            <w:tcW w:w="2340" w:type="dxa"/>
            <w:shd w:val="clear" w:color="auto" w:fill="DCE6F1"/>
            <w:vAlign w:val="center"/>
          </w:tcPr>
          <w:p>
            <w:pPr>
              <w:pStyle w:val="TableText"/>
              <w:spacing w:before="0" w:after="0" w:line="220" w:lineRule="auto"/>
            </w:pPr>
            <w:r>
              <w:rPr>
                <w:sz w:val="17"/>
                <w:szCs w:val="17"/>
              </w:rPr>
              <w:t>Operational rule</w:t>
            </w:r>
          </w:p>
        </w:tc>
        <w:tc>
          <w:tcPr>
            <w:tcW w:w="2340" w:type="dxa"/>
            <w:shd w:val="clear" w:color="auto" w:fill="DCE6F1"/>
            <w:vAlign w:val="center"/>
          </w:tcPr>
          <w:p>
            <w:pPr>
              <w:pStyle w:val="TableText"/>
              <w:spacing w:before="0" w:after="0" w:line="220" w:lineRule="auto"/>
            </w:pPr>
            <w:r>
              <w:rPr>
                <w:sz w:val="17"/>
                <w:szCs w:val="17"/>
              </w:rPr>
              <w:t>Reported count</w:t>
            </w:r>
          </w:p>
        </w:tc>
        <w:tc>
          <w:tcPr>
            <w:tcW w:w="2340" w:type="dxa"/>
            <w:shd w:val="clear" w:color="auto" w:fill="DCE6F1"/>
            <w:vAlign w:val="center"/>
          </w:tcPr>
          <w:p>
            <w:pPr>
              <w:pStyle w:val="TableText"/>
              <w:spacing w:before="0" w:after="0" w:line="220" w:lineRule="auto"/>
            </w:pPr>
            <w:r>
              <w:rPr>
                <w:sz w:val="17"/>
                <w:szCs w:val="17"/>
              </w:rPr>
              <w:t>Denominator note</w:t>
            </w:r>
          </w:p>
        </w:tc>
      </w:tr>
      <w:tr>
        <w:tc>
          <w:tcPr>
            <w:tcW w:w="2340" w:type="dxa"/>
            <w:vAlign w:val="center"/>
          </w:tcPr>
          <w:p>
            <w:pPr>
              <w:pStyle w:val="TableText"/>
              <w:spacing w:before="0" w:after="0" w:line="220" w:lineRule="auto"/>
            </w:pPr>
            <w:r>
              <w:rPr>
                <w:sz w:val="17"/>
                <w:szCs w:val="17"/>
              </w:rPr>
              <w:t>BBB-high short peptides</w:t>
            </w:r>
          </w:p>
        </w:tc>
        <w:tc>
          <w:tcPr>
            <w:tcW w:w="2340" w:type="dxa"/>
            <w:vAlign w:val="center"/>
          </w:tcPr>
          <w:p>
            <w:pPr>
              <w:pStyle w:val="TableText"/>
              <w:spacing w:before="0" w:after="0" w:line="220" w:lineRule="auto"/>
            </w:pPr>
            <w:r>
              <w:rPr>
                <w:sz w:val="17"/>
                <w:szCs w:val="17"/>
              </w:rPr>
              <w:t>UniDL4BioPep BBB output ≥0.80; 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32,754 short candidates</w:t>
            </w:r>
          </w:p>
        </w:tc>
      </w:tr>
      <w:tr>
        <w:tc>
          <w:tcPr>
            <w:tcW w:w="2340" w:type="dxa"/>
            <w:vAlign w:val="center"/>
          </w:tcPr>
          <w:p>
            <w:pPr>
              <w:pStyle w:val="TableText"/>
              <w:spacing w:before="0" w:after="0" w:line="220" w:lineRule="auto"/>
            </w:pPr>
            <w:r>
              <w:rPr>
                <w:sz w:val="17"/>
                <w:szCs w:val="17"/>
              </w:rPr>
              <w:t>BBB-high long peptides</w:t>
            </w:r>
          </w:p>
        </w:tc>
        <w:tc>
          <w:tcPr>
            <w:tcW w:w="2340" w:type="dxa"/>
            <w:vAlign w:val="center"/>
          </w:tcPr>
          <w:p>
            <w:pPr>
              <w:pStyle w:val="TableText"/>
              <w:spacing w:before="0" w:after="0" w:line="220" w:lineRule="auto"/>
            </w:pPr>
            <w:r>
              <w:rPr>
                <w:sz w:val="17"/>
                <w:szCs w:val="17"/>
              </w:rPr>
              <w:t>UniDL4BioPep BBB output ≥0.80; 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1,032 long candidates</w:t>
            </w:r>
          </w:p>
        </w:tc>
      </w:tr>
      <w:tr>
        <w:tc>
          <w:tcPr>
            <w:tcW w:w="2340" w:type="dxa"/>
            <w:vAlign w:val="center"/>
          </w:tcPr>
          <w:p>
            <w:pPr>
              <w:pStyle w:val="TableText"/>
              <w:spacing w:before="0" w:after="0" w:line="220" w:lineRule="auto"/>
            </w:pPr>
            <w:r>
              <w:rPr>
                <w:sz w:val="17"/>
                <w:szCs w:val="17"/>
              </w:rPr>
              <w:t>BBB-high combined set</w:t>
            </w:r>
          </w:p>
        </w:tc>
        <w:tc>
          <w:tcPr>
            <w:tcW w:w="2340" w:type="dxa"/>
            <w:vAlign w:val="center"/>
          </w:tcPr>
          <w:p>
            <w:pPr>
              <w:pStyle w:val="TableText"/>
              <w:spacing w:before="0" w:after="0" w:line="220" w:lineRule="auto"/>
            </w:pPr>
            <w:r>
              <w:rPr>
                <w:sz w:val="17"/>
                <w:szCs w:val="17"/>
              </w:rPr>
              <w:t>Union of the two length branches</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Downstream periodontitis set</w:t>
            </w:r>
          </w:p>
        </w:tc>
      </w:tr>
      <w:tr>
        <w:tc>
          <w:tcPr>
            <w:tcW w:w="2340" w:type="dxa"/>
            <w:vAlign w:val="center"/>
          </w:tcPr>
          <w:p>
            <w:pPr>
              <w:pStyle w:val="TableText"/>
              <w:spacing w:before="0" w:after="0" w:line="220" w:lineRule="auto"/>
            </w:pPr>
            <w:r>
              <w:rPr>
                <w:sz w:val="17"/>
                <w:szCs w:val="17"/>
              </w:rPr>
              <w:t>NTxPred2 evaluated</w:t>
            </w:r>
          </w:p>
        </w:tc>
        <w:tc>
          <w:tcPr>
            <w:tcW w:w="2340" w:type="dxa"/>
            <w:vAlign w:val="center"/>
          </w:tcPr>
          <w:p>
            <w:pPr>
              <w:pStyle w:val="TableText"/>
              <w:spacing w:before="0" w:after="0" w:line="220" w:lineRule="auto"/>
            </w:pPr>
            <w:r>
              <w:rPr>
                <w:sz w:val="17"/>
                <w:szCs w:val="17"/>
              </w:rPr>
              <w:t>Stated input range 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219 sequences &lt;7 aa not evaluated</w:t>
            </w:r>
          </w:p>
        </w:tc>
      </w:tr>
      <w:tr>
        <w:tc>
          <w:tcPr>
            <w:tcW w:w="2340" w:type="dxa"/>
            <w:vAlign w:val="center"/>
          </w:tcPr>
          <w:p>
            <w:pPr>
              <w:pStyle w:val="TableText"/>
              <w:spacing w:before="0" w:after="0" w:line="220" w:lineRule="auto"/>
            </w:pPr>
            <w:r>
              <w:rPr>
                <w:sz w:val="17"/>
                <w:szCs w:val="17"/>
              </w:rPr>
              <w:t>Predicted neurotoxic</w:t>
            </w:r>
          </w:p>
        </w:tc>
        <w:tc>
          <w:tcPr>
            <w:tcW w:w="2340" w:type="dxa"/>
            <w:vAlign w:val="center"/>
          </w:tcPr>
          <w:p>
            <w:pPr>
              <w:pStyle w:val="TableText"/>
              <w:spacing w:before="0" w:after="0" w:line="220" w:lineRule="auto"/>
            </w:pPr>
            <w:r>
              <w:rPr>
                <w:sz w:val="17"/>
                <w:szCs w:val="17"/>
              </w:rPr>
              <w:t>NTxPred2 positive</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3,299 evaluated</w:t>
            </w:r>
          </w:p>
        </w:tc>
      </w:tr>
      <w:tr>
        <w:tc>
          <w:tcPr>
            <w:tcW w:w="2340" w:type="dxa"/>
            <w:vAlign w:val="center"/>
          </w:tcPr>
          <w:p>
            <w:pPr>
              <w:pStyle w:val="TableText"/>
              <w:spacing w:before="0" w:after="0" w:line="220" w:lineRule="auto"/>
            </w:pPr>
            <w:r>
              <w:rPr>
                <w:sz w:val="17"/>
                <w:szCs w:val="17"/>
              </w:rPr>
              <w:t>Reported Cu/Fe/Zn-binding positive</w:t>
            </w:r>
          </w:p>
        </w:tc>
        <w:tc>
          <w:tcPr>
            <w:tcW w:w="2340" w:type="dxa"/>
            <w:vAlign w:val="center"/>
          </w:tcPr>
          <w:p>
            <w:pPr>
              <w:pStyle w:val="TableText"/>
              <w:spacing w:before="0" w:after="0" w:line="220" w:lineRule="auto"/>
            </w:pPr>
            <w:r>
              <w:rPr>
                <w:sz w:val="17"/>
                <w:szCs w:val="17"/>
              </w:rPr>
              <w:t>mebipred output ≥0.50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Exact handoff denominator not independently auditable</w:t>
            </w:r>
          </w:p>
        </w:tc>
      </w:tr>
      <w:tr>
        <w:tc>
          <w:tcPr>
            <w:tcW w:w="2340" w:type="dxa"/>
            <w:vAlign w:val="center"/>
          </w:tcPr>
          <w:p>
            <w:pPr>
              <w:pStyle w:val="TableText"/>
              <w:spacing w:before="0" w:after="0" w:line="220" w:lineRule="auto"/>
            </w:pPr>
            <w:r>
              <w:rPr>
                <w:sz w:val="17"/>
                <w:szCs w:val="17"/>
              </w:rPr>
              <w:t>CHEL-prioritized</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 metal-binding-positive candidates</w:t>
            </w:r>
          </w:p>
        </w:tc>
      </w:tr>
      <w:tr>
        <w:tc>
          <w:tcPr>
            <w:tcW w:w="2340" w:type="dxa"/>
            <w:vAlign w:val="center"/>
          </w:tcPr>
          <w:p>
            <w:pPr>
              <w:pStyle w:val="TableText"/>
              <w:spacing w:before="0" w:after="0" w:line="220" w:lineRule="auto"/>
            </w:pPr>
            <w:r>
              <w:rPr>
                <w:sz w:val="17"/>
                <w:szCs w:val="17"/>
              </w:rPr>
              <w:t>Main operational set</w:t>
            </w:r>
          </w:p>
        </w:tc>
        <w:tc>
          <w:tcPr>
            <w:tcW w:w="2340" w:type="dxa"/>
            <w:vAlign w:val="center"/>
          </w:tcPr>
          <w:p>
            <w:pPr>
              <w:pStyle w:val="TableText"/>
              <w:spacing w:before="0" w:after="0" w:line="220" w:lineRule="auto"/>
            </w:pPr>
            <w:r>
              <w:rPr>
                <w:sz w:val="17"/>
                <w:szCs w:val="17"/>
              </w:rPr>
              <w:t>CHEL≥0.25 and 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 metal-binding-positive candidates</w:t>
            </w:r>
          </w:p>
        </w:tc>
      </w:tr>
      <w:tr>
        <w:tc>
          <w:tcPr>
            <w:tcW w:w="2340" w:type="dxa"/>
            <w:vAlign w:val="center"/>
          </w:tcPr>
          <w:p>
            <w:pPr>
              <w:pStyle w:val="TableText"/>
              <w:spacing w:before="0" w:after="0" w:line="220" w:lineRule="auto"/>
            </w:pPr>
            <w:r>
              <w:rPr>
                <w:sz w:val="17"/>
                <w:szCs w:val="17"/>
              </w:rPr>
              <w:t>Stricter subset</w:t>
            </w:r>
          </w:p>
        </w:tc>
        <w:tc>
          <w:tcPr>
            <w:tcW w:w="2340" w:type="dxa"/>
            <w:vAlign w:val="center"/>
          </w:tcPr>
          <w:p>
            <w:pPr>
              <w:pStyle w:val="TableText"/>
              <w:spacing w:before="0" w:after="0" w:line="220" w:lineRule="auto"/>
            </w:pPr>
            <w:r>
              <w:rPr>
                <w:sz w:val="17"/>
                <w:szCs w:val="17"/>
              </w:rPr>
              <w:t>CHEL≥0.25 and 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111 metal-binding-positive candidates</w:t>
            </w:r>
          </w:p>
        </w:tc>
      </w:tr>
    </w:tbl>
    <w:p>
      <w:pPr>
        <w:spacing w:after="40"/>
      </w:pPr>
    </w:p>
    <w:p>
      <w:pPr>
        <w:pStyle w:val="Figure"/>
        <w:jc w:val="center"/>
        <w:keepNext/>
      </w:pPr>
      <w:r>
        <w:drawing>
          <wp:inline distT="0" distB="0" distL="0" distR="0">
            <wp:extent cx="6150000" cy="5261666"/>
            <wp:effectExtent l="0" t="0" r="0" b="0"/>
            <wp:docPr id="1" name="Figure 1" descr="Figure 1. Aggregate computational prioritization funnel."/>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Caption"/>
      </w:pPr>
      <w:r>
        <w:rPr>
          <w:b/>
        </w:rPr>
        <w:t>Figure 1.</w:t>
      </w:r>
      <w:r>
        <w:t xml:space="preserve"> Aggregate computational prioritization funnel. The figure summarizes reported counts and operational thresholds; it does not imply experimental confirmation or a validated causal mechanism.</w:t>
      </w:r>
    </w:p>
    <w:p>
      <w:pPr>
        <w:pStyle w:val="Heading3"/>
        <w:keepNext/>
      </w:pPr>
      <w:r>
        <w:t>中文</w:t>
      </w:r>
    </w:p>
    <w:p>
      <w:pPr>
        <w:pStyle w:val="Heading4"/>
        <w:keepNext/>
      </w:pPr>
      <w:r>
        <w:t>3.1 功能预测前的候选缩减</w:t>
      </w:r>
    </w:p>
    <w:p>
      <w:pPr>
        <w:pStyle w:val="Normal"/>
      </w:pPr>
      <w:r>
        <w:t>健康分支和牙周炎分支最初分别含 11,269,961 和 11,721,988 条 sORF。经证据过滤和去重，得到 31,510 条健康候选（占原始健康库 0.2796%）和 33,786 条牙周炎候选（占原始牙周炎库 0.2882%）。这些比例仅描述流程保留率，没有进行推断性比较。</w:t>
      </w:r>
    </w:p>
    <w:p>
      <w:pPr>
        <w:pStyle w:val="Caption"/>
      </w:pPr>
      <w:r>
        <w:rPr>
          <w:b/>
        </w:rPr>
        <w:t>表 1 候选库与 BBB 高分模型输出</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分支</w:t>
            </w:r>
          </w:p>
        </w:tc>
        <w:tc>
          <w:tcPr>
            <w:tcW w:w="1337" w:type="dxa"/>
            <w:shd w:val="clear" w:color="auto" w:fill="DCE6F1"/>
            <w:vAlign w:val="center"/>
          </w:tcPr>
          <w:p>
            <w:pPr>
              <w:pStyle w:val="TableText"/>
              <w:spacing w:before="0" w:after="0" w:line="220" w:lineRule="auto"/>
            </w:pPr>
            <w:r>
              <w:rPr>
                <w:sz w:val="17"/>
                <w:szCs w:val="17"/>
              </w:rPr>
              <w:t>原始 sORF</w:t>
            </w:r>
          </w:p>
        </w:tc>
        <w:tc>
          <w:tcPr>
            <w:tcW w:w="1337" w:type="dxa"/>
            <w:shd w:val="clear" w:color="auto" w:fill="DCE6F1"/>
            <w:vAlign w:val="center"/>
          </w:tcPr>
          <w:p>
            <w:pPr>
              <w:pStyle w:val="TableText"/>
              <w:spacing w:before="0" w:after="0" w:line="220" w:lineRule="auto"/>
            </w:pPr>
            <w:r>
              <w:rPr>
                <w:sz w:val="17"/>
                <w:szCs w:val="17"/>
              </w:rPr>
              <w:t>证据过滤后候选</w:t>
            </w:r>
          </w:p>
        </w:tc>
        <w:tc>
          <w:tcPr>
            <w:tcW w:w="1337" w:type="dxa"/>
            <w:shd w:val="clear" w:color="auto" w:fill="DCE6F1"/>
            <w:vAlign w:val="center"/>
          </w:tcPr>
          <w:p>
            <w:pPr>
              <w:pStyle w:val="TableText"/>
              <w:spacing w:before="0" w:after="0" w:line="220" w:lineRule="auto"/>
            </w:pPr>
            <w:r>
              <w:rPr>
                <w:sz w:val="17"/>
                <w:szCs w:val="17"/>
              </w:rPr>
              <w:t>短肽背景（5–30 aa）</w:t>
            </w:r>
          </w:p>
        </w:tc>
        <w:tc>
          <w:tcPr>
            <w:tcW w:w="1337" w:type="dxa"/>
            <w:shd w:val="clear" w:color="auto" w:fill="DCE6F1"/>
            <w:vAlign w:val="center"/>
          </w:tcPr>
          <w:p>
            <w:pPr>
              <w:pStyle w:val="TableText"/>
              <w:spacing w:before="0" w:after="0" w:line="220" w:lineRule="auto"/>
            </w:pPr>
            <w:r>
              <w:rPr>
                <w:sz w:val="17"/>
                <w:szCs w:val="17"/>
              </w:rPr>
              <w:t>BBB 高分短肽，n（%）</w:t>
            </w:r>
          </w:p>
        </w:tc>
        <w:tc>
          <w:tcPr>
            <w:tcW w:w="1337" w:type="dxa"/>
            <w:shd w:val="clear" w:color="auto" w:fill="DCE6F1"/>
            <w:vAlign w:val="center"/>
          </w:tcPr>
          <w:p>
            <w:pPr>
              <w:pStyle w:val="TableText"/>
              <w:spacing w:before="0" w:after="0" w:line="220" w:lineRule="auto"/>
            </w:pPr>
            <w:r>
              <w:rPr>
                <w:sz w:val="17"/>
                <w:szCs w:val="17"/>
              </w:rPr>
              <w:t>长肽背景（31–50 aa）</w:t>
            </w:r>
          </w:p>
        </w:tc>
        <w:tc>
          <w:tcPr>
            <w:tcW w:w="1337" w:type="dxa"/>
            <w:shd w:val="clear" w:color="auto" w:fill="DCE6F1"/>
            <w:vAlign w:val="center"/>
          </w:tcPr>
          <w:p>
            <w:pPr>
              <w:pStyle w:val="TableText"/>
              <w:spacing w:before="0" w:after="0" w:line="220" w:lineRule="auto"/>
            </w:pPr>
            <w:r>
              <w:rPr>
                <w:sz w:val="17"/>
                <w:szCs w:val="17"/>
              </w:rPr>
              <w:t>BBB 高分长肽，n（%）</w:t>
            </w:r>
          </w:p>
        </w:tc>
      </w:tr>
      <w:tr>
        <w:tc>
          <w:tcPr>
            <w:tcW w:w="1337" w:type="dxa"/>
            <w:vAlign w:val="center"/>
          </w:tcPr>
          <w:p>
            <w:pPr>
              <w:pStyle w:val="TableText"/>
              <w:spacing w:before="0" w:after="0" w:line="220" w:lineRule="auto"/>
            </w:pPr>
            <w:r>
              <w:rPr>
                <w:sz w:val="17"/>
                <w:szCs w:val="17"/>
              </w:rPr>
              <w:t>健康</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40（4.20）</w:t>
            </w:r>
          </w:p>
        </w:tc>
      </w:tr>
      <w:tr>
        <w:tc>
          <w:tcPr>
            <w:tcW w:w="1337" w:type="dxa"/>
            <w:vAlign w:val="center"/>
          </w:tcPr>
          <w:p>
            <w:pPr>
              <w:pStyle w:val="TableText"/>
              <w:spacing w:before="0" w:after="0" w:line="220" w:lineRule="auto"/>
            </w:pPr>
            <w:r>
              <w:rPr>
                <w:sz w:val="17"/>
                <w:szCs w:val="17"/>
              </w:rPr>
              <w:t>牙周炎</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72（6.98）</w:t>
            </w:r>
          </w:p>
        </w:tc>
      </w:tr>
    </w:tbl>
    <w:p>
      <w:pPr>
        <w:spacing w:after="40"/>
      </w:pPr>
    </w:p>
    <w:p>
      <w:pPr>
        <w:pStyle w:val="Heading4"/>
        <w:keepNext/>
      </w:pPr>
      <w:r>
        <w:t>3.2 多活性预测的描述性概况</w:t>
      </w:r>
    </w:p>
    <w:p>
      <w:pPr>
        <w:pStyle w:val="Normal"/>
      </w:pPr>
      <w:r>
        <w:t>在 0.80 输出阈值下，短肽分支在若干活性类别中出现较高的预测阳性比例。例如，抗菌活性模型把健康短肽中的 30,537/30,557（99.93%）和牙周炎短肽中的 32,721/32,754（99.90%）判为阳性。相应的 BBB 计数为 3,359（10.99%）和 3,446（10.52%），NeuroPred 计数为 3,876（12.68%）和 4,019（12.27%）。这类较高比例，尤其是接近全阳性的抗菌预测，应解释为模型在当前序列域中的输出分布，而不是实测的生物活性流行率。</w:t>
      </w:r>
    </w:p>
    <w:p>
      <w:pPr>
        <w:pStyle w:val="Normal"/>
      </w:pPr>
      <w:r>
        <w:t>长肽分支中，BBB 高分预测包括健康候选 40/953（4.20%）和牙周炎候选 72/1,032（6.98%）。NeuroPred 对健康和牙周炎长肽分别报告 82 条（8.60%）和 77 条（7.46%）阳性；抗菌模型分别报告 206 条（21.62%）和 238 条（23.06%）阳性。逐类别完整计数见补充表。由于缺少逐行预测和推断分析，本稿不作富集或组间差异主张。</w:t>
      </w:r>
    </w:p>
    <w:p>
      <w:pPr>
        <w:pStyle w:val="Heading4"/>
        <w:keepNext/>
      </w:pPr>
      <w:r>
        <w:t>3.3 牙周炎 BBB 高分集合的组成</w:t>
      </w:r>
    </w:p>
    <w:p>
      <w:pPr>
        <w:pStyle w:val="Normal"/>
      </w:pPr>
      <w:r>
        <w:t>合并两个长度分支后，共得到 3,518 条牙周炎 BBB 高分候选：短肽 3,446 条（97.95%），长肽 72 条（2.05%）。在短肽中，547 条（15.87%）为 5–7 aa，2,893 条（83.95%）为 8–15 aa，6 条（0.17%）为 16–30 aa。72 条长肽均为 31–50 aa。因此，后续集合在数量上主要由 8–15 aa 序列构成。</w:t>
      </w:r>
    </w:p>
    <w:p>
      <w:pPr>
        <w:pStyle w:val="Heading4"/>
        <w:keepNext/>
      </w:pPr>
      <w:r>
        <w:t>3.4 神经毒性、金属结合、CHEL 与 FRS 的顺序优先排序</w:t>
      </w:r>
    </w:p>
    <w:p>
      <w:pPr>
        <w:pStyle w:val="Normal"/>
      </w:pPr>
      <w:r>
        <w:t>NTxPred2 覆盖 3,518 条 BBB 高分候选中的 3,299 条；其余 219 条（6.23%）短于 7 aa，未在该模型步骤中评价。在已覆盖候选中，923/3,299（27.98%）被判为神经毒性阳性；主记录说明这 923 条均不超过 30 aa。</w:t>
      </w:r>
    </w:p>
    <w:p>
      <w:pPr>
        <w:pStyle w:val="Normal"/>
      </w:pPr>
      <w:r>
        <w:t>所提供记录随后报告在 mebipred 阈值下有 111 条候选呈 Cu/Fe/Zn 结合阳性。由于缺少逐行交接，本稿有意不报告其相对于前述 923 条的百分比。在 111 条金属结合阳性候选中，15 条（13.51%）满足 CHEL≥0.25；12/111（10.81%）进一步满足 FRS&lt;0.50，构成操作性主集合；8/111（7.21%）满足更严格的 FRS&lt;0.45。</w:t>
      </w:r>
    </w:p>
    <w:p>
      <w:pPr>
        <w:pStyle w:val="Caption"/>
      </w:pPr>
      <w:r>
        <w:rPr>
          <w:b/>
        </w:rPr>
        <w:t>表 2 牙周炎分支优先排序漏斗</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2340"/>
        <w:gridCol w:w="2340"/>
        <w:gridCol w:w="2340"/>
        <w:gridCol w:w="2340"/>
      </w:tblGrid>
      <w:tr>
        <w:trPr>
          <w:tblHeader/>
        </w:trPr>
        <w:tc>
          <w:tcPr>
            <w:tcW w:w="2340" w:type="dxa"/>
            <w:shd w:val="clear" w:color="auto" w:fill="DCE6F1"/>
            <w:vAlign w:val="center"/>
          </w:tcPr>
          <w:p>
            <w:pPr>
              <w:pStyle w:val="TableText"/>
              <w:spacing w:before="0" w:after="0" w:line="220" w:lineRule="auto"/>
            </w:pPr>
            <w:r>
              <w:rPr>
                <w:sz w:val="17"/>
                <w:szCs w:val="17"/>
              </w:rPr>
              <w:t>阶段</w:t>
            </w:r>
          </w:p>
        </w:tc>
        <w:tc>
          <w:tcPr>
            <w:tcW w:w="2340" w:type="dxa"/>
            <w:shd w:val="clear" w:color="auto" w:fill="DCE6F1"/>
            <w:vAlign w:val="center"/>
          </w:tcPr>
          <w:p>
            <w:pPr>
              <w:pStyle w:val="TableText"/>
              <w:spacing w:before="0" w:after="0" w:line="220" w:lineRule="auto"/>
            </w:pPr>
            <w:r>
              <w:rPr>
                <w:sz w:val="17"/>
                <w:szCs w:val="17"/>
              </w:rPr>
              <w:t>操作性规则</w:t>
            </w:r>
          </w:p>
        </w:tc>
        <w:tc>
          <w:tcPr>
            <w:tcW w:w="2340" w:type="dxa"/>
            <w:shd w:val="clear" w:color="auto" w:fill="DCE6F1"/>
            <w:vAlign w:val="center"/>
          </w:tcPr>
          <w:p>
            <w:pPr>
              <w:pStyle w:val="TableText"/>
              <w:spacing w:before="0" w:after="0" w:line="220" w:lineRule="auto"/>
            </w:pPr>
            <w:r>
              <w:rPr>
                <w:sz w:val="17"/>
                <w:szCs w:val="17"/>
              </w:rPr>
              <w:t>报告计数</w:t>
            </w:r>
          </w:p>
        </w:tc>
        <w:tc>
          <w:tcPr>
            <w:tcW w:w="2340" w:type="dxa"/>
            <w:shd w:val="clear" w:color="auto" w:fill="DCE6F1"/>
            <w:vAlign w:val="center"/>
          </w:tcPr>
          <w:p>
            <w:pPr>
              <w:pStyle w:val="TableText"/>
              <w:spacing w:before="0" w:after="0" w:line="220" w:lineRule="auto"/>
            </w:pPr>
            <w:r>
              <w:rPr>
                <w:sz w:val="17"/>
                <w:szCs w:val="17"/>
              </w:rPr>
              <w:t>分母说明</w:t>
            </w:r>
          </w:p>
        </w:tc>
      </w:tr>
      <w:tr>
        <w:tc>
          <w:tcPr>
            <w:tcW w:w="2340" w:type="dxa"/>
            <w:vAlign w:val="center"/>
          </w:tcPr>
          <w:p>
            <w:pPr>
              <w:pStyle w:val="TableText"/>
              <w:spacing w:before="0" w:after="0" w:line="220" w:lineRule="auto"/>
            </w:pPr>
            <w:r>
              <w:rPr>
                <w:sz w:val="17"/>
                <w:szCs w:val="17"/>
              </w:rPr>
              <w:t>BBB 高分短肽</w:t>
            </w:r>
          </w:p>
        </w:tc>
        <w:tc>
          <w:tcPr>
            <w:tcW w:w="2340" w:type="dxa"/>
            <w:vAlign w:val="center"/>
          </w:tcPr>
          <w:p>
            <w:pPr>
              <w:pStyle w:val="TableText"/>
              <w:spacing w:before="0" w:after="0" w:line="220" w:lineRule="auto"/>
            </w:pPr>
            <w:r>
              <w:rPr>
                <w:sz w:val="17"/>
                <w:szCs w:val="17"/>
              </w:rPr>
              <w:t>UniDL4BioPep BBB 输出≥0.80；5–30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短肽背景 32,754</w:t>
            </w:r>
          </w:p>
        </w:tc>
      </w:tr>
      <w:tr>
        <w:tc>
          <w:tcPr>
            <w:tcW w:w="2340" w:type="dxa"/>
            <w:vAlign w:val="center"/>
          </w:tcPr>
          <w:p>
            <w:pPr>
              <w:pStyle w:val="TableText"/>
              <w:spacing w:before="0" w:after="0" w:line="220" w:lineRule="auto"/>
            </w:pPr>
            <w:r>
              <w:rPr>
                <w:sz w:val="17"/>
                <w:szCs w:val="17"/>
              </w:rPr>
              <w:t>BBB 高分长肽</w:t>
            </w:r>
          </w:p>
        </w:tc>
        <w:tc>
          <w:tcPr>
            <w:tcW w:w="2340" w:type="dxa"/>
            <w:vAlign w:val="center"/>
          </w:tcPr>
          <w:p>
            <w:pPr>
              <w:pStyle w:val="TableText"/>
              <w:spacing w:before="0" w:after="0" w:line="220" w:lineRule="auto"/>
            </w:pPr>
            <w:r>
              <w:rPr>
                <w:sz w:val="17"/>
                <w:szCs w:val="17"/>
              </w:rPr>
              <w:t>UniDL4BioPep BBB 输出≥0.80；31–50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长肽背景 1,032</w:t>
            </w:r>
          </w:p>
        </w:tc>
      </w:tr>
      <w:tr>
        <w:tc>
          <w:tcPr>
            <w:tcW w:w="2340" w:type="dxa"/>
            <w:vAlign w:val="center"/>
          </w:tcPr>
          <w:p>
            <w:pPr>
              <w:pStyle w:val="TableText"/>
              <w:spacing w:before="0" w:after="0" w:line="220" w:lineRule="auto"/>
            </w:pPr>
            <w:r>
              <w:rPr>
                <w:sz w:val="17"/>
                <w:szCs w:val="17"/>
              </w:rPr>
              <w:t>BBB 高分合并集合</w:t>
            </w:r>
          </w:p>
        </w:tc>
        <w:tc>
          <w:tcPr>
            <w:tcW w:w="2340" w:type="dxa"/>
            <w:vAlign w:val="center"/>
          </w:tcPr>
          <w:p>
            <w:pPr>
              <w:pStyle w:val="TableText"/>
              <w:spacing w:before="0" w:after="0" w:line="220" w:lineRule="auto"/>
            </w:pPr>
            <w:r>
              <w:rPr>
                <w:sz w:val="17"/>
                <w:szCs w:val="17"/>
              </w:rPr>
              <w:t>合并两个长度分支</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后续牙周炎集合</w:t>
            </w:r>
          </w:p>
        </w:tc>
      </w:tr>
      <w:tr>
        <w:tc>
          <w:tcPr>
            <w:tcW w:w="2340" w:type="dxa"/>
            <w:vAlign w:val="center"/>
          </w:tcPr>
          <w:p>
            <w:pPr>
              <w:pStyle w:val="TableText"/>
              <w:spacing w:before="0" w:after="0" w:line="220" w:lineRule="auto"/>
            </w:pPr>
            <w:r>
              <w:rPr>
                <w:sz w:val="17"/>
                <w:szCs w:val="17"/>
              </w:rPr>
              <w:t>NTxPred2 已评价</w:t>
            </w:r>
          </w:p>
        </w:tc>
        <w:tc>
          <w:tcPr>
            <w:tcW w:w="2340" w:type="dxa"/>
            <w:vAlign w:val="center"/>
          </w:tcPr>
          <w:p>
            <w:pPr>
              <w:pStyle w:val="TableText"/>
              <w:spacing w:before="0" w:after="0" w:line="220" w:lineRule="auto"/>
            </w:pPr>
            <w:r>
              <w:rPr>
                <w:sz w:val="17"/>
                <w:szCs w:val="17"/>
              </w:rPr>
              <w:t>所述输入范围 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219 条&lt;7 aa 未评价</w:t>
            </w:r>
          </w:p>
        </w:tc>
      </w:tr>
      <w:tr>
        <w:tc>
          <w:tcPr>
            <w:tcW w:w="2340" w:type="dxa"/>
            <w:vAlign w:val="center"/>
          </w:tcPr>
          <w:p>
            <w:pPr>
              <w:pStyle w:val="TableText"/>
              <w:spacing w:before="0" w:after="0" w:line="220" w:lineRule="auto"/>
            </w:pPr>
            <w:r>
              <w:rPr>
                <w:sz w:val="17"/>
                <w:szCs w:val="17"/>
              </w:rPr>
              <w:t>神经毒性预测阳性</w:t>
            </w:r>
          </w:p>
        </w:tc>
        <w:tc>
          <w:tcPr>
            <w:tcW w:w="2340" w:type="dxa"/>
            <w:vAlign w:val="center"/>
          </w:tcPr>
          <w:p>
            <w:pPr>
              <w:pStyle w:val="TableText"/>
              <w:spacing w:before="0" w:after="0" w:line="220" w:lineRule="auto"/>
            </w:pPr>
            <w:r>
              <w:rPr>
                <w:sz w:val="17"/>
                <w:szCs w:val="17"/>
              </w:rPr>
              <w:t>NTxPred2 阳性</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已评价 3,299 条</w:t>
            </w:r>
          </w:p>
        </w:tc>
      </w:tr>
      <w:tr>
        <w:tc>
          <w:tcPr>
            <w:tcW w:w="2340" w:type="dxa"/>
            <w:vAlign w:val="center"/>
          </w:tcPr>
          <w:p>
            <w:pPr>
              <w:pStyle w:val="TableText"/>
              <w:spacing w:before="0" w:after="0" w:line="220" w:lineRule="auto"/>
            </w:pPr>
            <w:r>
              <w:rPr>
                <w:sz w:val="17"/>
                <w:szCs w:val="17"/>
              </w:rPr>
              <w:t>报告的 Cu/Fe/Zn 结合阳性</w:t>
            </w:r>
          </w:p>
        </w:tc>
        <w:tc>
          <w:tcPr>
            <w:tcW w:w="2340" w:type="dxa"/>
            <w:vAlign w:val="center"/>
          </w:tcPr>
          <w:p>
            <w:pPr>
              <w:pStyle w:val="TableText"/>
              <w:spacing w:before="0" w:after="0" w:line="220" w:lineRule="auto"/>
            </w:pPr>
            <w:r>
              <w:rPr>
                <w:sz w:val="17"/>
                <w:szCs w:val="17"/>
              </w:rPr>
              <w:t>mebipred 输出≥0.50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精确交接分母无法独立审核</w:t>
            </w:r>
          </w:p>
        </w:tc>
      </w:tr>
      <w:tr>
        <w:tc>
          <w:tcPr>
            <w:tcW w:w="2340" w:type="dxa"/>
            <w:vAlign w:val="center"/>
          </w:tcPr>
          <w:p>
            <w:pPr>
              <w:pStyle w:val="TableText"/>
              <w:spacing w:before="0" w:after="0" w:line="220" w:lineRule="auto"/>
            </w:pPr>
            <w:r>
              <w:rPr>
                <w:sz w:val="17"/>
                <w:szCs w:val="17"/>
              </w:rPr>
              <w:t>CHEL 优先候选</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 条金属结合阳性候选</w:t>
            </w:r>
          </w:p>
        </w:tc>
      </w:tr>
      <w:tr>
        <w:tc>
          <w:tcPr>
            <w:tcW w:w="2340" w:type="dxa"/>
            <w:vAlign w:val="center"/>
          </w:tcPr>
          <w:p>
            <w:pPr>
              <w:pStyle w:val="TableText"/>
              <w:spacing w:before="0" w:after="0" w:line="220" w:lineRule="auto"/>
            </w:pPr>
            <w:r>
              <w:rPr>
                <w:sz w:val="17"/>
                <w:szCs w:val="17"/>
              </w:rPr>
              <w:t>操作性主集合</w:t>
            </w:r>
          </w:p>
        </w:tc>
        <w:tc>
          <w:tcPr>
            <w:tcW w:w="2340" w:type="dxa"/>
            <w:vAlign w:val="center"/>
          </w:tcPr>
          <w:p>
            <w:pPr>
              <w:pStyle w:val="TableText"/>
              <w:spacing w:before="0" w:after="0" w:line="220" w:lineRule="auto"/>
            </w:pPr>
            <w:r>
              <w:rPr>
                <w:sz w:val="17"/>
                <w:szCs w:val="17"/>
              </w:rPr>
              <w:t>CHEL≥0.25 且 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 条金属结合阳性候选</w:t>
            </w:r>
          </w:p>
        </w:tc>
      </w:tr>
      <w:tr>
        <w:tc>
          <w:tcPr>
            <w:tcW w:w="2340" w:type="dxa"/>
            <w:vAlign w:val="center"/>
          </w:tcPr>
          <w:p>
            <w:pPr>
              <w:pStyle w:val="TableText"/>
              <w:spacing w:before="0" w:after="0" w:line="220" w:lineRule="auto"/>
            </w:pPr>
            <w:r>
              <w:rPr>
                <w:sz w:val="17"/>
                <w:szCs w:val="17"/>
              </w:rPr>
              <w:t>严格子集</w:t>
            </w:r>
          </w:p>
        </w:tc>
        <w:tc>
          <w:tcPr>
            <w:tcW w:w="2340" w:type="dxa"/>
            <w:vAlign w:val="center"/>
          </w:tcPr>
          <w:p>
            <w:pPr>
              <w:pStyle w:val="TableText"/>
              <w:spacing w:before="0" w:after="0" w:line="220" w:lineRule="auto"/>
            </w:pPr>
            <w:r>
              <w:rPr>
                <w:sz w:val="17"/>
                <w:szCs w:val="17"/>
              </w:rPr>
              <w:t>CHEL≥0.25 且 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111 条金属结合阳性候选</w:t>
            </w:r>
          </w:p>
        </w:tc>
      </w:tr>
    </w:tbl>
    <w:p>
      <w:pPr>
        <w:spacing w:after="40"/>
      </w:pPr>
    </w:p>
    <w:p>
      <w:pPr>
        <w:pStyle w:val="Figure"/>
        <w:jc w:val="center"/>
        <w:keepNext/>
      </w:pPr>
      <w:r>
        <w:drawing>
          <wp:inline distT="0" distB="0" distL="0" distR="0">
            <wp:extent cx="6150000" cy="5261666"/>
            <wp:effectExtent l="0" t="0" r="0" b="0"/>
            <wp:docPr id="2" name="Figure 2" descr="图 1 聚合层面的计算优先排序漏斗。"/>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Caption"/>
      </w:pPr>
      <w:r>
        <w:rPr>
          <w:b/>
        </w:rPr>
        <w:t>图 1</w:t>
      </w:r>
      <w:r>
        <w:t xml:space="preserve"> 聚合层面的计算优先排序漏斗。该图总结报告计数和操作性阈值，不表示实验确证或已经验证的因果机制。</w:t>
      </w:r>
    </w:p>
    <w:p>
      <w:pPr>
        <w:pStyle w:val="Heading2"/>
        <w:keepNext/>
        <w:pageBreakBefore/>
      </w:pPr>
      <w:r>
        <w:t>4. Discussion / 4 讨论</w:t>
      </w:r>
    </w:p>
    <w:p>
      <w:pPr>
        <w:pStyle w:val="Heading3"/>
        <w:keepNext/>
      </w:pPr>
      <w:r>
        <w:t>English</w:t>
      </w:r>
    </w:p>
    <w:p>
      <w:pPr>
        <w:pStyle w:val="Heading4"/>
        <w:keepNext/>
      </w:pPr>
      <w:r>
        <w:t>4.1 Principal findings</w:t>
      </w:r>
    </w:p>
    <w:p>
      <w:pPr>
        <w:pStyle w:val="Normal"/>
      </w:pPr>
      <w:r>
        <w:t>This multi-model workflow reduced more than 11.7 million periodontitis-branch sORFs to 33,786 nonredundant evidence-filtered candidates, 3,518 BBB-high predictions, 923 NTxPred2-positive candidates among 3,299 eligible sequences, 111 reported Cu/Fe/Zn-binding-positive candidates, a 12-candidate main set, and an 8-candidate stricter subset. The practical contribution is not a demonstrated AD mechanism; it is a transparent candidate-reduction scheme that can be challenged experimentally.</w:t>
      </w:r>
    </w:p>
    <w:p>
      <w:pPr>
        <w:pStyle w:val="Normal"/>
      </w:pPr>
      <w:r>
        <w:t>The length distribution is notable for validation planning. More than four fifths of the BBB-high short branch was 8–15 amino acids long, a range amenable to chemical synthesis and systematic sequence perturbation. Conversely, the 31–50-amino-acid branch was small and may have different structural behavior. These branches should not automatically share the same experimental assay conditions or structural-modeling assumptions.</w:t>
      </w:r>
    </w:p>
    <w:p>
      <w:pPr>
        <w:pStyle w:val="Heading4"/>
        <w:keepNext/>
      </w:pPr>
      <w:r>
        <w:t>4.2 What cross-model convergence does—and does not—mean</w:t>
      </w:r>
    </w:p>
    <w:p>
      <w:pPr>
        <w:pStyle w:val="Normal"/>
      </w:pPr>
      <w:r>
        <w:t>Cross-model agreement can improve operational tractability by requiring candidates to satisfy several independently defined criteria. It does not convert correlated sequence-derived features into orthogonal biological evidence. UniDL4BioPep, NTxPred2, mebipred, and AnOxPePred differ in training data, labels, applicability domains, and output semantics [7–10]. Short, compositionally unusual oral peptides may be outside one or more training domains. The near-universal antimicrobial prediction in the short branches further suggests that calibration and domain-shift checks are needed before interpreting model-positive prevalence biologically.</w:t>
      </w:r>
    </w:p>
    <w:p>
      <w:pPr>
        <w:pStyle w:val="Normal"/>
      </w:pPr>
      <w:r>
        <w:t>NTxPred2 non-coverage also creates a structural missingness problem: 219 BBB-high candidates were not tested because of length. They cannot be assumed non-neurotoxic, and the final pipeline preferentially represents sequences accepted by the model. A future analysis should either validate an alternative method for 5–6-amino-acid peptides or keep a parallel unclassified track through experimental screening.</w:t>
      </w:r>
    </w:p>
    <w:p>
      <w:pPr>
        <w:pStyle w:val="Heading4"/>
        <w:keepNext/>
      </w:pPr>
      <w:r>
        <w:t>4.3 Periodontitis and AD relevance</w:t>
      </w:r>
    </w:p>
    <w:p>
      <w:pPr>
        <w:pStyle w:val="Normal"/>
      </w:pPr>
      <w:r>
        <w:t>Meta-analyses support an observational association between periodontal disease and cognitive outcomes, but pooled estimates vary with disease severity, classification, demographic composition, and study design [11,12,17]. A clinical synthesis of oral bacteria and AD also found inconsistent microbiome-wide patterns [13]. Therefore, “AD-relevant” in this study denotes a follow-up rationale based on predicted BBB, neurotoxicity, and metal-interaction features; it does not denote an AD biomarker, risk factor, or causal agent.</w:t>
      </w:r>
    </w:p>
    <w:p>
      <w:pPr>
        <w:pStyle w:val="Normal"/>
      </w:pPr>
      <w:r>
        <w:t xml:space="preserve">Work on </w:t>
      </w:r>
      <w:r>
        <w:rPr>
          <w:i/>
        </w:rPr>
        <w:t>P. gingivalis</w:t>
      </w:r>
      <w:r>
        <w:t xml:space="preserve"> and gingipains has sharpened interest in oral microbial products and neurodegeneration [14]. However, the present candidates lacked species-level assignments. They must not be described as </w:t>
      </w:r>
      <w:r>
        <w:rPr>
          <w:i/>
        </w:rPr>
        <w:t>P. gingivalis</w:t>
      </w:r>
      <w:r>
        <w:t>-derived. Current reviews also emphasize that direct human causality remains unproven and that mechanistic or therapeutic signals from preclinical studies have not yet produced a definitive clinical pathway [15]. Taxonomic assignment, cohort-level abundance, and direct functional assays are prerequisites for connecting any candidate to a periodontal organism or AD phenotype.</w:t>
      </w:r>
    </w:p>
    <w:p>
      <w:pPr>
        <w:pStyle w:val="Heading4"/>
        <w:keepNext/>
      </w:pPr>
      <w:r>
        <w:t>4.4 Interpreting metal-binding, CHEL, and FRS outputs</w:t>
      </w:r>
    </w:p>
    <w:p>
      <w:pPr>
        <w:pStyle w:val="Normal"/>
      </w:pPr>
      <w:r>
        <w:t>Metal dyshomeostasis and oxidative stress are biologically relevant to AD, which makes Cu/Fe/Zn-related prioritization reasonable. Nonetheless, mebipred predicts metal-binding potential from sequence and does not identify affinity, oxidation-state preference, or coordination chemistry [9]. AnOxPePred was developed to estimate antioxidative properties, including chelating and free-radical-scavenging features [10]. Consequently, the combination CHEL≥0.25 and FRS&lt;0.50 should be read only as an operational pattern: predicted chelating potential without a comparably high predicted scavenging score.</w:t>
      </w:r>
    </w:p>
    <w:p>
      <w:pPr>
        <w:pStyle w:val="Normal"/>
      </w:pPr>
      <w:r>
        <w:t>A pro-oxidant interpretation requires direct evidence. At minimum, synthesized candidates should be tested for Cu/Fe/Zn binding using orthogonal biophysical assays; metal-dependent ROS generation; lipid peroxidation; redox cycling; and neuronal-cell injury, with peptide-only, metal-only, scrambled-sequence, positive, and negative controls. Demonstrating binding without oxidative injury would not establish the proposed mechanism; demonstrating oxidative injury without metal dependence would support a different mechanism.</w:t>
      </w:r>
    </w:p>
    <w:p>
      <w:pPr>
        <w:pStyle w:val="Heading4"/>
        <w:keepNext/>
      </w:pPr>
      <w:r>
        <w:t>4.5 Future structural and functional studies</w:t>
      </w:r>
    </w:p>
    <w:p>
      <w:pPr>
        <w:pStyle w:val="Normal"/>
      </w:pPr>
      <w:r>
        <w:t>The AChE–Aβ literature provides one possible structural follow-up path. A published microsecond-scale AChE–Aβ simulation reported persistent Aβ residence near AChE residues 344–361 [16]. This result can guide a future region-of-interest analysis but does not predict that the present peptides bind AChE, Aβ, or that interface. Candidate-specific docking should follow multi-conformer peptide generation, use controls and ensemble receptor states, and be validated by molecular dynamics and experiment rather than presented as a stand-alone mechanism.</w:t>
      </w:r>
    </w:p>
    <w:p>
      <w:pPr>
        <w:pStyle w:val="Normal"/>
      </w:pPr>
      <w:r>
        <w:t>A staged validation program is preferable: (1) sequence and spectrum-level confirmation; (2) taxonomic assignment and cohort-resolved abundance; (3) BBB transport or permeability assays; (4) neuronal toxicity and metal-dependent oxidative assays; (5) Aβ aggregation and AChE/BChE functional assays; and only then (6) target-specific structural studies. This sequence separates candidate identity, exposure, phenotype, mechanism, and structural explanation.</w:t>
      </w:r>
    </w:p>
    <w:p>
      <w:pPr>
        <w:pStyle w:val="Heading4"/>
        <w:keepNext/>
      </w:pPr>
      <w:r>
        <w:t>4.6 Strengths and limitations</w:t>
      </w:r>
    </w:p>
    <w:p>
      <w:pPr>
        <w:pStyle w:val="Normal"/>
      </w:pPr>
      <w:r>
        <w:t>The principal strength is an explicit, auditable count-based funnel that separates model eligibility from model positivity and preserves a stricter sensitivity subset. The study also avoids treating lower FRS as direct evidence of pro-oxidant activity and separates completed predictions from future docking or experimental work.</w:t>
      </w:r>
    </w:p>
    <w:p>
      <w:pPr>
        <w:pStyle w:val="Normal"/>
      </w:pPr>
      <w:r>
        <w:t>The limitations are substantial. First, no candidate sequences or row-level scores were available, preventing independent reproduction, overlap analysis, calibration, taxonomic attribution, spectrum review, or assessment of duplicate leakage across datasets. Second, model versions, access dates, code, random seeds, and database snapshots were absent. Third, PRJEB65451 could not be independently verified. Fourth, the short-peptide evidence resources include caries-risk and lung-cancer oral datasets; exact matching to those resources is not disease-specific expression evidence. Fifth, the long branch is described as HOMD-derived even though the combined set is called proteomics-supported, leaving its evidence class ambiguous. Sixth, the exact denominator entering mebipred could not be reconstructed. Seventh, only aggregate descriptive counts were available, so no inferential group comparison or uncertainty estimate was possible. Finally, every endpoint was computational; no BBB, toxicology, metal-binding, oxidative, enzymatic, aggregation, animal, or clinical validation was supplied.</w:t>
      </w:r>
    </w:p>
    <w:p>
      <w:pPr>
        <w:pStyle w:val="Heading3"/>
        <w:keepNext/>
      </w:pPr>
      <w:r>
        <w:t>中文</w:t>
      </w:r>
    </w:p>
    <w:p>
      <w:pPr>
        <w:pStyle w:val="Heading4"/>
        <w:keepNext/>
      </w:pPr>
      <w:r>
        <w:t>4.1 主要发现</w:t>
      </w:r>
    </w:p>
    <w:p>
      <w:pPr>
        <w:pStyle w:val="Normal"/>
      </w:pPr>
      <w:r>
        <w:t>该多模型流程把超过 1,172 万条牙周炎分支 sORF 缩减为 33,786 条非冗余证据过滤候选、3,518 条 BBB 高分预测、在 3,299 条符合长度要求的序列中得到 923 条 NTxPred2 阳性候选，并进一步得到报告的 111 条 Cu/Fe/Zn 结合阳性候选、12 条主候选和 8 条严格子集。本研究的实际贡献不是证明 AD 机制，而是提供一个透明的候选缩减方案，使其可以接受实验检验。</w:t>
      </w:r>
    </w:p>
    <w:p>
      <w:pPr>
        <w:pStyle w:val="Normal"/>
      </w:pPr>
      <w:r>
        <w:t>长度分布对验证设计具有意义。BBB 高分短肽中超过五分之四为 8–15 aa，适合化学合成和系统性序列扰动。相比之下，31–50 aa 分支规模较小，结构行为可能不同。两个分支不应自动采用完全相同的实验条件或结构建模假设。</w:t>
      </w:r>
    </w:p>
    <w:p>
      <w:pPr>
        <w:pStyle w:val="Heading4"/>
        <w:keepNext/>
      </w:pPr>
      <w:r>
        <w:t>4.2 跨模型汇聚的含义与边界</w:t>
      </w:r>
    </w:p>
    <w:p>
      <w:pPr>
        <w:pStyle w:val="Normal"/>
      </w:pPr>
      <w:r>
        <w:t>要求候选同时满足多个独立定义的条件，可以提高操作上的可处理性；但这并不会把相关的序列特征变成彼此正交的生物证据。UniDL4BioPep、NTxPred2、mebipred 和 AnOxPePred 的训练数据、标签、适用域和输出语义各不相同 [7–10]。较短且组成异常的口腔肽可能超出一个或多个模型的训练域。短肽分支几乎普遍的抗菌阳性预测进一步提示，在把模型阳性率解释为生物学流行率之前，需要开展校准和域偏移检查。</w:t>
      </w:r>
    </w:p>
    <w:p>
      <w:pPr>
        <w:pStyle w:val="Normal"/>
      </w:pPr>
      <w:r>
        <w:t>NTxPred2 的未覆盖还带来结构性缺失：219 条 BBB 高分候选因长度未被检测。不能据此假定这些序列无神经毒性；最终流程会偏向于模型可接受长度的序列。未来分析应为 5–6 aa 肽验证替代方法，或者保留平行的“未分类”路径并进入实验筛选。</w:t>
      </w:r>
    </w:p>
    <w:p>
      <w:pPr>
        <w:pStyle w:val="Heading4"/>
        <w:keepNext/>
      </w:pPr>
      <w:r>
        <w:t>4.3 牙周炎与 AD 的相关性</w:t>
      </w:r>
    </w:p>
    <w:p>
      <w:pPr>
        <w:pStyle w:val="Normal"/>
      </w:pPr>
      <w:r>
        <w:t>荟萃分析支持牙周病与认知结局之间的观察性关联，但汇总效应受到牙周病严重程度、分类方法、人口学构成和研究设计影响 [11,12,17]。口腔细菌与 AD 的临床证据汇总也发现微生物组层面的结果并不一致 [13]。因此，本研究中的“与 AD 相关”仅表示：基于 BBB、神经毒性和金属相互作用预测，具有后续研究的合理性；它不表示 AD 生物标志物、风险因子或致病因子。</w:t>
      </w:r>
    </w:p>
    <w:p>
      <w:pPr>
        <w:pStyle w:val="Normal"/>
      </w:pPr>
      <w:r>
        <w:t>牙龈卟啉单胞菌和牙龈蛋白酶研究推动了对口腔微生物产物与神经退行性疾病的关注 [14]。但是，本研究候选缺少物种层面的分类学归属，不能称为牙龈卟啉单胞菌来源。近期综述同样强调，直接人类因果性仍未得到证实，临床前机制或治疗信号尚未形成确定的临床路径 [15]。在把任何候选与牙周微生物或 AD 表型联系起来之前，需要分类学归属、队列层面的丰度和直接功能实验。</w:t>
      </w:r>
    </w:p>
    <w:p>
      <w:pPr>
        <w:pStyle w:val="Heading4"/>
        <w:keepNext/>
      </w:pPr>
      <w:r>
        <w:t>4.4 金属结合、CHEL 和 FRS 输出的解释</w:t>
      </w:r>
    </w:p>
    <w:p>
      <w:pPr>
        <w:pStyle w:val="Normal"/>
      </w:pPr>
      <w:r>
        <w:t>金属稳态失调和氧化应激与 AD 生物学相关，因此对 Cu/Fe/Zn 相关特征进行优先排序具有合理性。然而，mebipred 根据序列预测金属结合潜力，并不识别亲和力、氧化态偏好或配位化学 [9]。AnOxPePred 用于估计包括螯合和自由基清除在内的抗氧化特征 [10]。所以，CHEL≥0.25 且 FRS&lt;0.50 只应解释为一个操作性模式：预测螯合潜力较高，但预测清除分数未相应升高。</w:t>
      </w:r>
    </w:p>
    <w:p>
      <w:pPr>
        <w:pStyle w:val="Normal"/>
      </w:pPr>
      <w:r>
        <w:t>促氧化解释需要直接证据。最低限度应对合成候选进行正交的 Cu/Fe/Zn 结合实验、金属依赖性 ROS、脂质过氧化、氧化还原循环和神经元细胞损伤检测，并设置仅肽、仅金属、打乱序列、阳性和阴性对照。仅证明结合而无氧化损伤，不能建立所提出机制；若存在氧化损伤但不依赖金属，则支持的是另一种机制。</w:t>
      </w:r>
    </w:p>
    <w:p>
      <w:pPr>
        <w:pStyle w:val="Heading4"/>
        <w:keepNext/>
      </w:pPr>
      <w:r>
        <w:t>4.5 后续结构和功能研究</w:t>
      </w:r>
    </w:p>
    <w:p>
      <w:pPr>
        <w:pStyle w:val="Normal"/>
      </w:pPr>
      <w:r>
        <w:t>AChE–Aβ 文献为后续结构研究提供了一条可能路径。一项微秒尺度的 AChE–Aβ 模拟报告 Aβ 在 AChE 344–361 残基附近持续驻留 [16]。该结果可用于确定未来的关注区域，但不能预测本研究候选会结合 AChE、Aβ 或其界面。候选特异性对接应建立在多构象肽生成基础上，采用对照和受体构象集合，并通过分子动力学和实验验证，而不应把单独对接作为机制证据。</w:t>
      </w:r>
    </w:p>
    <w:p>
      <w:pPr>
        <w:pStyle w:val="Normal"/>
      </w:pPr>
      <w:r>
        <w:t>更合适的是分阶段验证：（1）序列和谱图层面的确认；（2）分类学归属及队列分辨的丰度；（3）BBB 转运或通透实验；（4）神经元毒性和金属依赖性氧化实验；（5）Aβ 聚集与 AChE/BChE 功能实验；最后再开展（6）靶点特异性结构研究。该顺序把候选身份、暴露、表型、机制和结构解释分离开来。</w:t>
      </w:r>
    </w:p>
    <w:p>
      <w:pPr>
        <w:pStyle w:val="Heading4"/>
        <w:keepNext/>
      </w:pPr>
      <w:r>
        <w:t>4.6 优势与局限</w:t>
      </w:r>
    </w:p>
    <w:p>
      <w:pPr>
        <w:pStyle w:val="Normal"/>
      </w:pPr>
      <w:r>
        <w:t>本研究的主要优势是提供一个显式、可审核的计数漏斗，区分模型适用与模型阳性，并保留更严格的敏感性子集。本稿还避免把较低 FRS 直接视为促氧化证据，并把已完成预测与未来对接/实验工作区分开来。</w:t>
      </w:r>
    </w:p>
    <w:p>
      <w:pPr>
        <w:pStyle w:val="Normal"/>
      </w:pPr>
      <w:r>
        <w:t>局限性显著。第一，缺少候选序列和逐行分数，无法独立复现、分析重叠、评价校准、进行分类学归属、复核谱图或检查跨数据集重复泄漏。第二，缺少模型版本、访问日期、代码、随机种子和数据库快照。第三，PRJEB65451 未能独立核验。第四，短肽证据资源包含龋病高风险和肺癌口腔数据；与这些资源精确匹配并非疾病特异性表达证据。第五，长肽分支被描述为 HOMD 来源，但合并集合又被称为蛋白质组支持，导致其证据类别不明确。第六，无法重建进入 mebipred 的精确分母。第七，仅有聚合描述性计数，不能进行组间推断比较或不确定性估计。最后，所有终点均为计算输出；未提供 BBB、毒理、金属结合、氧化、酶学、聚集、动物或临床验证。</w:t>
      </w:r>
    </w:p>
    <w:p>
      <w:pPr>
        <w:pStyle w:val="Heading2"/>
        <w:keepNext/>
        <w:pageBreakBefore/>
      </w:pPr>
      <w:r>
        <w:t>5. Conclusions / 5 结论</w:t>
      </w:r>
    </w:p>
    <w:p>
      <w:pPr>
        <w:pStyle w:val="Heading3"/>
        <w:keepNext/>
      </w:pPr>
      <w:r>
        <w:t>English</w:t>
      </w:r>
    </w:p>
    <w:p>
      <w:pPr>
        <w:pStyle w:val="Normal"/>
      </w:pPr>
      <w:r>
        <w:t>A sequential sequence-based workflow prioritized 12 periodontitis-branch oral peptide candidates and an 8-candidate stricter subset from a large reported sORF search space. The result is a testable shortlist, not a validated pathway linking periodontitis to AD. Releasing the row-level sequence and score matrix, resolving data provenance, and performing staged biochemical and cellular validation are necessary before claims about brain exposure, neurotoxicity, metal-mediated oxidative injury, microbial origin, target binding, or AD relevance can be strengthened.</w:t>
      </w:r>
    </w:p>
    <w:p>
      <w:pPr>
        <w:pStyle w:val="Heading3"/>
        <w:keepNext/>
      </w:pPr>
      <w:r>
        <w:t>中文</w:t>
      </w:r>
    </w:p>
    <w:p>
      <w:pPr>
        <w:pStyle w:val="Normal"/>
      </w:pPr>
      <w:r>
        <w:t>顺序式序列预测流程从大规模牙周炎分支 sORF 搜索空间中优先选出 12 条口腔肽主候选和 8 条严格子集。该结果是可检验的候选清单，不是牙周炎与 AD 之间已验证的通路。在强化有关脑暴露、神经毒性、金属介导氧化损伤、微生物来源、靶点结合或 AD 相关性的主张之前，需要公开逐行序列—分数矩阵、解决数据来源问题，并开展分阶段生化和细胞验证。</w:t>
      </w:r>
    </w:p>
    <w:p>
      <w:pPr>
        <w:pStyle w:val="Heading2"/>
        <w:keepNext/>
        <w:pageBreakBefore/>
      </w:pPr>
      <w:r>
        <w:t>Declarations / 声明</w:t>
      </w:r>
    </w:p>
    <w:p>
      <w:pPr>
        <w:pStyle w:val="Heading3"/>
        <w:keepNext/>
      </w:pPr>
      <w:r>
        <w:t>English</w:t>
      </w:r>
    </w:p>
    <w:p>
      <w:pPr>
        <w:pStyle w:val="Heading4"/>
        <w:keepNext/>
      </w:pPr>
      <w:r>
        <w:t>Ethics statement</w:t>
      </w:r>
    </w:p>
    <w:p>
      <w:pPr>
        <w:pStyle w:val="Normal"/>
      </w:pPr>
      <w:r>
        <w:t>The present work used aggregate descriptions of secondary public-data-derived computational analyses and involved no new recruitment, intervention, specimen collection, or access to identifiable participant data in the materials available for drafting. Whether formal ethics review or an exemption statement is required must be confirmed by the accountable authors and their institution before submission; no approval number is inferred here.</w:t>
      </w:r>
    </w:p>
    <w:p>
      <w:pPr>
        <w:pStyle w:val="Heading4"/>
        <w:keepNext/>
      </w:pPr>
      <w:r>
        <w:t>Consent for publication</w:t>
      </w:r>
    </w:p>
    <w:p>
      <w:pPr>
        <w:pStyle w:val="Normal"/>
      </w:pPr>
      <w:r>
        <w:t>No individual-level or identifiable participant material is included in this draft.</w:t>
      </w:r>
    </w:p>
    <w:p>
      <w:pPr>
        <w:pStyle w:val="Heading4"/>
        <w:keepNext/>
      </w:pPr>
      <w:r>
        <w:t>Data availability</w:t>
      </w:r>
    </w:p>
    <w:p>
      <w:pPr>
        <w:pStyle w:val="Normal"/>
      </w:pPr>
      <w:r>
        <w:t>The supplied workflow names PRJNA678453, PRJEB65451, PXD003151, PXD004319, PXD026727, and HOMD/eHOMD. PRJNA678453, PXD004319, PXD026727, and HOMD/eHOMD were linked to public records during drafting; PRJEB65451 remains unresolved. The sequence-level inputs and outputs, sample-to-sequence map, spectra, taxonomic assignments, per-model scores, and final candidate sequences were not present in the supplied package. Full independent reproduction is therefore not possible from this draft package alone. These artifacts should be deposited in a persistent repository before submission.</w:t>
      </w:r>
    </w:p>
    <w:p>
      <w:pPr>
        <w:pStyle w:val="Heading4"/>
        <w:keepNext/>
      </w:pPr>
      <w:r>
        <w:t>Code availability</w:t>
      </w:r>
    </w:p>
    <w:p>
      <w:pPr>
        <w:pStyle w:val="Normal"/>
      </w:pPr>
      <w:r>
        <w:t>No executable analysis code for the original sORF discovery, sequence matching, deduplication, or model runs was supplied. The repository contains only scripts used to extract the source documents, recompute aggregate percentages, verify file checksums, generate the figure, and build the DOCX draft. The original analysis code and environment lockfile should be archived before submission.</w:t>
      </w:r>
    </w:p>
    <w:p>
      <w:pPr>
        <w:pStyle w:val="Heading4"/>
        <w:keepNext/>
      </w:pPr>
      <w:r>
        <w:t>Funding</w:t>
      </w:r>
    </w:p>
    <w:p>
      <w:pPr>
        <w:pStyle w:val="Normal"/>
      </w:pPr>
      <w:r>
        <w:t>Funding information was not provided to the drafting workflow. The accountable authors must supply and verify the final funding statement.</w:t>
      </w:r>
    </w:p>
    <w:p>
      <w:pPr>
        <w:pStyle w:val="Heading4"/>
        <w:keepNext/>
      </w:pPr>
      <w:r>
        <w:t>Competing interests</w:t>
      </w:r>
    </w:p>
    <w:p>
      <w:pPr>
        <w:pStyle w:val="Normal"/>
      </w:pPr>
      <w:r>
        <w:t>A competing-interests declaration was not provided. Each accountable author must submit an author-approved declaration before journal submission.</w:t>
      </w:r>
    </w:p>
    <w:p>
      <w:pPr>
        <w:pStyle w:val="Heading4"/>
        <w:keepNext/>
      </w:pPr>
      <w:r>
        <w:t>Author contributions</w:t>
      </w:r>
    </w:p>
    <w:p>
      <w:pPr>
        <w:pStyle w:val="Normal"/>
      </w:pPr>
      <w:r>
        <w:t>Author identities and contributions were not supplied. CRediT roles and final approval must be completed by the named human authors; no authorship is inferred from file provenance.</w:t>
      </w:r>
    </w:p>
    <w:p>
      <w:pPr>
        <w:pStyle w:val="Heading4"/>
        <w:keepNext/>
      </w:pPr>
      <w:r>
        <w:t>Use of generative AI</w:t>
      </w:r>
    </w:p>
    <w:p>
      <w:pPr>
        <w:pStyle w:val="Normal"/>
      </w:pPr>
      <w:r>
        <w:t>A generative-AI assistant was used to organize the supplied materials, draft bilingual scientific text, perform deterministic arithmetic checks, and support language editing. The assistant was not treated as an author. Human authors remain responsible for verifying every datum, citation, interpretation, translation, declaration, and journal-policy requirement, and should adapt this disclosure to the target journal’s current policy.</w:t>
      </w:r>
    </w:p>
    <w:p>
      <w:pPr>
        <w:pStyle w:val="Heading3"/>
        <w:keepNext/>
      </w:pPr>
      <w:r>
        <w:t>中文</w:t>
      </w:r>
    </w:p>
    <w:p>
      <w:pPr>
        <w:pStyle w:val="Heading4"/>
        <w:keepNext/>
      </w:pPr>
      <w:r>
        <w:t>伦理声明</w:t>
      </w:r>
    </w:p>
    <w:p>
      <w:pPr>
        <w:pStyle w:val="Normal"/>
      </w:pPr>
      <w:r>
        <w:t>本研究使用的是公共数据衍生计算分析的聚合描述；本轮可用材料不涉及新增招募、干预、标本采集或可识别个体数据。投稿前是否需要正式伦理审查或豁免声明，须由责任作者和所在机构确认；本稿不推定或编造伦理批准号。</w:t>
      </w:r>
    </w:p>
    <w:p>
      <w:pPr>
        <w:pStyle w:val="Heading4"/>
        <w:keepNext/>
      </w:pPr>
      <w:r>
        <w:t>发表同意</w:t>
      </w:r>
    </w:p>
    <w:p>
      <w:pPr>
        <w:pStyle w:val="Normal"/>
      </w:pPr>
      <w:r>
        <w:t>本稿不包含个体层面或可识别的受试者材料。</w:t>
      </w:r>
    </w:p>
    <w:p>
      <w:pPr>
        <w:pStyle w:val="Heading4"/>
        <w:keepNext/>
      </w:pPr>
      <w:r>
        <w:t>数据可用性</w:t>
      </w:r>
    </w:p>
    <w:p>
      <w:pPr>
        <w:pStyle w:val="Normal"/>
      </w:pPr>
      <w:r>
        <w:t>所提供流程列出 PRJNA678453、PRJEB65451、PXD003151、PXD004319、PXD026727 和 HOMD/eHOMD。本轮已将 PRJNA678453、PXD004319、PXD026727 与 HOMD/eHOMD 对应到公开记录；PRJEB65451 仍未解决。所提供材料不包含序列级输入/输出、样本—序列映射、谱图、分类学归属、逐模型分数和最终候选序列。因此，无法仅根据本草案包完整独立复现。投稿前应把这些材料存入持久化仓库。</w:t>
      </w:r>
    </w:p>
    <w:p>
      <w:pPr>
        <w:pStyle w:val="Heading4"/>
        <w:keepNext/>
      </w:pPr>
      <w:r>
        <w:t>代码可用性</w:t>
      </w:r>
    </w:p>
    <w:p>
      <w:pPr>
        <w:pStyle w:val="Normal"/>
      </w:pPr>
      <w:r>
        <w:t>未提供原始 sORF 发现、序列匹配、去重或模型运行的可执行分析代码。仓库仅包含用于原始文档提取、聚合比例重算、文件校验和验证、图形生成及 DOCX 草案构建的脚本。投稿前应归档原始分析代码和环境锁定文件。</w:t>
      </w:r>
    </w:p>
    <w:p>
      <w:pPr>
        <w:pStyle w:val="Heading4"/>
        <w:keepNext/>
      </w:pPr>
      <w:r>
        <w:t>经费</w:t>
      </w:r>
    </w:p>
    <w:p>
      <w:pPr>
        <w:pStyle w:val="Normal"/>
      </w:pPr>
      <w:r>
        <w:t>本轮写作未获得经费信息。责任作者必须补充并核验最终经费声明。</w:t>
      </w:r>
    </w:p>
    <w:p>
      <w:pPr>
        <w:pStyle w:val="Heading4"/>
        <w:keepNext/>
      </w:pPr>
      <w:r>
        <w:t>利益冲突</w:t>
      </w:r>
    </w:p>
    <w:p>
      <w:pPr>
        <w:pStyle w:val="Normal"/>
      </w:pPr>
      <w:r>
        <w:t>未提供利益冲突声明。投稿前，每位责任作者均须提交经作者确认的声明。</w:t>
      </w:r>
    </w:p>
    <w:p>
      <w:pPr>
        <w:pStyle w:val="Heading4"/>
        <w:keepNext/>
      </w:pPr>
      <w:r>
        <w:t>作者贡献</w:t>
      </w:r>
    </w:p>
    <w:p>
      <w:pPr>
        <w:pStyle w:val="Normal"/>
      </w:pPr>
      <w:r>
        <w:t>未提供作者身份和贡献信息。CRediT 角色和终稿批准必须由具名人类作者完成；不得依据文件来源推定作者资格。</w:t>
      </w:r>
    </w:p>
    <w:p>
      <w:pPr>
        <w:pStyle w:val="Heading4"/>
        <w:keepNext/>
      </w:pPr>
      <w:r>
        <w:t>生成式人工智能的使用</w:t>
      </w:r>
    </w:p>
    <w:p>
      <w:pPr>
        <w:pStyle w:val="Normal"/>
      </w:pPr>
      <w:r>
        <w:t>本稿使用生成式人工智能助手整理所提供材料、起草中英文科学文本、执行确定性算术检查并辅助语言编辑。该助手不作为作者。人类作者仍须对每项数据、引文、解释、翻译、声明和期刊政策要求进行核验，并应根据目标期刊的现行政策调整本披露。</w:t>
      </w:r>
    </w:p>
    <w:p>
      <w:pPr>
        <w:pStyle w:val="Heading2"/>
        <w:keepNext/>
        <w:pageBreakBefore/>
      </w:pPr>
      <w:r>
        <w:t>References / 参考文献</w:t>
      </w:r>
    </w:p>
    <w:p>
      <w:pPr>
        <w:pStyle w:val="Reference"/>
        <w:ind w:left="360" w:hanging="360"/>
      </w:pPr>
      <w:r>
        <w:rPr>
          <w:sz w:val="18"/>
          <w:szCs w:val="18"/>
        </w:rPr>
        <w:t xml:space="preserve">1. Sberro H, Fremin BJ, Zlitni S, et al. Large-scale analyses of human microbiomes reveal thousands of small, novel genes. </w:t>
      </w:r>
      <w:r>
        <w:rPr>
          <w:i/>
          <w:sz w:val="18"/>
          <w:szCs w:val="18"/>
        </w:rPr>
        <w:t>Cell</w:t>
      </w:r>
      <w:r>
        <w:rPr>
          <w:sz w:val="18"/>
          <w:szCs w:val="18"/>
        </w:rPr>
        <w:t>. 2019;178(5):1245–1259.e14. doi:10.1016/j.cell.2019.07.016.</w:t>
      </w:r>
    </w:p>
    <w:p>
      <w:pPr>
        <w:pStyle w:val="Reference"/>
        <w:ind w:left="360" w:hanging="360"/>
      </w:pPr>
      <w:r>
        <w:rPr>
          <w:sz w:val="18"/>
          <w:szCs w:val="18"/>
        </w:rPr>
        <w:t xml:space="preserve">2.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3. Chen T, Yu WH, Izard J, et al. The Human Oral Microbiome Database: a web accessible resource for investigating oral microbe taxonomic and genomic information. </w:t>
      </w:r>
      <w:r>
        <w:rPr>
          <w:i/>
          <w:sz w:val="18"/>
          <w:szCs w:val="18"/>
        </w:rPr>
        <w:t>Database (Oxford)</w:t>
      </w:r>
      <w:r>
        <w:rPr>
          <w:sz w:val="18"/>
          <w:szCs w:val="18"/>
        </w:rPr>
        <w:t>. 2010;2010:baq013. doi:10.1093/database/baq013.</w:t>
      </w:r>
    </w:p>
    <w:p>
      <w:pPr>
        <w:pStyle w:val="Reference"/>
        <w:ind w:left="360" w:hanging="360"/>
      </w:pPr>
      <w:r>
        <w:rPr>
          <w:sz w:val="18"/>
          <w:szCs w:val="18"/>
        </w:rPr>
        <w:t xml:space="preserve">4. Escapa IF, Chen T, Huang Y, et al. New insights into human nostril microbiome from the expanded Human Oral Microbiome Database (eHOMD): a resource for the microbiome of the human aerodigestive tract. </w:t>
      </w:r>
      <w:r>
        <w:rPr>
          <w:i/>
          <w:sz w:val="18"/>
          <w:szCs w:val="18"/>
        </w:rPr>
        <w:t>mSystems</w:t>
      </w:r>
      <w:r>
        <w:rPr>
          <w:sz w:val="18"/>
          <w:szCs w:val="18"/>
        </w:rPr>
        <w:t>. 2018;3(6):e00187-18. doi:10.1128/mSystems.00187-18.</w:t>
      </w:r>
    </w:p>
    <w:p>
      <w:pPr>
        <w:pStyle w:val="Reference"/>
        <w:ind w:left="360" w:hanging="360"/>
      </w:pPr>
      <w:r>
        <w:rPr>
          <w:sz w:val="18"/>
          <w:szCs w:val="18"/>
        </w:rPr>
        <w:t xml:space="preserve">5. Belstrøm D, Jersie-Christensen RR, Lyon D, et al. Metaproteomics of saliva identifies human protein markers specific for individuals with periodontitis and dental caries compared to orally healthy controls. </w:t>
      </w:r>
      <w:r>
        <w:rPr>
          <w:i/>
          <w:sz w:val="18"/>
          <w:szCs w:val="18"/>
        </w:rPr>
        <w:t>PeerJ</w:t>
      </w:r>
      <w:r>
        <w:rPr>
          <w:sz w:val="18"/>
          <w:szCs w:val="18"/>
        </w:rPr>
        <w:t>. 2016;4:e2433. doi:10.7717/peerj.2433.</w:t>
      </w:r>
    </w:p>
    <w:p>
      <w:pPr>
        <w:pStyle w:val="Reference"/>
        <w:ind w:left="360" w:hanging="360"/>
      </w:pPr>
      <w:r>
        <w:rPr>
          <w:sz w:val="18"/>
          <w:szCs w:val="18"/>
        </w:rPr>
        <w:t xml:space="preserve">6. Jiang X, Zhang Y, Wang H, et al. In-depth metaproteomics analysis of oral microbiome for lung cancer. </w:t>
      </w:r>
      <w:r>
        <w:rPr>
          <w:i/>
          <w:sz w:val="18"/>
          <w:szCs w:val="18"/>
        </w:rPr>
        <w:t>Research</w:t>
      </w:r>
      <w:r>
        <w:rPr>
          <w:sz w:val="18"/>
          <w:szCs w:val="18"/>
        </w:rPr>
        <w:t>. 2022;2022:9781578. doi:10.34133/2022/9781578.</w:t>
      </w:r>
    </w:p>
    <w:p>
      <w:pPr>
        <w:pStyle w:val="Reference"/>
        <w:ind w:left="360" w:hanging="360"/>
      </w:pPr>
      <w:r>
        <w:rPr>
          <w:sz w:val="18"/>
          <w:szCs w:val="18"/>
        </w:rPr>
        <w:t xml:space="preserve">7. Du Z, Ding X, Xu Y, Li Y. UniDL4BioPep: a universal deep learning architecture for binary classification in peptide bioactivity. </w:t>
      </w:r>
      <w:r>
        <w:rPr>
          <w:i/>
          <w:sz w:val="18"/>
          <w:szCs w:val="18"/>
        </w:rPr>
        <w:t>Brief Bioinform</w:t>
      </w:r>
      <w:r>
        <w:rPr>
          <w:sz w:val="18"/>
          <w:szCs w:val="18"/>
        </w:rPr>
        <w:t>. 2023;24(3):bbad135. doi:10.1093/bib/bbad135.</w:t>
      </w:r>
    </w:p>
    <w:p>
      <w:pPr>
        <w:pStyle w:val="Reference"/>
        <w:ind w:left="360" w:hanging="360"/>
      </w:pPr>
      <w:r>
        <w:rPr>
          <w:sz w:val="18"/>
          <w:szCs w:val="18"/>
        </w:rPr>
        <w:t xml:space="preserve">8. Rathore AS, Jain S, Choudhury S, Raghava GPS. A large language model for predicting neurotoxic peptides and neurotoxins. </w:t>
      </w:r>
      <w:r>
        <w:rPr>
          <w:i/>
          <w:sz w:val="18"/>
          <w:szCs w:val="18"/>
        </w:rPr>
        <w:t>Protein Sci</w:t>
      </w:r>
      <w:r>
        <w:rPr>
          <w:sz w:val="18"/>
          <w:szCs w:val="18"/>
        </w:rPr>
        <w:t>. 2025;34(8):e70200. doi:10.1002/pro.70200.</w:t>
      </w:r>
    </w:p>
    <w:p>
      <w:pPr>
        <w:pStyle w:val="Reference"/>
        <w:ind w:left="360" w:hanging="360"/>
      </w:pPr>
      <w:r>
        <w:rPr>
          <w:sz w:val="18"/>
          <w:szCs w:val="18"/>
        </w:rPr>
        <w:t xml:space="preserve">9. Aptekmann AA, Buongiorno J, Giovannelli D, et al. mebipred: identifying metal-binding potential in protein sequence. </w:t>
      </w:r>
      <w:r>
        <w:rPr>
          <w:i/>
          <w:sz w:val="18"/>
          <w:szCs w:val="18"/>
        </w:rPr>
        <w:t>Bioinformatics</w:t>
      </w:r>
      <w:r>
        <w:rPr>
          <w:sz w:val="18"/>
          <w:szCs w:val="18"/>
        </w:rPr>
        <w:t>. 2022;38(14):3532–3540. doi:10.1093/bioinformatics/btac358.</w:t>
      </w:r>
    </w:p>
    <w:p>
      <w:pPr>
        <w:pStyle w:val="Reference"/>
        <w:ind w:left="360" w:hanging="360"/>
      </w:pPr>
      <w:r>
        <w:rPr>
          <w:sz w:val="18"/>
          <w:szCs w:val="18"/>
        </w:rPr>
        <w:t xml:space="preserve">10.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11. Larvin H, Gao C, Kang J, et al. The impact of study factors in the association of periodontal disease and cognitive disorders: systematic review and meta-analysis. </w:t>
      </w:r>
      <w:r>
        <w:rPr>
          <w:i/>
          <w:sz w:val="18"/>
          <w:szCs w:val="18"/>
        </w:rPr>
        <w:t>Age Ageing</w:t>
      </w:r>
      <w:r>
        <w:rPr>
          <w:sz w:val="18"/>
          <w:szCs w:val="18"/>
        </w:rPr>
        <w:t>. 2023;52(2):afad015. doi:10.1093/ageing/afad015.</w:t>
      </w:r>
    </w:p>
    <w:p>
      <w:pPr>
        <w:pStyle w:val="Reference"/>
        <w:ind w:left="360" w:hanging="360"/>
      </w:pPr>
      <w:r>
        <w:rPr>
          <w:sz w:val="18"/>
          <w:szCs w:val="18"/>
        </w:rPr>
        <w:t xml:space="preserve">12. Kaliamoorthy S, Nagarajan M, Sethuraman V, et al. Association of Alzheimer’s disease and periodontitis—a systematic review and meta-analysis of evidence from observational studies. </w:t>
      </w:r>
      <w:r>
        <w:rPr>
          <w:i/>
          <w:sz w:val="18"/>
          <w:szCs w:val="18"/>
        </w:rPr>
        <w:t>Med Pharm Rep</w:t>
      </w:r>
      <w:r>
        <w:rPr>
          <w:sz w:val="18"/>
          <w:szCs w:val="18"/>
        </w:rPr>
        <w:t>. 2022;95(2):144–151. doi:10.15386/mpr-2278.</w:t>
      </w:r>
    </w:p>
    <w:p>
      <w:pPr>
        <w:pStyle w:val="Reference"/>
        <w:ind w:left="360" w:hanging="360"/>
      </w:pPr>
      <w:r>
        <w:rPr>
          <w:sz w:val="18"/>
          <w:szCs w:val="18"/>
        </w:rPr>
        <w:t xml:space="preserve">13. Liu S, Dashper SG, Zhao R. Association between oral bacteria and Alzheimer’s disease: a systematic review and meta-analysis. </w:t>
      </w:r>
      <w:r>
        <w:rPr>
          <w:i/>
          <w:sz w:val="18"/>
          <w:szCs w:val="18"/>
        </w:rPr>
        <w:t>J Alzheimers Dis</w:t>
      </w:r>
      <w:r>
        <w:rPr>
          <w:sz w:val="18"/>
          <w:szCs w:val="18"/>
        </w:rPr>
        <w:t>. 2023;91(1):129–150. doi:10.3233/JAD-220627.</w:t>
      </w:r>
    </w:p>
    <w:p>
      <w:pPr>
        <w:pStyle w:val="Reference"/>
        <w:ind w:left="360" w:hanging="360"/>
      </w:pPr>
      <w:r>
        <w:rPr>
          <w:sz w:val="18"/>
          <w:szCs w:val="18"/>
        </w:rPr>
        <w:t xml:space="preserve">14. Dominy SS, Lynch C, Ermini F, et al. </w:t>
      </w:r>
      <w:r>
        <w:rPr>
          <w:i/>
          <w:sz w:val="18"/>
          <w:szCs w:val="18"/>
        </w:rPr>
        <w:t>Porphyromonas gingivalis</w:t>
      </w:r>
      <w:r>
        <w:rPr>
          <w:sz w:val="18"/>
          <w:szCs w:val="18"/>
        </w:rPr>
        <w:t xml:space="preserve"> in Alzheimer’s disease brains: evidence for disease causation and treatment with small-molecule inhibitors. </w:t>
      </w:r>
      <w:r>
        <w:rPr>
          <w:i/>
          <w:sz w:val="18"/>
          <w:szCs w:val="18"/>
        </w:rPr>
        <w:t>Sci Adv</w:t>
      </w:r>
      <w:r>
        <w:rPr>
          <w:sz w:val="18"/>
          <w:szCs w:val="18"/>
        </w:rPr>
        <w:t>. 2019;5(1):eaau3333. doi:10.1126/sciadv.aau3333.</w:t>
      </w:r>
    </w:p>
    <w:p>
      <w:pPr>
        <w:pStyle w:val="Reference"/>
        <w:ind w:left="360" w:hanging="360"/>
      </w:pPr>
      <w:r>
        <w:rPr>
          <w:sz w:val="18"/>
          <w:szCs w:val="18"/>
        </w:rPr>
        <w:t xml:space="preserve">15. Chalmers JC, Hernandez-Kapila YL. The role of the oral microbiome, host response, and periodontal disease treatment in Alzheimer’s disease: a primer. </w:t>
      </w:r>
      <w:r>
        <w:rPr>
          <w:i/>
          <w:sz w:val="18"/>
          <w:szCs w:val="18"/>
        </w:rPr>
        <w:t>Periodontol 2000</w:t>
      </w:r>
      <w:r>
        <w:rPr>
          <w:sz w:val="18"/>
          <w:szCs w:val="18"/>
        </w:rPr>
        <w:t>. 2025;98(1):220–227. doi:10.1111/prd.12631.</w:t>
      </w:r>
    </w:p>
    <w:p>
      <w:pPr>
        <w:pStyle w:val="Reference"/>
        <w:ind w:left="360" w:hanging="360"/>
      </w:pPr>
      <w:r>
        <w:rPr>
          <w:sz w:val="18"/>
          <w:szCs w:val="18"/>
        </w:rPr>
        <w:t xml:space="preserve">16. Atanasova M, Dimitrov I, Ivanov S. Molecular dynamics simulations of acetylcholinesterase–beta-amyloid peptide complex. </w:t>
      </w:r>
      <w:r>
        <w:rPr>
          <w:i/>
          <w:sz w:val="18"/>
          <w:szCs w:val="18"/>
        </w:rPr>
        <w:t>Cybern Inf Technol</w:t>
      </w:r>
      <w:r>
        <w:rPr>
          <w:sz w:val="18"/>
          <w:szCs w:val="18"/>
        </w:rPr>
        <w:t>. 2020;20(6):140–154. doi:10.2478/cait-2020-0068.</w:t>
      </w:r>
    </w:p>
    <w:p>
      <w:pPr>
        <w:pStyle w:val="Reference"/>
        <w:ind w:left="360" w:hanging="360"/>
      </w:pPr>
      <w:r>
        <w:rPr>
          <w:sz w:val="18"/>
          <w:szCs w:val="18"/>
        </w:rPr>
        <w:t xml:space="preserve">17. Kim J, Han DH. Periodontitis as a risk factor for dementia: a systematic review and meta-analysis. </w:t>
      </w:r>
      <w:r>
        <w:rPr>
          <w:i/>
          <w:sz w:val="18"/>
          <w:szCs w:val="18"/>
        </w:rPr>
        <w:t>J Evid Based Dent Pract</w:t>
      </w:r>
      <w:r>
        <w:rPr>
          <w:sz w:val="18"/>
          <w:szCs w:val="18"/>
        </w:rPr>
        <w:t>. 2025;25:102094. doi:10.1016/j.jebdp.2025.102094.</w:t>
      </w:r>
    </w:p>
    <w:p>
      <w:pPr>
        <w:pStyle w:val="Normal"/>
      </w:pPr>
      <w:r>
        <w:rPr>
          <w:i/>
        </w:rPr>
        <w:t>The reference list is shared by both language versions. / 中英文版本共用同一参考文献表。</w:t>
      </w:r>
    </w:p>
    <w:sectPr>
      <w:headerReference w:type="default" r:id="rId4"/>
      <w:footerReference w:type="default" r:id="rId5"/>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footer1.xml><?xml version="1.0" encoding="utf-8"?>
<w:ftr xmlns:w="http://schemas.openxmlformats.org/wordprocessingml/2006/main">
  <w:p>
    <w:pPr>
      <w:jc w:val="center"/>
    </w:pPr>
    <w:r>
      <w:rPr>
        <w:sz w:val="18"/>
        <w:szCs w:val="18"/>
        <w:color w:val="60758A"/>
      </w:rPr>
      <w:t xml:space="preserve">Page </w:t>
    </w:r>
    <w:fldSimple w:instr="PAGE">
      <w:r>
        <w:rPr>
          <w:sz w:val="18"/>
          <w:color w:val="60758A"/>
        </w:rPr>
        <w:t>1</w:t>
      </w:r>
    </w:fldSimple>
  </w:p>
</w:ftr>
</file>

<file path=word/header1.xml><?xml version="1.0" encoding="utf-8"?>
<w:hdr xmlns:w="http://schemas.openxmlformats.org/wordprocessingml/2006/main">
  <w:p>
    <w:pPr>
      <w:jc w:val="right"/>
      <w:pBdr>
        <w:bottom w:val="single" w:sz="4" w:space="4" w:color="B7C9E2"/>
      </w:pBdr>
    </w:pPr>
    <w:r>
      <w:rPr>
        <w:sz w:val="17"/>
        <w:szCs w:val="17"/>
        <w:color w:val="60758A"/>
      </w:rPr>
      <w:t>Bilingual scientific-content draft | 中英文科学内容草案 | 2026-08-12</w:t>
    </w:r>
  </w:p>
</w:hd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Draft 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header" Target="header1.xml"/><Relationship Id="rId5" Type="http://schemas.openxmlformats.org/officeDocument/2006/relationships/footer" Target="footer1.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Prioritization of Periodontitis-Cohort Oral Micropeptides / 牙周炎队列口腔微肽的计算优先级排序</dc:title>
  <dc:subject>Original research scientific-content draft</dc:subject>
  <dc:creator>Accountable authors to be supplied</dc:creator>
  <cp:lastModifiedBy>Arena.ai drafting workflow</cp:lastModifiedBy>
  <dcterms:created xsi:type="dcterms:W3CDTF">2026-08-12T02:17:34Z</dcterms:created>
  <dcterms:modified xsi:type="dcterms:W3CDTF">2026-08-12T02:17:34Z</dcterms:modified>
</cp:coreProperties>
</file>