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Supplementary Tables / 补充表</w:t>
      </w:r>
    </w:p>
    <w:p>
      <w:pPr>
        <w:pStyle w:val="Normal"/>
      </w:pPr>
      <w:r>
        <w:rPr>
          <w:b/>
        </w:rPr>
        <w:t>Manuscript / 对应稿件:</w:t>
      </w:r>
      <w:r>
        <w:t xml:space="preserve"> Computational Prioritization of Periodontitis-Cohort Oral Micropeptides… / 牙周炎队列口腔微肽的计算优先级排序……</w:t>
      </w:r>
    </w:p>
    <w:p>
      <w:pPr>
        <w:pStyle w:val="Normal"/>
      </w:pPr>
      <w:r>
        <w:rPr>
          <w:b/>
        </w:rPr>
        <w:t>Interpretation boundary / 解释边界:</w:t>
      </w:r>
      <w:r>
        <w:t xml:space="preserve"> Values are aggregate UniDL4BioPep model outputs transcribed from the supplied primary record. Percentages use the stated branch backgrounds. No inferential between-group comparison was available. / 数值为从主要记录转录的 UniDL4BioPep 聚合模型输出，百分比使用记录中的分支背景。未提供可进行组间推断比较的数据。</w:t>
      </w:r>
    </w:p>
    <w:p>
      <w:pPr>
        <w:pStyle w:val="Heading2"/>
        <w:keepNext/>
      </w:pPr>
      <w:r>
        <w:t>Supplementary Table S1 / 补充表 S1. Long branch multi-activity outputs at model score ≥0.80 / 长肽分支模型输出≥0.80的多活性结果</w:t>
      </w:r>
    </w:p>
    <w:p>
      <w:pPr>
        <w:pStyle w:val="Normal"/>
      </w:pPr>
      <w:r>
        <w:t>Backgrounds / 统计背景: Healthy / 健康 n=953; Periodontitis / 牙周炎 n=1,032.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Model / 模型类别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n / 健康 n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% / 健康 %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n / 牙周炎 n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% / 牙周炎 %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ACP_Anticancer_alt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11.72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BBB_Peptides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4.20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6.98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Quorum_sensing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173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18.15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190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18.41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Antimicrobial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21.62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238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23.06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Antibacterial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11.65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14.83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Anti-MRSA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4.93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6.01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CPP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2.81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Antifungal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7.66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9.30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Toxicity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1.74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Umami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1.78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1.45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Antimalarial_alt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1.26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1.36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TTCA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0.10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Antioxidant_FRS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4.51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3.97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DPPIV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0.00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Antimalarial_main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0.00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Anti-parasitic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30.22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27.13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NeuroPred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8.60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7.46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ACP_Anticancer_main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3.88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3.00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ACE_inhibitory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1.36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Allergenicity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1.68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1.07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Antiviral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5.77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5.04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Bitter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635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66.63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641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62.11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Supplementary Table S2 / 补充表 S2. Short branch multi-activity outputs at model score ≥0.80 / 短肽分支模型输出≥0.80的多活性结果</w:t>
      </w:r>
    </w:p>
    <w:p>
      <w:pPr>
        <w:pStyle w:val="Normal"/>
      </w:pPr>
      <w:r>
        <w:t>Backgrounds / 统计背景: Healthy / 健康 n=30,557; Periodontitis / 牙周炎 n=32,754.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Model / 模型类别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n / 健康 n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% / 健康 %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n / 牙周炎 n</w:t>
            </w:r>
          </w:p>
        </w:tc>
        <w:tc>
          <w:tcPr>
            <w:tcW w:w="1872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% / 牙周炎 %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ACE_inhibitory_activity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2,781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2,856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8.72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TTCA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9,123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29.86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9,161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27.97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BBB_Peptides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3,359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10.99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3,446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10.52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APP_Anti-parasitic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21,185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69.33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22,010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67.20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NeuroPred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3,876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12.68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4,019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12.27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Antibacterial_AB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9,269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30.33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9,273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28.31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Antifungal_AF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8,732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28.58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8,475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25.87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AV_Antiviral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7,501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24.55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7,221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22.05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Toxicity_2021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2,770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9.07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2,751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8.40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Antioxidant_FRS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4,171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13.65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4,093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12.50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Allergenicity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8,599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28.14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9,422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28.77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DPPIV_inhibitory_activity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0.81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CPP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4,435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14.51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4,133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12.62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Bitter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5,037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16.48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4,986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15.22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Umami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6,095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19.95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6,094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18.61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Antimicrobial_activity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30,537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99.93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32,721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99.90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Antimalarial_alt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1,724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5.64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1,695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5.17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Antimalarial_main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6,496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21.26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6,586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20.11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Quorum_sensing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11,834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38.73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12,674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38.69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ACP_Anticancer_alt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7,878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25.78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8,380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25.58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ACP_Anticancer_main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11,370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37.21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12,023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36.71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Anti-MRSA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4,315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14.12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4,728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14.43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Supplementary Table S3 / 补充表 S3. Descriptive arithmetic audit / 描述性算术复核</w:t>
      </w:r>
    </w:p>
    <w:tbl>
      <w:tblPr>
        <w:tblStyle w:val="TableGrid"/>
        <w:tblW w:w="5000" w:type="pct"/>
        <w:tblLayout w:type="fixed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Quantity / 指标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Calculation / 计算</w:t>
            </w:r>
          </w:p>
        </w:tc>
        <w:tc>
          <w:tcPr>
            <w:tcW w:w="3120" w:type="dxa"/>
            <w:shd w:val="clear" w:color="auto" w:fill="DCE6F1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Result / 结果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Healthy evidence-filter retention / 健康证据过滤保留率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31,510 / 11,269,961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0.2796%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evidence-filter retention / 牙周炎证据过滤保留率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33,786 / 11,721,988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0.2882%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BBB-high short share / 牙周炎 BBB 高分集合短肽占比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3,446 / 3,518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97.95%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Periodontitis BBB-high long share / 牙周炎 BBB 高分集合长肽占比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72 / 3,518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2.05%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 not evaluated / NTxPred2 未评价占比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219 / 3,518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6.23%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NTxPred2 positive among evaluated / 已评价中的 NTxPred2 阳性率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923 / 3,299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27.98%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CHEL≥0.25 among reported metal-binding positives / 报告金属结合阳性中 CHEL≥0.25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15 / 111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13.51%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Main set among reported metal-binding positives / 报告金属结合阳性中主集合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12 / 111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10.81%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Stricter subset among reported metal-binding positives / 报告金属结合阳性中严格子集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8 / 111 ×100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20" w:lineRule="auto"/>
            </w:pPr>
            <w:r>
              <w:rPr>
                <w:sz w:val="17"/>
                <w:szCs w:val="17"/>
              </w:rPr>
              <w:t>7.21%</w:t>
            </w:r>
          </w:p>
        </w:tc>
      </w:tr>
    </w:tbl>
    <w:p>
      <w:pPr>
        <w:spacing w:after="40"/>
      </w:pPr>
    </w:p>
    <w:sectPr>
      <w:headerReference w:type="default" r:id="rId4"/>
      <w:footerReference w:type="default" r:id="rId5"/>
      <w:pgSz w:w="11906" w:h="16838"/>
      <w:pgMar w:top="1134" w:right="1134" w:bottom="1134" w:left="1134" w:header="600" w:footer="600" w:gutter="0"/>
      <w:cols w:space="720"/>
      <w:docGrid w:linePitch="312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  <w:color w:val="60758A"/>
      </w:rPr>
      <w:t xml:space="preserve">Page </w:t>
    </w:r>
    <w:fldSimple w:instr="PAGE">
      <w:r>
        <w:rPr>
          <w:sz w:val="18"/>
          <w:color w:val="60758A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B7C9E2"/>
      </w:pBdr>
    </w:pPr>
    <w:r>
      <w:rPr>
        <w:sz w:val="17"/>
        <w:szCs w:val="17"/>
        <w:color w:val="60758A"/>
      </w:rPr>
      <w:t>Bilingual scientific-content draft | 中英文科学内容草案 | 2026-08-12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  <w:pPr>
      <w:widowControl/>
    </w:pPr>
  </w:style>
  <w:style w:type="paragraph" w:styleId="Heading1">
    <w:name w:val="heading 1"/>
    <w:basedOn w:val="Normal"/>
    <w:next w:val="Normal"/>
    <w:qFormat/>
    <w:pPr>
      <w:keepNext/>
      <w:keepLines/>
      <w:spacing w:before="240" w:after="180"/>
      <w:jc w:val="center"/>
      <w:outlineLvl w:val="0"/>
    </w:pPr>
    <w:rPr>
      <w:rFonts w:ascii="Arial" w:hAnsi="Arial" w:eastAsia="黑体"/>
      <w:b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rFonts w:ascii="Arial" w:hAnsi="Arial" w:eastAsia="黑体"/>
      <w:b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ascii="Arial" w:hAnsi="Arial" w:eastAsia="黑体"/>
      <w:b/>
      <w:color w:val="2F5597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after="80"/>
      <w:outlineLvl w:val="3"/>
    </w:pPr>
    <w:rPr>
      <w:rFonts w:ascii="Arial" w:hAnsi="Arial" w:eastAsia="黑体"/>
      <w:b/>
      <w:color w:val="365F91"/>
      <w:sz w:val="23"/>
      <w:szCs w:val="23"/>
    </w:rPr>
  </w:style>
  <w:style w:type="paragraph" w:styleId="Note">
    <w:name w:val="Draft Note"/>
    <w:basedOn w:val="Normal"/>
    <w:pPr>
      <w:spacing w:after="80"/>
      <w:jc w:val="left"/>
    </w:pPr>
    <w:rPr>
      <w:color w:val="5B6573"/>
      <w:i/>
      <w:sz w:val="19"/>
      <w:szCs w:val="19"/>
    </w:rPr>
  </w:style>
  <w:style w:type="paragraph" w:styleId="Keywords">
    <w:name w:val="Keywords"/>
    <w:basedOn w:val="Normal"/>
    <w:pPr>
      <w:spacing w:after="160"/>
    </w:pPr>
    <w:rPr>
      <w:sz w:val="20"/>
      <w:szCs w:val="20"/>
    </w:rPr>
  </w:style>
  <w:style w:type="paragraph" w:styleId="Caption">
    <w:name w:val="Caption"/>
    <w:basedOn w:val="Normal"/>
    <w:pPr>
      <w:keepNext/>
      <w:spacing w:before="60" w:after="120"/>
      <w:jc w:val="left"/>
    </w:pPr>
    <w:rPr>
      <w:i/>
      <w:sz w:val="18"/>
      <w:szCs w:val="18"/>
    </w:rPr>
  </w:style>
  <w:style w:type="paragraph" w:styleId="Figure">
    <w:name w:val="Figure"/>
    <w:basedOn w:val="Normal"/>
    <w:pPr>
      <w:spacing w:before="120" w:after="60"/>
      <w:jc w:val="center"/>
    </w:pPr>
  </w:style>
  <w:style w:type="paragraph" w:styleId="Reference">
    <w:name w:val="Reference"/>
    <w:basedOn w:val="Normal"/>
    <w:pPr>
      <w:spacing w:after="60" w:line="220" w:lineRule="auto"/>
      <w:jc w:val="left"/>
    </w:pPr>
    <w:rPr>
      <w:sz w:val="18"/>
      <w:szCs w:val="18"/>
    </w:rPr>
  </w:style>
  <w:style w:type="paragraph" w:styleId="ListParagraph">
    <w:name w:val="List Paragraph"/>
    <w:basedOn w:val="Normal"/>
    <w:pPr>
      <w:spacing w:after="60"/>
    </w:pPr>
  </w:style>
  <w:style w:type="paragraph" w:styleId="TableText">
    <w:name w:val="Table Text"/>
    <w:basedOn w:val="Normal"/>
    <w:pPr>
      <w:spacing w:after="0"/>
      <w:jc w:val="left"/>
    </w:pPr>
    <w:rPr>
      <w:sz w:val="17"/>
      <w:szCs w:val="17"/>
    </w:rPr>
  </w:style>
  <w:style w:type="table" w:styleId="TableGrid">
    <w:name w:val="Table Grid"/>
    <w:tblPr>
      <w:tblBorders>
        <w:top w:val="single" w:sz="4" w:color="9AA6B2"/>
        <w:left w:val="single" w:sz="4" w:color="9AA6B2"/>
        <w:bottom w:val="single" w:sz="4" w:color="9AA6B2"/>
        <w:right w:val="single" w:sz="4" w:color="9AA6B2"/>
        <w:insideH w:val="single" w:sz="4" w:color="9AA6B2"/>
        <w:insideV w:val="single" w:sz="4" w:color="9AA6B2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Tables / 补充表</dc:title>
  <dc:subject>Original research scientific-content draft</dc:subject>
  <dc:creator>Accountable authors to be supplied</dc:creator>
  <cp:lastModifiedBy>Arena.ai drafting workflow</cp:lastModifiedBy>
  <dcterms:created xsi:type="dcterms:W3CDTF">2026-08-12T02:17:34Z</dcterms:created>
  <dcterms:modified xsi:type="dcterms:W3CDTF">2026-08-12T02:17:34Z</dcterms:modified>
</cp:coreProperties>
</file>