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被认为可能影响阿尔茨海默病（AD）相关炎症，但具体分子链路仍不确定。本研究对口腔小开放阅读框（smORF）汇总数据进行纯计算二次分析，以优选可供验证的微肽。筛选级联整合ESM-2嵌入与任务特异性卷积网络、ESM2-t30神经毒性模型、两级神经网络金属结合预测器和多任务抗氧化卷积网络。序列证据过滤从11,269,961条和11,721,988条smORF起始库中分别保留31,510条和33,786条候选。在牙周炎标记分支中，3,518条候选达到BBB高分；NTxPred2评价3,299条并将923条判为阳性，后续筛选依次保留111、15、12和8条候选。另一张表包含12条7–9 aa序列，其AChE Vina均值范围为−9.60至−8.25 kcal/mol。序列组成和评分排序可以核对，但12条序列与汇总终点的关系、对接执行和分子动力学结果均不可获得。因此，本研究形成的是供独立重现和实验检验的计算候选清单，而不是</w:t>
      </w:r>
      <w:r>
        <w:rPr>
          <w:i/>
        </w:rPr>
        <w:t>Porphyromonas gingivalis</w:t>
      </w:r>
      <w:r>
        <w:t>来源、脑暴露、AChE结合或AD机制的证据。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阿尔茨海默病；牙龈卟啉单胞菌；牙周炎；口腔微肽；smORF；深度学习；乙酰胆碱酯酶</w:t>
      </w:r>
    </w:p>
    <w:p>
      <w:pPr>
        <w:pStyle w:val="Heading2"/>
        <w:keepNext/>
      </w:pPr>
      <w:r>
        <w:t>引言</w:t>
      </w:r>
    </w:p>
    <w:p>
      <w:pPr>
        <w:pStyle w:val="Normal"/>
      </w:pPr>
      <w:r>
        <w:t>阿尔茨海默病（AD）的发生发展涉及淀粉样蛋白、tau、突触、免疫和血管过程的相互作用，而非单一分子通路</w:t>
      </w:r>
      <w:r>
        <w:t>[1]</w:t>
      </w:r>
      <w:r>
        <w:t>。淀粉样蛋白仍具有重要生物学意义，但其与疾病进展的关系必须在这一更广泛网络中解释</w:t>
      </w:r>
      <w:r>
        <w:t>[2]</w:t>
      </w:r>
      <w:r>
        <w:t>。</w:t>
      </w:r>
    </w:p>
    <w:p>
      <w:pPr>
        <w:pStyle w:val="Normal"/>
      </w:pPr>
      <w:r>
        <w:t>牙周炎是一种与菌群失调相关的炎症性疾病，可能增加全身炎症负担，并推动了口腔—脑轴研究</w:t>
      </w:r>
      <w:r>
        <w:t>[3]</w:t>
      </w:r>
      <w:r>
        <w:t>。在牙周生物膜中，牙龈卟啉单胞菌（</w:t>
      </w:r>
      <w:r>
        <w:rPr>
          <w:i/>
        </w:rPr>
        <w:t>Porphyromonas gingivalis</w:t>
      </w:r>
      <w:r>
        <w:t>）是一种可参与蛋白水解、免疫调节、组织破坏和群落重塑的条件致病菌</w:t>
      </w:r>
      <w:r>
        <w:t>[4]</w:t>
      </w:r>
      <w:r>
        <w:t>。死后组织研究曾在AD脑组织中报告</w:t>
      </w:r>
      <w:r>
        <w:rPr>
          <w:i/>
        </w:rPr>
        <w:t>P. gingivalis</w:t>
      </w:r>
      <w:r>
        <w:t>相关信号，但不能据此确定方向或因果关系</w:t>
      </w:r>
      <w:r>
        <w:t>[5]</w:t>
      </w:r>
      <w:r>
        <w:t>。小鼠反复口腔暴露可引起神经炎症和淀粉样蛋白相关改变，支持实验合理性，但不能直接外推到人类</w:t>
      </w:r>
      <w:r>
        <w:t>[6]</w:t>
      </w:r>
      <w:r>
        <w:t>。囊泡也被提出可运输浓缩微生物货物，但其与人类自然脑暴露的关系仍未解决</w:t>
      </w:r>
      <w:r>
        <w:t>[7]</w:t>
      </w:r>
      <w:r>
        <w:t>。一项孟德尔随机化分析未确认牙周病对AD的遗传因果效应，为强因果表述提供了重要限制</w:t>
      </w:r>
      <w:r>
        <w:t>[8]</w:t>
      </w:r>
      <w:r>
        <w:t>。</w:t>
      </w:r>
    </w:p>
    <w:p>
      <w:pPr>
        <w:pStyle w:val="Normal"/>
      </w:pPr>
      <w:r>
        <w:t>微生物组编码的微肽可能是一类尚未充分研究的分子。人类相关微生物组含有大量保守小基因</w:t>
      </w:r>
      <w:r>
        <w:t>[9]</w:t>
      </w:r>
      <w:r>
        <w:t>，专用注释方法能够提高常规流程容易遗漏的smORF检出率</w:t>
      </w:r>
      <w:r>
        <w:t>[10]</w:t>
      </w:r>
      <w:r>
        <w:t>。然而，预测序列不一定被翻译、从生物膜释放、在循环中保持稳定、跨越血脑屏障（BBB）或在神经组织中发挥作用。</w:t>
      </w:r>
    </w:p>
    <w:p>
      <w:pPr>
        <w:pStyle w:val="Normal"/>
      </w:pPr>
      <w:r>
        <w:t>因此，相关机制仍不清楚。本研究旨在采用现代序列模型缩小口腔smORF汇总候选空间，表征现有12条肽，并明确检验AChE、金属/氧化还原、BBB和神经毒性假设所需的后续工作。分析保持探索性，不把任何候选归属于</w:t>
      </w:r>
      <w:r>
        <w:rPr>
          <w:i/>
        </w:rPr>
        <w:t>P. gingivalis</w:t>
      </w:r>
      <w:r>
        <w:t>，也不把模型评分视为生物学确认。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研究设计与数据范围</w:t>
      </w:r>
    </w:p>
    <w:p>
      <w:pPr>
        <w:pStyle w:val="Normal"/>
      </w:pPr>
      <w:r>
        <w:t>本研究为纯计算二次分析，使用汇总筛选计数、一张12条序列表和一张AChE对接评分表。本文未开展参与者招募、标本采集、湿实验、新组学处理、预测器再训练、对接重跑或完整MD分析。完整漏斗的逐行序列、受试者/样本映射、登录号与分组对应关系、分类学信息、肽谱匹配、完整模型输出及对接输入均不可获得。</w:t>
      </w:r>
    </w:p>
    <w:p>
      <w:pPr>
        <w:pStyle w:val="Normal"/>
      </w:pPr>
      <w:r>
        <w:t>PRJNA678453被视为配对口腔宏基因组和宏转录组数据的来源项目</w:t>
      </w:r>
      <w:r>
        <w:t>[11]</w:t>
      </w:r>
      <w:r>
        <w:t>。PRJEB65451并非独立临床队列，而是由PRJNA678453衍生、使用metaSPAdes v3.15.3组装并由EBI-EMG/MGnify代理的第三方注释宏基因组组装项目。由于缺少一致的映射和bin层面清单，本文不报告具体参与者、标本、组装分析或宏基因组组装基因组总数。</w:t>
      </w:r>
    </w:p>
    <w:p>
      <w:pPr>
        <w:pStyle w:val="Heading3"/>
        <w:keepNext/>
      </w:pPr>
      <w:r>
        <w:t>候选构建与模型级联</w:t>
      </w:r>
    </w:p>
    <w:p>
      <w:pPr>
        <w:pStyle w:val="Normal"/>
      </w:pPr>
      <w:r>
        <w:t>所提供分析保留编码4–50 aa肽的smORF。健康标记和牙周炎标记起始库分别含11,269,961条和11,721,988条候选。与指定口腔序列和蛋白质组资源精确匹配并去冗余后，分别保留31,510条和33,786条候选。资源匹配被解释为序列支持信息，而不是分析临床分组中真实表达的证明。</w:t>
      </w:r>
    </w:p>
    <w:p>
      <w:pPr>
        <w:pStyle w:val="Normal"/>
      </w:pPr>
      <w:r>
        <w:t>UniDL4BioPep采用预训练ESM-2模型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编码肽序列，产生320维上下文嵌入，再输入六层任务特异性卷积神经网络</w:t>
      </w:r>
      <w:r>
        <w:t>[12]</w:t>
      </w:r>
      <w:r>
        <w:t>。应用阈值为≥0.80，包括BBB优选。NTxPred2随后在文献规定的7–50 aa范围内评价候选，其方法是在神经毒性肽序列上微调ESM2-t30蛋白质语言模型</w:t>
      </w:r>
      <w:r>
        <w:t>[13]</w:t>
      </w:r>
      <w:r>
        <w:t>。短于7 aa的序列记为模型覆盖范围之外，而不是阴性。</w:t>
      </w:r>
    </w:p>
    <w:p>
      <w:pPr>
        <w:pStyle w:val="Normal"/>
      </w:pPr>
      <w:r>
        <w:t>Mebipred把氨基酸组成、理化描述符和金属结合5-mer频率整合到两级人工神经网络框架中，包括一般和离子特异性分类器</w:t>
      </w:r>
      <w:r>
        <w:t>[14]</w:t>
      </w:r>
      <w:r>
        <w:t>，应用阈值为0.50。AnOxPePred使用包含一维卷积、平均池化和256单元全连接层的多任务深度卷积神经网络，产生自由基清除（FRS）和螯合（CHEL）评分</w:t>
      </w:r>
      <w:r>
        <w:t>[15]</w:t>
      </w:r>
      <w:r>
        <w:t>。分析终点为CHEL≥0.25、CHEL≥0.25且FRS&lt;0.50，以及CHEL≥0.25且FRS&lt;0.45。本研究未重新训练模型，多模型串行一致不视为独立验证。</w:t>
      </w:r>
    </w:p>
    <w:p>
      <w:pPr>
        <w:pStyle w:val="Heading3"/>
        <w:keepNext/>
      </w:pPr>
      <w:r>
        <w:t>序列、对接与前瞻性MD分析</w:t>
      </w:r>
    </w:p>
    <w:p>
      <w:pPr>
        <w:pStyle w:val="Normal"/>
      </w:pPr>
      <w:r>
        <w:t>对于另一张12条序列表，我们直接依据字符串重算长度，以及组氨酸、半胱氨酸、Arg+Lys和Phe+Tyr+Trp数量。现有对接汇总描述了人AChE PDB 4EY6的AutoDock Vina 1.2.5评分。本研究仅对均值和标准差进行描述性分析。由于缺少制备结构、PDBQT输入、质子化和电荷设置、精确搜索坐标、运行定义、原始分数、日志、构象和相互作用表，未重跑对接，也不把Vina评分解释为亲和力或自由能。</w:t>
      </w:r>
    </w:p>
    <w:p>
      <w:pPr>
        <w:pStyle w:val="Normal"/>
      </w:pPr>
      <w:r>
        <w:t>前瞻性100 ns方案用于游离AChE及标记为ALLLHRC、FLLHTTR和YLSLLQR的复合物。计划使用GROMACS</w:t>
      </w:r>
      <w:r>
        <w:t>[16]</w:t>
      </w:r>
      <w:r>
        <w:t>、Amber99SB-ILDN</w:t>
      </w:r>
      <w:r>
        <w:t>[17]</w:t>
      </w:r>
      <w:r>
        <w:t>、TIP3P水和0.15 mol/L NaCl，依次开展约束NVT、约束NPT和无约束NPT平衡，随后在300 K、1 bar条件下以2 fs步长进行100 ns生产模拟。计划分析RMSD/RMSF、回转半径、溶剂可及表面积、氢键、残基接触、二级结构、径向分布函数和桥连水。由于起始复合物和完整轨迹不可获得，本文不分析任何MD结果。</w:t>
      </w:r>
    </w:p>
    <w:p>
      <w:pPr>
        <w:pStyle w:val="Heading3"/>
        <w:keepNext/>
      </w:pPr>
      <w:r>
        <w:t>统计分析</w:t>
      </w:r>
    </w:p>
    <w:p>
      <w:pPr>
        <w:pStyle w:val="Normal"/>
      </w:pPr>
      <w:r>
        <w:t>所有分析均为描述性分析。保留率以前一有明确记录的阶段为分母。候选序列是嵌套于样本、组装、基因组和同源序列组的计算单位，而非独立生物学重复。因此，未开展健康与牙周炎的汇总假设检验，也未计算置信区间和效应量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汇总优选漏斗</w:t>
      </w:r>
    </w:p>
    <w:p>
      <w:pPr>
        <w:pStyle w:val="Normal"/>
      </w:pPr>
      <w:r>
        <w:t>序列证据过滤分别保留31,510/11,269,961条健康标记候选（0.2796%）和33,786/11,721,988条牙周炎标记候选（0.2882%）。牙周炎标记分支含3,518条BBB高分输出。NTxPred2评价3,299条，其中923条为模型阳性；另有219条低于规定长度范围。后续筛选得到111条金属结合阳性候选、15条CHEL≥0.25候选、12条CHEL≥0.25且FRS&lt;0.50候选，以及8条CHEL≥0.25且FRS&lt;0.45候选（表1）。由于缺少NTxPred2至mebipred的逐行交接，111/923不被视为已验证转换率。</w:t>
      </w:r>
    </w:p>
    <w:p>
      <w:pPr>
        <w:pStyle w:val="Caption"/>
      </w:pPr>
      <w:r>
        <w:rPr>
          <w:b/>
        </w:rPr>
        <w:t>表1. 汇总计算优选结果。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分母或限制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健康标记smORF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11,269,961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牙周炎标记smORF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证据过滤后健康标记候选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精确匹配与去冗余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31,510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11,269,961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证据过滤后牙周炎标记候选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精确匹配与去冗余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BBB高分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UniDL4BioPep输出≥0.80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牙周炎标记分支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NTxPred2已评估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模型阳性标签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Mebipred输出≥0.50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逐行交接不可获得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主集合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CHEL≥0.25且FRS&lt;0.50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严格子集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CHEL≥0.25且FRS&lt;0.45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成员未知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12条序列表与对接评分</w:t>
      </w:r>
    </w:p>
    <w:p>
      <w:pPr>
        <w:pStyle w:val="Normal"/>
      </w:pPr>
      <w:r>
        <w:t>另一张表包含12条互不重复的7–9 aa肽。其中11条含组氨酸，6条含半胱氨酸，每条均含Arg或Lys。Vina均值范围为−9.60至−8.25 kcal/mol（表2）。在现有评分表内，FLLHTTR排名第一，HVLLLRQCA排名最后。序列组成可以重算，但无法建立对接执行及这些序列与汇总12条或8条集合之间的关系。</w:t>
      </w:r>
    </w:p>
    <w:p>
      <w:pPr>
        <w:pStyle w:val="Caption"/>
      </w:pPr>
      <w:r>
        <w:rPr>
          <w:b/>
        </w:rPr>
        <w:t>表2. 12条序列及现有AChE对接评分。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排名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序列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长度（aa）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平均评分（kcal/mol）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SD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FLLHTTR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−9.60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YLSLLQR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ALLLHRC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−9.29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FCLHLQLR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−9.27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0.09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YHHLLCRR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−9.03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LLHLPKRTT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−9.01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WLLVHLKK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HLLTLKKHV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HLPLLHRCC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HVLLLRQCA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−8.25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0.09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Normal"/>
      </w:pPr>
      <w:r>
        <w:t>本研究在保持“预测不等于机制”这一边界的同时形成紧凑验证集合。深度学习和神经网络模型使大规模搜索可行，但基于异质数据训练的输出可能不适用于极短微生物组肽。完整分析中几乎完全阳性的广义抗菌输出也说明，多个模型标签同时为阳性不能替代生物学重复。</w:t>
      </w:r>
    </w:p>
    <w:p>
      <w:pPr>
        <w:pStyle w:val="Normal"/>
      </w:pPr>
      <w:r>
        <w:t>AChE外周区域可影响Aβ组装，因此可提供合理结构背景</w:t>
      </w:r>
      <w:r>
        <w:t>[18]</w:t>
      </w:r>
      <w:r>
        <w:t>；PDB 4EY6则提供实验测定的人源结构</w:t>
      </w:r>
      <w:r>
        <w:t>[19]</w:t>
      </w:r>
      <w:r>
        <w:t>。然而，Vina属于筛选方法，排序受受体与配体制备、搜索空间和采样影响</w:t>
      </w:r>
      <w:r>
        <w:t>[20]</w:t>
      </w:r>
      <w:r>
        <w:t>。较新Vina实现不能消除这些要求</w:t>
      </w:r>
      <w:r>
        <w:t>[21]</w:t>
      </w:r>
      <w:r>
        <w:t>，柔性肽对接还可能需要肽特异性精修</w:t>
      </w:r>
      <w:r>
        <w:t>[22]</w:t>
      </w:r>
      <w:r>
        <w:t>。缺少构象和运行定义时，评分范围不能证明AChE结合、位点偏好、抑制、选择性或Aβ调节。</w:t>
      </w:r>
    </w:p>
    <w:p>
      <w:pPr>
        <w:pStyle w:val="Normal"/>
      </w:pPr>
      <w:r>
        <w:t>牙周研究背景同样需要严格限定。现有研究支持考察炎症、牙龈蛋白酶、感染和囊泡相关路径，但不能把群落来源肽归属于</w:t>
      </w:r>
      <w:r>
        <w:rPr>
          <w:i/>
        </w:rPr>
        <w:t>P. gingivalis</w:t>
      </w:r>
      <w:r>
        <w:t>。只有建立从序列到组装、样本、临床标签、分类学、表达、循环、BBB转运和靶点作用的候选层面链路，才能进一步检验疾病主张。</w:t>
      </w:r>
    </w:p>
    <w:p>
      <w:pPr>
        <w:pStyle w:val="Normal"/>
      </w:pPr>
      <w:r>
        <w:t>当前优先事项是恢复漏斗逐行成员，确定严格8/12子集，使用固定版本重跑预测和对接，并在合成后验证肽身份与稳定性。随后应在适当对照下评价BBB转运、细胞毒性、Cu/Fe/Zn相互作用、金属依赖氧化还原效应、AChE/BChE功能、直接结合和Aβ表型。缺少逐行映射、原始对接材料、完整MD输入及实验测量，是本研究的决定性局限。</w:t>
      </w:r>
    </w:p>
    <w:p>
      <w:pPr>
        <w:pStyle w:val="Heading2"/>
        <w:keepNext/>
      </w:pPr>
      <w:r>
        <w:t>结论</w:t>
      </w:r>
    </w:p>
    <w:p>
      <w:pPr>
        <w:pStyle w:val="Normal"/>
      </w:pPr>
      <w:r>
        <w:t>汇总数据支持一条透明计算漏斗，终点为12条主集合和8条严格子集计数。另一张12条肽的表格提供序列组成和AChE评分排序，但无法逐行连接到这些终点，也未独立产生对接或MD结果。该清单适用于分阶段验证，但不能证明</w:t>
      </w:r>
      <w:r>
        <w:rPr>
          <w:i/>
        </w:rPr>
        <w:t>P. gingivalis</w:t>
      </w:r>
      <w:r>
        <w:t>来源、疾病特异性、脑暴露、靶点结合、生物活性或因果关系。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1. Scheltens P, De Strooper B, Kivipelto M, et al. Alzheimer’s disease. </w:t>
      </w:r>
      <w:r>
        <w:rPr>
          <w:i/>
          <w:sz w:val="18"/>
          <w:szCs w:val="18"/>
        </w:rPr>
        <w:t>Lancet</w:t>
      </w:r>
      <w:r>
        <w:rPr>
          <w:sz w:val="18"/>
          <w:szCs w:val="18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2. Selkoe DJ, Hardy J. The amyloid hypothesis of Alzheimer’s disease at 25 years. </w:t>
      </w:r>
      <w:r>
        <w:rPr>
          <w:i/>
          <w:sz w:val="18"/>
          <w:szCs w:val="18"/>
        </w:rPr>
        <w:t>EMBO Mol Med</w:t>
      </w:r>
      <w:r>
        <w:rPr>
          <w:sz w:val="18"/>
          <w:szCs w:val="18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3. Chalmers JC, Hernandez-Kapila YL. The role of the oral microbiome, host response, and periodontal disease treatment in Alzheimer’s disease: a primer. </w:t>
      </w:r>
      <w:r>
        <w:rPr>
          <w:i/>
          <w:sz w:val="18"/>
          <w:szCs w:val="18"/>
        </w:rPr>
        <w:t>Periodontol 2000</w:t>
      </w:r>
      <w:r>
        <w:rPr>
          <w:sz w:val="18"/>
          <w:szCs w:val="18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4. Guo Y, Nguyen KA, Potempa J. Dichotomy of gingipains action as virulence factors. </w:t>
      </w:r>
      <w:r>
        <w:rPr>
          <w:i/>
          <w:sz w:val="18"/>
          <w:szCs w:val="18"/>
        </w:rPr>
        <w:t>Periodontol 2000</w:t>
      </w:r>
      <w:r>
        <w:rPr>
          <w:sz w:val="18"/>
          <w:szCs w:val="18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5. Dominy SS, Lynch C, Ermini F, et al. </w:t>
      </w:r>
      <w:r>
        <w:rPr>
          <w:i/>
          <w:sz w:val="18"/>
          <w:szCs w:val="18"/>
        </w:rPr>
        <w:t>Porphyromonas gingivalis</w:t>
      </w:r>
      <w:r>
        <w:rPr>
          <w:sz w:val="18"/>
          <w:szCs w:val="18"/>
        </w:rPr>
        <w:t xml:space="preserve"> in Alzheimer’s disease brains. </w:t>
      </w:r>
      <w:r>
        <w:rPr>
          <w:i/>
          <w:sz w:val="18"/>
          <w:szCs w:val="18"/>
        </w:rPr>
        <w:t>Sci Adv</w:t>
      </w:r>
      <w:r>
        <w:rPr>
          <w:sz w:val="18"/>
          <w:szCs w:val="18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6.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18"/>
          <w:szCs w:val="18"/>
        </w:rPr>
        <w:t>PLoS One</w:t>
      </w:r>
      <w:r>
        <w:rPr>
          <w:sz w:val="18"/>
          <w:szCs w:val="18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7. Nara PL, Sindelar D, Penn MS, et al. </w:t>
      </w:r>
      <w:r>
        <w:rPr>
          <w:i/>
          <w:sz w:val="18"/>
          <w:szCs w:val="18"/>
        </w:rPr>
        <w:t>Porphyromonas gingivalis</w:t>
      </w:r>
      <w:r>
        <w:rPr>
          <w:sz w:val="18"/>
          <w:szCs w:val="18"/>
        </w:rPr>
        <w:t xml:space="preserve"> outer membrane vesicles as the major driver of and explanation for neuropathogenesis. </w:t>
      </w:r>
      <w:r>
        <w:rPr>
          <w:i/>
          <w:sz w:val="18"/>
          <w:szCs w:val="18"/>
        </w:rPr>
        <w:t>J Alzheimers Dis</w:t>
      </w:r>
      <w:r>
        <w:rPr>
          <w:sz w:val="18"/>
          <w:szCs w:val="18"/>
        </w:rPr>
        <w:t>. 2021;82(4):1417–1450. doi:10.3233/JAD-210448.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8. Hu C, Li H, Huang L, et al. Periodontal disease and risk of Alzheimer’s disease: a two-sample Mendelian randomization. </w:t>
      </w:r>
      <w:r>
        <w:rPr>
          <w:i/>
          <w:sz w:val="18"/>
          <w:szCs w:val="18"/>
        </w:rPr>
        <w:t>Brain Behav</w:t>
      </w:r>
      <w:r>
        <w:rPr>
          <w:sz w:val="18"/>
          <w:szCs w:val="18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9. Sberro H, Fremin BJ, Zlitni S, et al. Large-scale analyses of human microbiomes reveal thousands of small, novel genes. </w:t>
      </w:r>
      <w:r>
        <w:rPr>
          <w:i/>
          <w:sz w:val="18"/>
          <w:szCs w:val="18"/>
        </w:rPr>
        <w:t>Cell</w:t>
      </w:r>
      <w:r>
        <w:rPr>
          <w:sz w:val="18"/>
          <w:szCs w:val="18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10. Durrant MG, Bhatt AS. Automated prediction and annotation of small open reading frames in microbial genomes. </w:t>
      </w:r>
      <w:r>
        <w:rPr>
          <w:i/>
          <w:sz w:val="18"/>
          <w:szCs w:val="18"/>
        </w:rPr>
        <w:t>Cell Host Microbe</w:t>
      </w:r>
      <w:r>
        <w:rPr>
          <w:sz w:val="18"/>
          <w:szCs w:val="18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11. Belstrøm D, Constancias F, Drautz-Moses DI, et al. Periodontitis associates with species-specific gene expression of the oral microbiota. </w:t>
      </w:r>
      <w:r>
        <w:rPr>
          <w:i/>
          <w:sz w:val="18"/>
          <w:szCs w:val="18"/>
        </w:rPr>
        <w:t>npj Biofilms Microbiomes</w:t>
      </w:r>
      <w:r>
        <w:rPr>
          <w:sz w:val="18"/>
          <w:szCs w:val="18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12. Du Z, Ding X, Xu Y, Li Y. UniDL4BioPep: a universal deep learning architecture for binary classification in peptide bioactivity. </w:t>
      </w:r>
      <w:r>
        <w:rPr>
          <w:i/>
          <w:sz w:val="18"/>
          <w:szCs w:val="18"/>
        </w:rPr>
        <w:t>Brief Bioinform</w:t>
      </w:r>
      <w:r>
        <w:rPr>
          <w:sz w:val="18"/>
          <w:szCs w:val="18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13. Rathore AS, Jain S, Choudhury S, Raghava GPS. A large language model for predicting neurotoxic peptides and neurotoxins. </w:t>
      </w:r>
      <w:r>
        <w:rPr>
          <w:i/>
          <w:sz w:val="18"/>
          <w:szCs w:val="18"/>
        </w:rPr>
        <w:t>Protein Sci</w:t>
      </w:r>
      <w:r>
        <w:rPr>
          <w:sz w:val="18"/>
          <w:szCs w:val="18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14. Aptekmann AA, Buongiorno J, Giovannelli D, et al. mebipred: identifying metal-binding potential in protein sequence. </w:t>
      </w:r>
      <w:r>
        <w:rPr>
          <w:i/>
          <w:sz w:val="18"/>
          <w:szCs w:val="18"/>
        </w:rPr>
        <w:t>Bioinformatics</w:t>
      </w:r>
      <w:r>
        <w:rPr>
          <w:sz w:val="18"/>
          <w:szCs w:val="18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15. Olsen TH, Yesiltas B, Marin FI, et al. AnOxPePred: using deep learning for the prediction of antioxidative properties of peptides. </w:t>
      </w:r>
      <w:r>
        <w:rPr>
          <w:i/>
          <w:sz w:val="18"/>
          <w:szCs w:val="18"/>
        </w:rPr>
        <w:t>Sci Rep</w:t>
      </w:r>
      <w:r>
        <w:rPr>
          <w:sz w:val="18"/>
          <w:szCs w:val="18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16. Abraham MJ, Murtola T, Schulz R, et al. GROMACS: high performance molecular simulations through multi-level parallelism from laptops to supercomputers. </w:t>
      </w:r>
      <w:r>
        <w:rPr>
          <w:i/>
          <w:sz w:val="18"/>
          <w:szCs w:val="18"/>
        </w:rPr>
        <w:t>SoftwareX</w:t>
      </w:r>
      <w:r>
        <w:rPr>
          <w:sz w:val="18"/>
          <w:szCs w:val="18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17. Lindorff-Larsen K, Piana S, Palmo K, et al. Improved side-chain torsion potentials for the Amber ff99SB protein force field. </w:t>
      </w:r>
      <w:r>
        <w:rPr>
          <w:i/>
          <w:sz w:val="18"/>
          <w:szCs w:val="18"/>
        </w:rPr>
        <w:t>Proteins</w:t>
      </w:r>
      <w:r>
        <w:rPr>
          <w:sz w:val="18"/>
          <w:szCs w:val="18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18. Inestrosa NC, Alvarez A, Pérez CA, et al. Acetylcholinesterase accelerates assembly of amyloid-β-peptides into Alzheimer’s fibrils. </w:t>
      </w:r>
      <w:r>
        <w:rPr>
          <w:i/>
          <w:sz w:val="18"/>
          <w:szCs w:val="18"/>
        </w:rPr>
        <w:t>Neuron</w:t>
      </w:r>
      <w:r>
        <w:rPr>
          <w:sz w:val="18"/>
          <w:szCs w:val="18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19. Cheung J, Rudolph MJ, Burshteyn F, et al. Structures of human acetylcholinesterase in complex with pharmacologically important ligands. </w:t>
      </w:r>
      <w:r>
        <w:rPr>
          <w:i/>
          <w:sz w:val="18"/>
          <w:szCs w:val="18"/>
        </w:rPr>
        <w:t>J Med Chem</w:t>
      </w:r>
      <w:r>
        <w:rPr>
          <w:sz w:val="18"/>
          <w:szCs w:val="18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20. Trott O, Olson AJ. AutoDock Vina: improving the speed and accuracy of docking with a new scoring function. </w:t>
      </w:r>
      <w:r>
        <w:rPr>
          <w:i/>
          <w:sz w:val="18"/>
          <w:szCs w:val="18"/>
        </w:rPr>
        <w:t>J Comput Chem</w:t>
      </w:r>
      <w:r>
        <w:rPr>
          <w:sz w:val="18"/>
          <w:szCs w:val="18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21. Eberhardt J, Santos-Martins D, Tillack AF, Forli S. AutoDock Vina 1.2.0: new docking methods, expanded force field, and Python bindings. </w:t>
      </w:r>
      <w:r>
        <w:rPr>
          <w:i/>
          <w:sz w:val="18"/>
          <w:szCs w:val="18"/>
        </w:rPr>
        <w:t>J Chem Inf Model</w:t>
      </w:r>
      <w:r>
        <w:rPr>
          <w:sz w:val="18"/>
          <w:szCs w:val="18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18"/>
          <w:szCs w:val="18"/>
        </w:rPr>
        <w:t xml:space="preserve">22. London N, Raveh B, Cohen E, et al. Rosetta FlexPepDock web server—high resolution modeling of peptide–protein interactions. </w:t>
      </w:r>
      <w:r>
        <w:rPr>
          <w:i/>
          <w:sz w:val="18"/>
          <w:szCs w:val="18"/>
        </w:rPr>
        <w:t>Nucleic Acids Res</w:t>
      </w:r>
      <w:r>
        <w:rPr>
          <w:sz w:val="18"/>
          <w:szCs w:val="18"/>
        </w:rPr>
        <w:t>. 2011;39:W249–W253. doi:10.1093/nar/gkr326.</w:t>
      </w:r>
    </w:p>
    <w:sectPr>
      <w:pgSz w:w="11906" w:h="16838"/>
      <w:pgMar w:top="1134" w:right="1134" w:bottom="1134" w:left="1134" w:header="600" w:footer="600" w:gutter="0"/>
      <w:cols w:space="720"/>
      <w:docGrid w:linePitch="312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2"/>
        <w:szCs w:val="22"/>
        <w:lang w:val="en-US" w:eastAsia="zh-CN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  <w:pPr>
      <w:widowControl/>
    </w:pPr>
  </w:style>
  <w:style w:type="paragraph" w:styleId="Heading1">
    <w:name w:val="heading 1"/>
    <w:basedOn w:val="Normal"/>
    <w:next w:val="Normal"/>
    <w:qFormat/>
    <w:pPr>
      <w:keepNext/>
      <w:keepLines/>
      <w:spacing w:before="240" w:after="180"/>
      <w:jc w:val="center"/>
      <w:outlineLvl w:val="0"/>
    </w:pPr>
    <w:rPr>
      <w:rFonts w:ascii="Arial" w:hAnsi="Arial" w:eastAsia="黑体"/>
      <w:b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  <w:outlineLvl w:val="1"/>
    </w:pPr>
    <w:rPr>
      <w:rFonts w:ascii="Arial" w:hAnsi="Arial" w:eastAsia="黑体"/>
      <w:b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220" w:after="100"/>
      <w:outlineLvl w:val="2"/>
    </w:pPr>
    <w:rPr>
      <w:rFonts w:ascii="Arial" w:hAnsi="Arial" w:eastAsia="黑体"/>
      <w:b/>
      <w:color w:val="2F5597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rFonts w:ascii="Arial" w:hAnsi="Arial" w:eastAsia="黑体"/>
      <w:b/>
      <w:color w:val="365F91"/>
      <w:sz w:val="23"/>
      <w:szCs w:val="23"/>
    </w:rPr>
  </w:style>
  <w:style w:type="paragraph" w:styleId="Note">
    <w:name w:val="Note"/>
    <w:basedOn w:val="Normal"/>
    <w:pPr>
      <w:spacing w:after="80"/>
      <w:jc w:val="left"/>
    </w:pPr>
    <w:rPr>
      <w:color w:val="5B6573"/>
      <w:i/>
      <w:sz w:val="19"/>
      <w:szCs w:val="19"/>
    </w:rPr>
  </w:style>
  <w:style w:type="paragraph" w:styleId="Keywords">
    <w:name w:val="Keywords"/>
    <w:basedOn w:val="Normal"/>
    <w:pPr>
      <w:spacing w:after="160"/>
    </w:pPr>
    <w:rPr>
      <w:sz w:val="20"/>
      <w:szCs w:val="20"/>
    </w:rPr>
  </w:style>
  <w:style w:type="paragraph" w:styleId="Caption">
    <w:name w:val="Caption"/>
    <w:basedOn w:val="Normal"/>
    <w:pPr>
      <w:keepNext/>
      <w:spacing w:before="60" w:after="120"/>
      <w:jc w:val="left"/>
    </w:pPr>
    <w:rPr>
      <w:i/>
      <w:sz w:val="18"/>
      <w:szCs w:val="18"/>
    </w:rPr>
  </w:style>
  <w:style w:type="paragraph" w:styleId="Figure">
    <w:name w:val="Figure"/>
    <w:basedOn w:val="Normal"/>
    <w:pPr>
      <w:spacing w:before="120" w:after="60"/>
      <w:jc w:val="center"/>
    </w:pPr>
  </w:style>
  <w:style w:type="paragraph" w:styleId="Reference">
    <w:name w:val="Reference"/>
    <w:basedOn w:val="Normal"/>
    <w:pPr>
      <w:spacing w:after="60" w:line="220" w:lineRule="auto"/>
      <w:jc w:val="left"/>
    </w:pPr>
    <w:rPr>
      <w:sz w:val="18"/>
      <w:szCs w:val="18"/>
    </w:rPr>
  </w:style>
  <w:style w:type="paragraph" w:styleId="ListParagraph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/>
      <w:jc w:val="left"/>
    </w:pPr>
    <w:rPr>
      <w:sz w:val="17"/>
      <w:szCs w:val="17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2026-08-17T00:00:00Z</dcterms:created>
  <dcterms:modified xsi:type="dcterms:W3CDTF">2026-08-17T00:00:00Z</dcterms:modified>
</cp:coreProperties>
</file>