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Provenance-Aware Multi-Model Prioritization of Periodontitis-Cohort Oral Micropeptides: Aggregate Screening and an Acetylcholinesterase Docking Follow-up</w:t>
      </w:r>
    </w:p>
    <w:p>
      <w:pPr>
        <w:pStyle w:val="Heading1"/>
        <w:keepNext/>
      </w:pPr>
      <w:r>
        <w:t>基于来源边界的牙周炎队列口腔微肽多模型优选：汇总筛选与乙酰胆碱酯酶对接随访</w:t>
      </w:r>
    </w:p>
    <w:p>
      <w:pPr>
        <w:pStyle w:val="Note"/>
      </w:pPr>
      <w:r>
        <w:rPr>
          <w:b/>
        </w:rPr>
        <w:t>Bilingual section-parallel scientific-content draft / 中英文分节对照科学内容草案</w:t>
      </w:r>
    </w:p>
    <w:p>
      <w:pPr>
        <w:pStyle w:val="Note"/>
      </w:pPr>
      <w:r>
        <w:rPr>
          <w:b/>
        </w:rPr>
        <w:t>Article type:</w:t>
      </w:r>
      <w:r>
        <w:t xml:space="preserve"> Original Research Article</w:t>
      </w:r>
    </w:p>
    <w:p>
      <w:pPr>
        <w:pStyle w:val="Note"/>
      </w:pPr>
      <w:r>
        <w:rPr>
          <w:b/>
        </w:rPr>
        <w:t>Draft status:</w:t>
      </w:r>
      <w:r>
        <w:t xml:space="preserve"> Expanded submission-oriented scientific-content draft for accountable-author review. Screening results derive from the principal source record. The twelve sequences and docking summary derive from a user-designated external repository and are explicitly labelled as source-reported because raw lineage and docking artefacts were unavailable.</w:t>
      </w:r>
    </w:p>
    <w:p>
      <w:pPr>
        <w:pStyle w:val="Note"/>
      </w:pPr>
      <w:r>
        <w:rPr>
          <w:b/>
        </w:rPr>
        <w:t>文章类型：</w:t>
      </w:r>
      <w:r>
        <w:t xml:space="preserve"> 原创研究论文</w:t>
      </w:r>
    </w:p>
    <w:p>
      <w:pPr>
        <w:pStyle w:val="Normal"/>
      </w:pPr>
      <w:r>
        <w:rPr>
          <w:b/>
        </w:rPr>
        <w:t>草稿状态：</w:t>
      </w:r>
      <w:r>
        <w:t xml:space="preserve"> 面向投稿的扩展科学内容稿，供责任作者审核。筛选结果来自主要来源记录；12条序列及对接汇总来自用户指定的外部仓库。由于缺少逐行溯源和原始对接产物，后者均明确标记为“外部来源报告”。</w:t>
      </w:r>
    </w:p>
    <w:p>
      <w:pPr>
        <w:pStyle w:val="Heading2"/>
        <w:keepNext/>
      </w:pPr>
      <w:r>
        <w:t>Abstract / 摘要</w:t>
      </w:r>
    </w:p>
    <w:p>
      <w:pPr>
        <w:pStyle w:val="Heading3"/>
        <w:keepNext/>
      </w:pPr>
      <w:r>
        <w:t>English</w:t>
      </w:r>
    </w:p>
    <w:p>
      <w:pPr>
        <w:pStyle w:val="Normal"/>
      </w:pPr>
      <w:r>
        <w:rPr>
          <w:b/>
        </w:rPr>
        <w:t>Background:</w:t>
      </w:r>
      <w:r>
        <w:t xml:space="preserve"> Microbiome small open reading frames (smORFs) encode an incompletely characterized peptide space. Serial predictors can reduce that space, but they do not establish translation, tissue exposure, toxicity, target binding, mechanism, or disease causality. We reconstructed an aggregate oral-smORF prioritization workflow and integrated a separately reported acetylcholinesterase (AChE) docking follow-up while preserving the distinct provenance and evidentiary status of both stages.</w:t>
      </w:r>
    </w:p>
    <w:p>
      <w:pPr>
        <w:pStyle w:val="Normal"/>
      </w:pPr>
      <w:r>
        <w:rPr>
          <w:b/>
        </w:rPr>
        <w:t>Methods:</w:t>
      </w:r>
      <w:r>
        <w:t xml:space="preserve"> The principal record supplied healthy and periodontitis-cohort branch counts for 4–50-aa smORFs, evidence filtering, UniDL4BioPep outputs, NTxPred2, mebipred, and AnOxPePred. Percentages and monotonicity were deterministically recomputed; no candidate-count inferential test was used because candidates are not independent biological replicates. A user-designated external v0.4 report supplied twelve sequences and mean±SD AutoDock Vina scores against human AChE PDB 4EY6. Sequence composition and score ordering were independently audited, but docking was not rerun because prepared structures, configurations, seeds, raw runs, logs, and poses were absent.</w:t>
      </w:r>
    </w:p>
    <w:p>
      <w:pPr>
        <w:pStyle w:val="Normal"/>
      </w:pPr>
      <w:r>
        <w:rPr>
          <w:b/>
        </w:rPr>
        <w:t>Results:</w:t>
      </w:r>
      <w:r>
        <w:t xml:space="preserve"> Evidence filtering retained 31,510/11,269,961 healthy (0.2796%) and 33,786/11,721,988 periodontitis-branch (0.2882%) candidates. BBB-high outputs were 3,359/30,557 (10.99%) and 3,446/32,754 (10.52%) in the short branches and 40/953 (4.20%) and 72/1,032 (6.98%) in the long branches. The periodontitis branch contained 3,518 BBB-high candidates; NTxPred2 evaluated 3,299 (93.77%), classified 923/3,299 (27.98%) as positive, and left 219 outside its stated length range. The principal record subsequently reported 111 metal-binding-positive candidates, of which 15/111 (13.51%) met CHEL≥0.25, 12/111 (10.81%) additionally met FRS&lt;0.50, and 8/111 (7.21%) met FRS&lt;0.45. The external report listed twelve unique 7–9-aa sequences: eleven contained histidine, six contained cysteine, and all contained at least one Arg/Lys. Its reported Vina means ranged from −9.60 to −8.25 kcal/mol (SD 0.04–0.12). These scores could be ordered and plotted but not independently reproduced or interpreted as affinities.</w:t>
      </w:r>
    </w:p>
    <w:p>
      <w:pPr>
        <w:pStyle w:val="Normal"/>
      </w:pPr>
      <w:r>
        <w:rPr>
          <w:b/>
        </w:rPr>
        <w:t>Conclusions:</w:t>
      </w:r>
      <w:r>
        <w:t xml:space="preserve"> The combined record is a provenance-aware shortlist, not a validated periodontitis-specific peptidome or AD mechanism. The external sequence list makes synthesis planning possible, but principal-source row-level linkage, raw docking artefacts, cohort-matched expression, measured BBB transport, toxicology, metal-dependent biochemistry, and disease-relevant validation remain necessary.</w:t>
      </w:r>
    </w:p>
    <w:p>
      <w:pPr>
        <w:pStyle w:val="Keywords"/>
      </w:pPr>
      <w:r>
        <w:rPr>
          <w:b/>
        </w:rPr>
        <w:t>Keywords:</w:t>
      </w:r>
      <w:r>
        <w:t xml:space="preserve"> oral microbiome; small open reading frame; micropeptide; periodontitis; blood–brain barrier; neurotoxicity prediction; metal-binding prediction; acetylcholinesterase; molecular docking; provenance; hypothesis generation</w:t>
      </w:r>
    </w:p>
    <w:p>
      <w:pPr>
        <w:pStyle w:val="Heading3"/>
        <w:keepNext/>
      </w:pPr>
      <w:r>
        <w:t>中文</w:t>
      </w:r>
    </w:p>
    <w:p>
      <w:pPr>
        <w:pStyle w:val="Normal"/>
      </w:pPr>
      <w:r>
        <w:rPr>
          <w:b/>
        </w:rPr>
        <w:t>背景：</w:t>
      </w:r>
      <w:r>
        <w:t xml:space="preserve"> 微生物组小开放阅读框（smORF）编码的肽空间尚未被充分刻画。串联预测模型可以缩小候选空间，但不能证明翻译、组织暴露、毒性、靶标结合、机制或疾病因果关系。本研究重建一条汇总层面的口腔smORF优选流程，并在严格区分来源和证据等级的前提下整合一项独立报告的乙酰胆碱酯酶（AChE）对接随访。</w:t>
      </w:r>
    </w:p>
    <w:p>
      <w:pPr>
        <w:pStyle w:val="Normal"/>
      </w:pPr>
      <w:r>
        <w:rPr>
          <w:b/>
        </w:rPr>
        <w:t>方法：</w:t>
      </w:r>
      <w:r>
        <w:t xml:space="preserve"> 主要记录提供健康与牙周炎队列分支中4–50 aa smORF的计数、证据过滤、UniDL4BioPep、NTxPred2、mebipred和AnOxPePred输出。研究以确定性脚本重算比例和单调性；候选肽不是独立生物学重复，故未对候选计数实施推断检验。用户指定的外部v0.4记录提供12条序列及其针对人AChE PDB 4EY6的AutoDock Vina均值±SD。研究独立核验序列组成和分数排序；因缺少制备后的结构、配置、种子、原始运行、日志和构象，未重跑对接。</w:t>
      </w:r>
    </w:p>
    <w:p>
      <w:pPr>
        <w:pStyle w:val="Normal"/>
      </w:pPr>
      <w:r>
        <w:rPr>
          <w:b/>
        </w:rPr>
        <w:t>结果：</w:t>
      </w:r>
      <w:r>
        <w:t xml:space="preserve"> 证据过滤后，健康分支保留31,510/11,269,961（0.2796%），牙周炎分支保留33,786/11,721,988（0.2882%）。短肽分支BBB高分为3,359/30,557（10.99%）和3,446/32,754（10.52%），长肽分支为40/953（4.20%）和72/1,032（6.98%）。牙周炎分支共3,518条BBB高分候选；NTxPred2评估3,299条（93.77%），其中923/3,299（27.98%）为阳性，219条超出其声明长度范围。主要记录随后报告111条金属结合阳性候选，其中15/111（13.51%）满足CHEL≥0.25，12/111（10.81%）进一步满足FRS&lt;0.50，8/111（7.21%）满足FRS&lt;0.45。外部记录列出12条互不重复的7–9 aa序列：11条含组氨酸，6条含半胱氨酸，全部含至少一个Arg/Lys。其报告Vina均值范围为−9.60至−8.25 kcal/mol，SD范围为0.04至0.12。上述分数可排序和作图，但不能独立复现，也不能解释为亲和力。</w:t>
      </w:r>
    </w:p>
    <w:p>
      <w:pPr>
        <w:pStyle w:val="Normal"/>
      </w:pPr>
      <w:r>
        <w:rPr>
          <w:b/>
        </w:rPr>
        <w:t>结论：</w:t>
      </w:r>
      <w:r>
        <w:t xml:space="preserve"> 合并记录构成一套保留来源边界的候选清单，而不是经验证的牙周炎特异肽组或AD机制。外部序列清单使合成规划成为可能，但仍需主要来源逐行链路、原始对接产物、队列匹配的表达证据、实测BBB转运、毒理学、金属依赖生化实验和疾病相关验证。</w:t>
      </w:r>
    </w:p>
    <w:p>
      <w:pPr>
        <w:pStyle w:val="Keywords"/>
      </w:pPr>
      <w:r>
        <w:rPr>
          <w:b/>
        </w:rPr>
        <w:t>关键词：</w:t>
      </w:r>
      <w:r>
        <w:t xml:space="preserve"> 口腔微生物组；小开放阅读框；微肽；牙周炎；血脑屏障；神经毒性预测；金属结合预测；乙酰胆碱酯酶；分子对接；来源追踪；假设生成</w:t>
      </w:r>
    </w:p>
    <w:p>
      <w:pPr>
        <w:pStyle w:val="Heading2"/>
        <w:keepNext/>
        <w:pageBreakBefore/>
      </w:pPr>
      <w:r>
        <w:t>1. Introduction / 1 引言</w:t>
      </w:r>
    </w:p>
    <w:p>
      <w:pPr>
        <w:pStyle w:val="Heading3"/>
        <w:keepNext/>
      </w:pPr>
      <w:r>
        <w:t>English</w:t>
      </w:r>
    </w:p>
    <w:p>
      <w:pPr>
        <w:pStyle w:val="Heading4"/>
        <w:keepNext/>
      </w:pPr>
      <w:r>
        <w:t>1.1 Microbiome smORFs are a large but difficult discovery space</w:t>
      </w:r>
    </w:p>
    <w:p>
      <w:pPr>
        <w:pStyle w:val="Normal"/>
      </w:pPr>
      <w:r>
        <w:t>Small open reading frames are systematically under-annotated because short coding sequences are difficult to distinguish from random open reading frames and often fall below conventional gene-calling thresholds. Large-scale human-microbiome analyses nevertheless reveal thousands of conserved smORF families, many without known domains or functions [1]. Complementary prediction systems combine profile models, sequence features, evolutionary information, and ribosome-profiling enrichment to improve annotation [2]. Recent high-resolution multi-omics work has gone further by connecting prediction with metatranscriptomic and deep metaproteomic evidence [3]. These developments place microbial smORFs within a legitimate discovery space, but also establish a stringent boundary: a predicted ORF is not necessarily translated, and a translated peptide is not necessarily stable or functional.</w:t>
      </w:r>
    </w:p>
    <w:p>
      <w:pPr>
        <w:pStyle w:val="Normal"/>
      </w:pPr>
      <w:r>
        <w:t>This boundary is especially important for very short peptides. General reviews of short-ORF biology emphasize that convincing micropeptide discovery requires orthogonal evidence rather than sequence novelty alone [4]. Human proteogenomic studies similarly show that translation evidence, tissue context, and functional follow-up must be separated [5]. In metagenomic assemblies, six-frame translation can generate millions of short sequences. Exact matches to curated sequence or proteomic resources may reduce this search space, but the meaning of each match depends on the source: a reference database supports sequence existence or taxonomy, whereas a mass-spectrometry dataset may support detection only within its own cohort, disease context, and false-discovery framework.</w:t>
      </w:r>
    </w:p>
    <w:p>
      <w:pPr>
        <w:pStyle w:val="Heading4"/>
        <w:keepNext/>
      </w:pPr>
      <w:r>
        <w:t>1.2 Periodontitis-associated oral ecology requires subject-level provenance</w:t>
      </w:r>
    </w:p>
    <w:p>
      <w:pPr>
        <w:pStyle w:val="Normal"/>
      </w:pPr>
      <w:r>
        <w:t>Periodontitis is accompanied by ecological and functional restructuring of the oral microbiota. Paired metagenomic and metatranscriptomic analyses have identified site- and species-dependent microbial activity associated with periodontitis [6]. Cross-study metatranscriptome synthesis further demonstrates why subject-level mapping, normalization, covariates, and false-discovery control are essential for disease comparisons [7]. HOMD and eHOMD provide curated oral and aerodigestive sequence/taxonomic resources [8,9], whereas oral metaproteomic datasets provide context-dependent peptide observations [10,11]. Contemporary oral metaproteomics additionally emphasizes host depletion, microbial enrichment, peptide- and protein-level error control, taxonomic assignment, and public raw-data preservation [12].</w:t>
      </w:r>
    </w:p>
    <w:p>
      <w:pPr>
        <w:pStyle w:val="Normal"/>
      </w:pPr>
      <w:r>
        <w:t>The principal record used several heterogeneous resources as exact-match filters. One contains mixed periodontitis, caries, and healthy saliva samples [10]; another concerns an oral metaproteome in lung cancer [11]; HOMD/eHOMD are sequence resources rather than expression repositories [8,9]. Such resources can support the statement that a matching sequence exists or was observed in a named context. They cannot, without row-level linkage, prove that the same peptide was expressed in the present cohort, enriched in periodontitis, or derived from a particular taxon. Accordingly, this study uses “periodontitis-cohort branch” rather than “periodontitis-specific peptide.”</w:t>
      </w:r>
    </w:p>
    <w:p>
      <w:pPr>
        <w:pStyle w:val="Heading4"/>
        <w:keepNext/>
      </w:pPr>
      <w:r>
        <w:t>1.3 Serial peptide predictors provide triage, not orthogonal confirmation</w:t>
      </w:r>
    </w:p>
    <w:p>
      <w:pPr>
        <w:pStyle w:val="Normal"/>
      </w:pPr>
      <w:r>
        <w:t>UniDL4BioPep provides a common deep-learning architecture for binary peptide-bioactivity tasks [13]. BBB-peptide prediction illustrates both the value and fragility of such models: positive training sets are limited, class imbalance is substantial, and sensitivity–specificity trade-offs and external performance vary across architectures [14,15]. NTxPred2 estimates neurotoxic-peptide labels from sequence [16]; mebipred estimates metal-binding potential [17]; and AnOxPePred estimates chelating and free-radical-scavenging features associated with antioxidative peptides [18]. Each model can narrow a candidate list. Their agreement is not independent biological replication because they reuse overlapping sequence descriptors and have different training domains, endpoints, and calibration properties.</w:t>
      </w:r>
    </w:p>
    <w:p>
      <w:pPr>
        <w:pStyle w:val="Normal"/>
      </w:pPr>
      <w:r>
        <w:t>A stronger peptide-discovery standard proceeds from computational prioritization to synthesis and functional testing. Microbiome-derived peptide-antibiotic work provides a useful precedent: predicted candidates became biological findings only after chemical synthesis and experimental assays [19]. The current study therefore treats BBB, neurotoxicity, metal-binding, CHEL, and FRS outputs as operational labels. “BBB-high” does not mean measured brain exposure; “neurotoxic-positive” does not mean cellular toxicity; and CHEL-high/FRS-lower does not establish pro-oxidant chemistry.</w:t>
      </w:r>
    </w:p>
    <w:p>
      <w:pPr>
        <w:pStyle w:val="Heading4"/>
        <w:keepNext/>
      </w:pPr>
      <w:r>
        <w:t>1.4 AChE/PAS biology motivates—but does not validate—a docking follow-up</w:t>
      </w:r>
    </w:p>
    <w:p>
      <w:pPr>
        <w:pStyle w:val="Normal"/>
      </w:pPr>
      <w:r>
        <w:t>Alzheimer’s disease (AD) is characterized by amyloid-β (Aβ) plaques, tau pathology, synaptic dysfunction, and progressive cognitive decline [20,21]. The cholinergic system remains clinically relevant because acetylcholinesterase inhibitors provide established symptomatic treatment [22]. AChE also has a non-catalytic relationship with Aβ: classic experiments showed that AChE accelerates Aβ fibril assembly and implicated the peripheral anionic site (PAS) at the entrance of the active-site gorge [23]. A defined AChE structural motif can promote Aβ fibril formation [24], and PAS-directed ligands can inhibit AChE-induced Aβ aggregation [25]. Crystal structures of AChE complexes map an aromatic gorge extending between the catalytic and peripheral sites [26,27].</w:t>
      </w:r>
    </w:p>
    <w:p>
      <w:pPr>
        <w:pStyle w:val="Normal"/>
      </w:pPr>
      <w:r>
        <w:t>Molecular-simulation studies provide additional context but not direct support for the present candidates. A published AChE–Aβ trajectory described dynamic residence near PAS-adjacent surfaces [28], and accelerated simulations explored AChE’s role in Aβ association [29]. These studies justify asking whether a prioritized peptide can be placed near the AChE gorge; they do not imply that any oral candidate binds AChE, changes catalysis, affects Aβ aggregation, or reaches the brain. For this reason, the present docking follow-up is reported as a provenance-limited, source-reported ranking rather than as target validation.</w:t>
      </w:r>
    </w:p>
    <w:p>
      <w:pPr>
        <w:pStyle w:val="Heading4"/>
        <w:keepNext/>
      </w:pPr>
      <w:r>
        <w:t>1.5 Metal dyshomeostasis and short neuroactive peptides define a testable hypothesis</w:t>
      </w:r>
    </w:p>
    <w:p>
      <w:pPr>
        <w:pStyle w:val="Normal"/>
      </w:pPr>
      <w:r>
        <w:t>Copper, iron, and zinc dyshomeostasis has long been discussed in relation to AD aggregation, redox chemistry, and neuronal injury [30]. Elementomic perspectives emphasize that metal imbalance intersects with amyloid biology, lipid peroxidation, ferroptotic processes, and therapeutic attempts [31]. A disease-relevant peptide hypothesis, however, requires more than a metal-binding prediction. It requires an identifiable molecule, reproducible coordination chemistry, metal specificity, measurable redox consequences, exposure to the relevant tissue, and a phenotype.</w:t>
      </w:r>
    </w:p>
    <w:p>
      <w:pPr>
        <w:pStyle w:val="Normal"/>
      </w:pPr>
      <w:r>
        <w:t>Short host-derived peptides demonstrate that this combination is experimentally testable. Tau fragments coordinate Cu(II) and can alter Aβ aggregation in a sequence- and metal-dependent manner [32]. The tau26–44 fragment provides a particularly useful conceptual comparator because structural and cell-based work links a short, dynamic peptide to neurotoxicity and membrane effects [33]. Bacterial amyloid exposure can also modify aggregation phenotypes in model systems, as shown for curli and α-synuclein [34]. These precedents do not transfer activity to the current twelve sequences. They define the assays needed to decide whether a predicted oral peptide is inactive, metal-binding but benign, or capable of a metal-dependent biological effect.</w:t>
      </w:r>
    </w:p>
    <w:p>
      <w:pPr>
        <w:pStyle w:val="Heading4"/>
        <w:keepNext/>
      </w:pPr>
      <w:r>
        <w:t>1.6 Periodontitis–AD evidence demands causal restraint</w:t>
      </w:r>
    </w:p>
    <w:p>
      <w:pPr>
        <w:pStyle w:val="Normal"/>
      </w:pPr>
      <w:r>
        <w:t>Observational syntheses report associations between periodontal disease and cognitive disorders, but estimates vary with disease definition, severity, population, and study design [35–38]. Longitudinal work has associated periodontitis with cognitive decline in an AD cohort [39], and combined text-mining/public-dataset analyses have proposed shared signals [40]. Such findings are vulnerable to confounding, reverse causation, oral-care changes, comorbidity, and selection effects. Recent Mendelian-randomization studies and their synthesis have not provided convincing support for a substantial genetic causal effect of periodontal disease on AD [41,42]. A current primer accordingly treats periodontal–AD mechanisms as plausible but incompletely established [43].</w:t>
      </w:r>
    </w:p>
    <w:p>
      <w:pPr>
        <w:pStyle w:val="Normal"/>
      </w:pPr>
      <w:r>
        <w:t xml:space="preserve">Mechanistic studies involving </w:t>
      </w:r>
      <w:r>
        <w:rPr>
          <w:i/>
        </w:rPr>
        <w:t>Porphyromonas gingivalis</w:t>
      </w:r>
      <w:r>
        <w:t xml:space="preserve"> provide important but bounded context. Gingipains and bacterial material have been reported in AD-related tissues and models [44–46]; outer-membrane vesicles and gingipain biochemistry offer plausible routes for host interaction [47–50]. These studies concern specific organisms, virulence factors, or experimental exposures. They cannot assign the current candidates to </w:t>
      </w:r>
      <w:r>
        <w:rPr>
          <w:i/>
        </w:rPr>
        <w:t>P. gingivalis</w:t>
      </w:r>
      <w:r>
        <w:t>, and they do not validate a micropeptide-mediated pathway. The oral metagenome is a community, not a single-species peptidome.</w:t>
      </w:r>
    </w:p>
    <w:p>
      <w:pPr>
        <w:pStyle w:val="Heading4"/>
        <w:keepNext/>
      </w:pPr>
      <w:r>
        <w:t>1.7 Study objectives and contribution</w:t>
      </w:r>
    </w:p>
    <w:p>
      <w:pPr>
        <w:pStyle w:val="Normal"/>
      </w:pPr>
      <w:r>
        <w:t>This study has two linked objectives. First, it reconstructs and audits the aggregate screening record: how many healthy and periodontitis-branch candidates survive evidence filtering, BBB scoring, NTxPred2, mebipred, and CHEL/FRS thresholds, and which transitions cannot be independently audited? Second, following the user’s request to integrate an external v0.4 repository, it evaluates what additional information is defensibly available from that record: a twelve-sequence list, independently recomputable composition, and source-reported AutoDock Vina summaries against AChE PDB 4EY6 [27,51,52].</w:t>
      </w:r>
    </w:p>
    <w:p>
      <w:pPr>
        <w:pStyle w:val="Normal"/>
      </w:pPr>
      <w:r>
        <w:t>The contribution is not a new predictor, a reproduced docking workflow, or a validated disease mechanism. It is a substantially expanded, provenance-aware original-research record that distinguishes principal-source screening results, external sequence/score summaries, independently recomputed descriptors, and future validation. Flexible peptide-docking methods such as FlexPepDock indicate the standard toward which a structure-based follow-up could progress [53], but raw inputs and reproducible execution remain prerequisites.</w:t>
      </w:r>
    </w:p>
    <w:p>
      <w:pPr>
        <w:pStyle w:val="Heading3"/>
        <w:keepNext/>
      </w:pPr>
      <w:r>
        <w:t>中文</w:t>
      </w:r>
    </w:p>
    <w:p>
      <w:pPr>
        <w:pStyle w:val="Heading4"/>
        <w:keepNext/>
      </w:pPr>
      <w:r>
        <w:t>1.1 微生物组smORF是规模巨大但难以开发的发现空间</w:t>
      </w:r>
    </w:p>
    <w:p>
      <w:pPr>
        <w:pStyle w:val="Normal"/>
      </w:pPr>
      <w:r>
        <w:t>短编码序列难以与随机开放阅读框区分，而且常低于常规基因识别阈值，因此smORF长期存在系统性漏注释。对人类微生物组的大规模分析仍发现了数千个保守smORF家族，其中许多缺少已知结构域和功能 [1]。互补预测系统可整合谱模型、序列特征、进化信息和核糖体测序富集，提高短ORF注释能力 [2]。近期高分辨率多组学进一步将计算预测与宏转录组和深度宏蛋白质组证据连接起来 [3]。这些进展说明微生物smORF是合理的发现空间，同时也确立了严格边界：预测ORF不必然被翻译，被翻译的肽也不必然稳定或具有功能。</w:t>
      </w:r>
    </w:p>
    <w:p>
      <w:pPr>
        <w:pStyle w:val="Normal"/>
      </w:pPr>
      <w:r>
        <w:t>对极短肽而言，这一边界尤其重要。短ORF研究综述指出，有说服力的微肽发现需要正交证据，而不能仅依赖序列新颖性 [4]。人类蛋白质基因组研究同样要求区分翻译证据、组织背景和功能验证 [5]。在宏基因组组装中，六框翻译可能产生数百万条短序列。与整理后的序列或蛋白质组资源精确匹配可缩小搜索空间，但每个匹配的意义取决于来源：参考数据库可支持序列存在或分类信息，质谱数据仅能在其自身队列、疾病背景和错误发现率框架内支持检出。</w:t>
      </w:r>
    </w:p>
    <w:p>
      <w:pPr>
        <w:pStyle w:val="Heading4"/>
        <w:keepNext/>
      </w:pPr>
      <w:r>
        <w:t>1.2 牙周炎相关口腔生态需要受试者层面的来源信息</w:t>
      </w:r>
    </w:p>
    <w:p>
      <w:pPr>
        <w:pStyle w:val="Normal"/>
      </w:pPr>
      <w:r>
        <w:t>牙周炎伴随口腔微生物群的生态和功能重塑。配对宏基因组/宏转录组研究发现了与牙周炎相关的位点和物种特异性微生物活动 [6]。跨研究宏转录组综合分析进一步说明，疾病比较必须有受试者层面的映射、标准化、协变量和错误发现率控制 [7]。HOMD和eHOMD提供整理后的口腔及呼吸消化道序列/分类资源 [8,9]，口腔宏蛋白质组数据则提供依赖具体背景的肽检出 [10,11]。当代口腔宏蛋白质组流程还强调宿主去除、微生物富集、肽与蛋白层面错误控制、分类归属以及公共原始数据保存 [12]。</w:t>
      </w:r>
    </w:p>
    <w:p>
      <w:pPr>
        <w:pStyle w:val="Normal"/>
      </w:pPr>
      <w:r>
        <w:t>主要记录将若干异质性资源用于精确匹配过滤。其中一个资源混合了牙周炎、龋齿和健康唾液样本 [10]；另一个研究肺癌背景下的口腔宏蛋白质组 [11]；HOMD/eHOMD是序列资源而非表达库 [8,9]。在缺少逐行链路时，这些资源可支持“匹配序列存在”或“曾在特定背景中被观察到”，但不能证明同一肽在当前队列中表达、在牙周炎中富集，或来自某一特定分类单元。因此本文使用“牙周炎队列分支”，而不使用“牙周炎特异肽”。</w:t>
      </w:r>
    </w:p>
    <w:p>
      <w:pPr>
        <w:pStyle w:val="Heading4"/>
        <w:keepNext/>
      </w:pPr>
      <w:r>
        <w:t>1.3 串联肽预测模型是分流工具，不是正交确认</w:t>
      </w:r>
    </w:p>
    <w:p>
      <w:pPr>
        <w:pStyle w:val="Normal"/>
      </w:pPr>
      <w:r>
        <w:t>UniDL4BioPep提供用于二分类肽活性任务的通用深度学习架构 [13]。BBB肽预测既说明模型的价值，也暴露其脆弱性：阳性训练集有限，类别高度不平衡，不同架构的灵敏度—特异度权衡和外部表现均可变化 [14,15]。NTxPred2估计神经毒性肽标签 [16]；mebipred估计金属结合潜力 [17]；AnOxPePred估计与抗氧化肽相关的螯合和自由基清除特征 [18]。每个模型都可缩小清单，但不同模型重复利用相关序列描述符，训练域、终点和校准亦不同，因此模型一致不能视为独立生物学重复。</w:t>
      </w:r>
    </w:p>
    <w:p>
      <w:pPr>
        <w:pStyle w:val="Normal"/>
      </w:pPr>
      <w:r>
        <w:t>更强的肽发现范式应从计算优选进入合成和功能测试。微生物组来源肽类抗生素研究提供了有益先例：预测候选只有在化学合成和实验测定之后才成为生物学发现 [19]。因此，本研究把BBB、神经毒性、金属结合、CHEL和FRS输出视为操作性标签。“BBB高分”不等于实测脑暴露，“神经毒性阳性”不等于细胞毒性，CHEL高/FRS低也不能证明促氧化化学作用。</w:t>
      </w:r>
    </w:p>
    <w:p>
      <w:pPr>
        <w:pStyle w:val="Heading4"/>
        <w:keepNext/>
      </w:pPr>
      <w:r>
        <w:t>1.4 AChE/PAS生物学可支持对接问题，但不能验证对接结论</w:t>
      </w:r>
    </w:p>
    <w:p>
      <w:pPr>
        <w:pStyle w:val="Normal"/>
      </w:pPr>
      <w:r>
        <w:t>阿尔茨海默病（AD）以淀粉样β（Aβ）斑块、tau病理、突触功能障碍和进行性认知下降为特征 [20,21]。胆碱能系统仍具临床相关性，因为乙酰胆碱酯酶抑制剂是成熟的对症治疗 [22]。AChE还与Aβ存在非催化关系：经典实验显示AChE可加速Aβ纤维装配，并提示活性峡谷入口处的外周阴离子位点（PAS）参与其中 [23]。AChE特定结构基序可促进Aβ纤维形成 [24]，PAS定向配体可抑制AChE诱导的Aβ聚集 [25]。AChE复合物晶体结构描绘了催化位点与外周位点之间的芳香性峡谷 [26,27]。</w:t>
      </w:r>
    </w:p>
    <w:p>
      <w:pPr>
        <w:pStyle w:val="Normal"/>
      </w:pPr>
      <w:r>
        <w:t>分子模拟研究提供了进一步背景，但不直接支持本研究候选。一项AChE–Aβ轨迹研究描述了PAS邻近表面的动态停留 [28]，加速模拟也探讨了AChE在Aβ结合中的作用 [29]。这些研究可支持“候选肽能否被放置在AChE峡谷附近”的问题，却不能证明任何口腔候选结合AChE、改变催化、影响Aβ聚集或到达脑组织。因此，本研究将对接随访报告为来源受限的外部排序，而非靶标验证。</w:t>
      </w:r>
    </w:p>
    <w:p>
      <w:pPr>
        <w:pStyle w:val="Heading4"/>
        <w:keepNext/>
      </w:pPr>
      <w:r>
        <w:t>1.5 金属稳态失衡与短神经活性肽构成可检验的假设</w:t>
      </w:r>
    </w:p>
    <w:p>
      <w:pPr>
        <w:pStyle w:val="Normal"/>
      </w:pPr>
      <w:r>
        <w:t>铜、铁、锌稳态失衡长期被用于讨论AD中的聚集、氧化还原化学和神经元损伤 [30]。元素组学视角强调金属失衡与淀粉样生物学、脂质过氧化、铁死亡过程和治疗探索之间的交叉 [31]。但疾病相关肽假设需要的不只是金属结合预测，还需要可识别的分子、可重复的配位化学、金属选择性、可测量的氧化还原结果、相关组织暴露和表型。</w:t>
      </w:r>
    </w:p>
    <w:p>
      <w:pPr>
        <w:pStyle w:val="Normal"/>
      </w:pPr>
      <w:r>
        <w:t>宿主来源短肽表明这一组合可以实验检验。Tau片段可配位Cu(II)，并以序列和金属依赖方式改变Aβ聚集 [32]。tau26–44片段尤其适合作为概念比较，因为结构和细胞研究将短而动态的肽与神经毒性、膜效应联系起来 [33]。细菌淀粉样蛋白暴露也可改变模型系统的聚集表型，例如curli与α-突触核蛋白的研究 [34]。这些先例不能把活性转移给当前12条序列，只是界定了判定候选无活性、结合金属但无害或产生金属依赖生物效应所需的实验。</w:t>
      </w:r>
    </w:p>
    <w:p>
      <w:pPr>
        <w:pStyle w:val="Heading4"/>
        <w:keepNext/>
      </w:pPr>
      <w:r>
        <w:t>1.6 牙周炎–AD证据要求克制的因果表述</w:t>
      </w:r>
    </w:p>
    <w:p>
      <w:pPr>
        <w:pStyle w:val="Normal"/>
      </w:pPr>
      <w:r>
        <w:t>观察性综合分析报告牙周病与认知障碍之间存在关联，但估计值随疾病定义、严重程度、人群和设计变化 [35–38]。纵向研究在AD队列中观察到牙周炎与认知下降相关 [39]，文本挖掘和公共数据分析也提出了共享信号 [40]。这些结果可能受到混杂、反向因果、口腔护理变化、共病和选择偏倚影响。近期孟德尔随机化研究及其综合未能有力支持牙周病对AD存在显著遗传因果效应 [41,42]。最新入门综述亦将牙周–AD机制界定为具有合理性但尚未充分建立 [43]。</w:t>
      </w:r>
    </w:p>
    <w:p>
      <w:pPr>
        <w:pStyle w:val="Normal"/>
      </w:pPr>
      <w:r>
        <w:t>涉及牙龈卟啉单胞菌的机制研究提供重要但有限的背景。AD相关组织和模型中有牙龈蛋白酶及细菌物质的报道 [44–46]；外膜囊泡和牙龈蛋白酶生物化学也提供了宿主相互作用的可能通路 [47–50]。然而，这些研究针对特定微生物、毒力因子或实验暴露，不能将当前候选归属给该菌，也不能验证微肽介导通路。口腔宏基因组代表微生物群落，而非单一物种肽组。</w:t>
      </w:r>
    </w:p>
    <w:p>
      <w:pPr>
        <w:pStyle w:val="Heading4"/>
        <w:keepNext/>
      </w:pPr>
      <w:r>
        <w:t>1.7 研究目标与贡献</w:t>
      </w:r>
    </w:p>
    <w:p>
      <w:pPr>
        <w:pStyle w:val="Normal"/>
      </w:pPr>
      <w:r>
        <w:t>本研究有两个相互衔接的目标。第一，重建并审计汇总筛选记录：健康和牙周炎分支中，有多少候选通过证据过滤、BBB评分、NTxPred2、mebipred及CHEL/FRS阈值；哪些转换无法独立审计？第二，按照用户要求整合外部v0.4仓库，评估其中哪些新增信息可被负责任地使用：12条序列、可独立重算的组成，以及针对AChE PDB 4EY6的外部报告AutoDock Vina汇总 [27,51,52]。</w:t>
      </w:r>
    </w:p>
    <w:p>
      <w:pPr>
        <w:pStyle w:val="Normal"/>
      </w:pPr>
      <w:r>
        <w:t>本文贡献不是新预测器、复现的对接流程或经验证的疾病机制，而是一份显著扩展、保留来源边界的原创研究记录，明确区分主要来源筛选结果、外部序列/分数汇总、独立重算描述符和未来验证。FlexPepDock等柔性肽对接方法提示了结构随访可达到的标准 [53]，但原始输入和可重复执行是前提。</w:t>
      </w:r>
    </w:p>
    <w:p>
      <w:pPr>
        <w:pStyle w:val="Heading2"/>
        <w:keepNext/>
        <w:pageBreakBefore/>
      </w:pPr>
      <w:r>
        <w:t>2. Materials and Methods / 2 材料与方法</w:t>
      </w:r>
    </w:p>
    <w:p>
      <w:pPr>
        <w:pStyle w:val="Heading3"/>
        <w:keepNext/>
      </w:pPr>
      <w:r>
        <w:t>English</w:t>
      </w:r>
    </w:p>
    <w:p>
      <w:pPr>
        <w:pStyle w:val="Heading4"/>
        <w:keepNext/>
      </w:pPr>
      <w:r>
        <w:t>2.1 Study design and evidence tiers</w:t>
      </w:r>
    </w:p>
    <w:p>
      <w:pPr>
        <w:pStyle w:val="Normal"/>
      </w:pPr>
      <w:r>
        <w:t>This was an aggregate-level computational reconstruction with a secondary cross-repository follow-up. Evidence was assigned to three tiers before writing:</w:t>
      </w:r>
    </w:p>
    <w:p>
      <w:pPr>
        <w:pStyle w:val="Reference"/>
        <w:ind w:left="360" w:hanging="360"/>
      </w:pPr>
      <w:r>
        <w:rPr>
          <w:sz w:val="18"/>
          <w:szCs w:val="18"/>
        </w:rPr>
        <w:t xml:space="preserve">1. </w:t>
      </w:r>
      <w:r>
        <w:rPr>
          <w:b/>
          <w:sz w:val="18"/>
          <w:szCs w:val="18"/>
        </w:rPr>
        <w:t>Tier A—principal-source screening:</w:t>
      </w:r>
      <w:r>
        <w:rPr>
          <w:sz w:val="18"/>
          <w:szCs w:val="18"/>
        </w:rPr>
        <w:t xml:space="preserve"> counts, thresholds, and workflow descriptions from </w:t>
      </w:r>
      <w:r>
        <w:rPr>
          <w:rFonts w:ascii="Consolas" w:hAnsi="Consolas" w:eastAsia="等线"/>
          <w:shd w:val="clear" w:color="auto" w:fill="F2F4F7"/>
          <w:sz w:val="18"/>
          <w:szCs w:val="18"/>
        </w:rPr>
        <w:t>材料与方法及结果_机制研究版.docx</w:t>
      </w:r>
      <w:r>
        <w:rPr>
          <w:sz w:val="18"/>
          <w:szCs w:val="18"/>
        </w:rPr>
        <w:t xml:space="preserve"> (SHA-256 </w:t>
      </w:r>
      <w:r>
        <w:rPr>
          <w:rFonts w:ascii="Consolas" w:hAnsi="Consolas" w:eastAsia="等线"/>
          <w:shd w:val="clear" w:color="auto" w:fill="F2F4F7"/>
          <w:sz w:val="18"/>
          <w:szCs w:val="18"/>
        </w:rPr>
        <w:t>f4132a02cb9955c808739c3cbf15edd947f6203d577e8586490933a5d2daa4b5</w:t>
      </w:r>
      <w:r>
        <w:rPr>
          <w:sz w:val="18"/>
          <w:szCs w:val="18"/>
        </w:rPr>
        <w:t>).</w:t>
      </w:r>
    </w:p>
    <w:p>
      <w:pPr>
        <w:pStyle w:val="Reference"/>
        <w:ind w:left="360" w:hanging="360"/>
      </w:pPr>
      <w:r>
        <w:rPr>
          <w:sz w:val="18"/>
          <w:szCs w:val="18"/>
        </w:rPr>
        <w:t xml:space="preserve">2. </w:t>
      </w:r>
      <w:r>
        <w:rPr>
          <w:b/>
          <w:sz w:val="18"/>
          <w:szCs w:val="18"/>
        </w:rPr>
        <w:t>Tier B—external v0.4 summary:</w:t>
      </w:r>
      <w:r>
        <w:rPr>
          <w:sz w:val="18"/>
          <w:szCs w:val="18"/>
        </w:rPr>
        <w:t xml:space="preserve"> twelve sequences, composition claims, docking method labels, and Vina mean±SD values from commit </w:t>
      </w:r>
      <w:r>
        <w:rPr>
          <w:rFonts w:ascii="Consolas" w:hAnsi="Consolas" w:eastAsia="等线"/>
          <w:shd w:val="clear" w:color="auto" w:fill="F2F4F7"/>
          <w:sz w:val="18"/>
          <w:szCs w:val="18"/>
        </w:rPr>
        <w:t>e28c06db0614512eeb2bca217d2f9a760e804051</w:t>
      </w:r>
      <w:r>
        <w:rPr>
          <w:sz w:val="18"/>
          <w:szCs w:val="18"/>
        </w:rPr>
        <w:t xml:space="preserve"> of the user-designated external repository. File hashes and acceptance decisions are recorded in </w:t>
      </w:r>
      <w:r>
        <w:rPr>
          <w:rFonts w:ascii="Consolas" w:hAnsi="Consolas" w:eastAsia="等线"/>
          <w:shd w:val="clear" w:color="auto" w:fill="F2F4F7"/>
          <w:sz w:val="18"/>
          <w:szCs w:val="18"/>
        </w:rPr>
        <w:t>evidence/external_v04_integration.md</w:t>
      </w:r>
      <w:r>
        <w:rPr>
          <w:sz w:val="18"/>
          <w:szCs w:val="18"/>
        </w:rPr>
        <w:t>.</w:t>
      </w:r>
    </w:p>
    <w:p>
      <w:pPr>
        <w:pStyle w:val="Reference"/>
        <w:ind w:left="360" w:hanging="360"/>
      </w:pPr>
      <w:r>
        <w:rPr>
          <w:sz w:val="18"/>
          <w:szCs w:val="18"/>
        </w:rPr>
        <w:t xml:space="preserve">3. </w:t>
      </w:r>
      <w:r>
        <w:rPr>
          <w:b/>
          <w:sz w:val="18"/>
          <w:szCs w:val="18"/>
        </w:rPr>
        <w:t>Tier C—context and future work:</w:t>
      </w:r>
      <w:r>
        <w:rPr>
          <w:sz w:val="18"/>
          <w:szCs w:val="18"/>
        </w:rPr>
        <w:t xml:space="preserve"> peer-reviewed literature used to motivate AChE/PAS, metal, oral-microbiome, and validation questions. Literature was not used to manufacture missing results.</w:t>
      </w:r>
    </w:p>
    <w:p>
      <w:pPr>
        <w:pStyle w:val="Normal"/>
      </w:pPr>
      <w:r>
        <w:t>Tier A remained the sole authority for the screening funnel. Tier B did not retroactively fill principal-source row-level lineage. Tier C supplied interpretation boundaries only.</w:t>
      </w:r>
    </w:p>
    <w:p>
      <w:pPr>
        <w:pStyle w:val="Heading4"/>
        <w:keepNext/>
      </w:pPr>
      <w:r>
        <w:t>2.2 Cohort and accession provenance</w:t>
      </w:r>
    </w:p>
    <w:p>
      <w:pPr>
        <w:pStyle w:val="Normal"/>
      </w:pPr>
      <w:r>
        <w:t>The principal record named PRJNA678453 and PRJEB65451 and stated that 296 high-quality metagenome-assembled genomes were obtained from 24 healthy and 26 periodontitis participants. PRJNA678453 could be linked to published paired oral metagenomic/metatranscriptomic work [6]. PRJEB65451 could not be independently resolved in this environment and was retained as an unresolved provenance element rather than assigned inferred metadata.</w:t>
      </w:r>
    </w:p>
    <w:p>
      <w:pPr>
        <w:pStyle w:val="Normal"/>
      </w:pPr>
      <w:r>
        <w:t>No new participants were recruited, no specimens were collected, and no primary omics or clinical analysis was performed for this reconstruction. Candidate nucleotide/amino-acid rows, genomic coordinates, subject/sample mappings, taxonomy, peptide-spectrum matches, model outputs, run logs, database snapshots, and the original pipeline were absent from the principal package.</w:t>
      </w:r>
    </w:p>
    <w:p>
      <w:pPr>
        <w:pStyle w:val="Heading4"/>
        <w:keepNext/>
      </w:pPr>
      <w:r>
        <w:t>2.3 Principal-source smORF construction and evidence filtering</w:t>
      </w:r>
    </w:p>
    <w:p>
      <w:pPr>
        <w:pStyle w:val="Normal"/>
      </w:pPr>
      <w:r>
        <w:t>According to the principal record, sample-specific mapping was used to construct healthy and periodontitis smORF libraries, and translated sequences 4–50 aa long were retained. The raw libraries contained 11,269,961 and 11,721,988 smORFs. Candidates were then exact-matched to named oral sequence/proteomic resources and dereplicated. The resulting evidence-filtered libraries contained 31,510 healthy and 33,786 periodontitis-branch candidates.</w:t>
      </w:r>
    </w:p>
    <w:p>
      <w:pPr>
        <w:pStyle w:val="Normal"/>
      </w:pPr>
      <w:r>
        <w:t>The filtered sets were divided into a short branch (5–30 aa: healthy 30,557; periodontitis 32,754) and a long branch (31–50 aa: healthy 953; periodontitis 1,032). The initial rule includes 4-aa candidates, but the downstream bins begin at 5 aa; the disposition of 4-aa sequences remains undocumented. Resource matches were treated as filter evidence rather than current-cohort expression or disease specificity.</w:t>
      </w:r>
    </w:p>
    <w:p>
      <w:pPr>
        <w:pStyle w:val="Heading4"/>
        <w:keepNext/>
      </w:pPr>
      <w:r>
        <w:t>2.4 UniDL4BioPep and BBB-high definition</w:t>
      </w:r>
    </w:p>
    <w:p>
      <w:pPr>
        <w:pStyle w:val="Normal"/>
      </w:pPr>
      <w:r>
        <w:t>The record used UniDL4BioPep with ESM2 sequence representation to score multiple peptide-activity labels [13]. An output ≥0.80 defined a common operational high-score threshold, including the BBB label. Because task-specific calibration, model version, environment, and external validation for the present sequence domain were unavailable, outputs were described as “model-positive” or “BBB-high,” not as calibrated probabilities or confirmed activities [14,15]. Healthy and periodontitis counts were retained as descriptive branch summaries. No group-comparison hypothesis was tested.</w:t>
      </w:r>
    </w:p>
    <w:p>
      <w:pPr>
        <w:pStyle w:val="Heading4"/>
        <w:keepNext/>
      </w:pPr>
      <w:r>
        <w:t>2.5 NTxPred2, mebipred, and AnOxPePred</w:t>
      </w:r>
    </w:p>
    <w:p>
      <w:pPr>
        <w:pStyle w:val="Normal"/>
      </w:pPr>
      <w:r>
        <w:t>The periodontitis BBB-high set was next evaluated with NTxPred2 [16]. The record stated an accepted range of 7–50 aa; candidates below the range were “not evaluated,” not negative. The subsequent narrative applied mebipred at 0.50 for Cu/Fe/Zn-binding potential [17], followed by AnOxPePred CHEL and FRS outputs [18]. Three operational endpoints were retained: CHEL≥0.25; CHEL≥0.25 and FRS&lt;0.50 (main set); and CHEL≥0.25 and FRS&lt;0.45 (stricter subset).</w:t>
      </w:r>
    </w:p>
    <w:p>
      <w:pPr>
        <w:pStyle w:val="Normal"/>
      </w:pPr>
      <w:r>
        <w:t>The principal package did not contain the row-level NTxPred2-to-mebipred handoff. Therefore, the source-reported count of 111 was retained as a downstream result, but 111/923 was not calculated or interpreted as an audited transition rate. CHEL-high/FRS-lower was treated as a prioritization pattern, not evidence of pro-oxidant activity.</w:t>
      </w:r>
    </w:p>
    <w:p>
      <w:pPr>
        <w:pStyle w:val="Heading4"/>
        <w:keepNext/>
      </w:pPr>
      <w:r>
        <w:t>2.6 External twelve-sequence list and composition audit</w:t>
      </w:r>
    </w:p>
    <w:p>
      <w:pPr>
        <w:pStyle w:val="Normal"/>
      </w:pPr>
      <w:r>
        <w:t>The external v0.4 manuscript listed twelve sequences as the main CHEL/FRS candidate set. Their linkage to the principal source’s twelve rows could not be independently checked because stable IDs, CHEL/FRS rows, and mapping files were unavailable. For each sequence, length, histidine count, cysteine count, basic-residue count (Arg+Lys), and aromatic-residue count (Phe+Tyr+Trp) were recalculated with Python standard-library code (</w:t>
      </w:r>
      <w:r>
        <w:rPr>
          <w:rFonts w:ascii="Consolas" w:hAnsi="Consolas" w:eastAsia="等线"/>
          <w:shd w:val="clear" w:color="auto" w:fill="F2F4F7"/>
        </w:rPr>
        <w:t>scripts/audit_external_docking_summary.py</w:t>
      </w:r>
      <w:r>
        <w:t>). Checks required twelve unique standard-amino-acid sequences, lengths 7–9 aa, and agreement with the external composition summary.</w:t>
      </w:r>
    </w:p>
    <w:p>
      <w:pPr>
        <w:pStyle w:val="Heading4"/>
        <w:keepNext/>
      </w:pPr>
      <w:r>
        <w:t>2.7 External docking summary</w:t>
      </w:r>
    </w:p>
    <w:p>
      <w:pPr>
        <w:pStyle w:val="Normal"/>
      </w:pPr>
      <w:r>
        <w:t>The external v0.4 report stated that the twelve peptides were docked with AutoDock Vina 1.2.5 against human AChE PDB 4EY6 using a 40×40×40 Å³ PAS-centred box [27,51,52]. It supplied mean±SD Vina values and narrative statements about PAS/gorge placement. The current reconstruction transcribed the twelve means and SDs, checked ordering and ranges, and generated a descriptive plot.</w:t>
      </w:r>
    </w:p>
    <w:p>
      <w:pPr>
        <w:pStyle w:val="Normal"/>
      </w:pPr>
      <w:r>
        <w:t>Docking was not rerun. The reviewed repository did not contain receptor or ligand preparation files, PDBQT inputs, exact grid-centre coordinates, protonation/charge settings, configurations, exhaustiveness, numbers of runs, seeds, raw scores, commands, software environment, logs, poses, or interaction tables. Consequently, the values are labelled “source-reported.” SD does not have an interpretable experimental or computational denominator until the missing run definition is supplied. Vina scores were not converted to binding affinities or free energies [51,52]. The imported PDF is retained as a provenance artefact; the revised SVG/PNG adds the reporting boundary directly to the figure.</w:t>
      </w:r>
    </w:p>
    <w:p>
      <w:pPr>
        <w:pStyle w:val="Normal"/>
      </w:pPr>
      <w:r>
        <w:t>The external record also described an attempted molecular-dynamics calculation. Because no coordinates, topology, parameter files, logs, energies, checkpoint, or trajectory were present, that attempt was excluded from the present Results and is not represented as reproduced work.</w:t>
      </w:r>
    </w:p>
    <w:p>
      <w:pPr>
        <w:pStyle w:val="Heading4"/>
        <w:keepNext/>
      </w:pPr>
      <w:r>
        <w:t>2.8 Descriptive statistics and audit rules</w:t>
      </w:r>
    </w:p>
    <w:p>
      <w:pPr>
        <w:pStyle w:val="Normal"/>
      </w:pPr>
      <w:r>
        <w:t>Counts were transcribed from Tier A. Percentages were recomputed as 100×n/N with explicit denominators. Candidate sequences are computational accounting units nested within samples, genomes, and homologous sequence groups; they are not independent biological replicates. Without subject/sample-to-candidate rows, nominal Fisher or χ² tests on aggregate peptide counts would create pseudoreplication and artificially narrow uncertainty. No p value, confidence interval, effect estimate, receiver-operating characteristic, power calculation, or multiplicity correction was therefore reported for healthy-versus-periodontitis comparisons.</w:t>
      </w:r>
    </w:p>
    <w:p>
      <w:pPr>
        <w:pStyle w:val="Normal"/>
      </w:pPr>
      <w:r>
        <w:t>Standard-library scripts checked branch sums, numerator≤denominator constraints, the NTxPred2 evaluated/not-evaluated partition, downstream monotonicity, the 8/12 threshold sensitivity, sequence composition, and score ordering. These are arithmetic and provenance checks, not independent reruns of the biological pipeline or docking.</w:t>
      </w:r>
    </w:p>
    <w:p>
      <w:pPr>
        <w:pStyle w:val="Heading4"/>
        <w:keepNext/>
      </w:pPr>
      <w:r>
        <w:t>2.9 Literature and reporting integrity</w:t>
      </w:r>
    </w:p>
    <w:p>
      <w:pPr>
        <w:pStyle w:val="Normal"/>
      </w:pPr>
      <w:r>
        <w:t>The external bibliography was not imported wholesale. Duplicates, correction-note-only erroneous identifiers, material associated with previously excluded files, and references not used by the revised argument were removed. The final 53-reference set was checked for DOI inventory parity across English, Chinese, the verification record, and BibTeX. Final Crossmark, correction, and retraction screening remains an authorial pre-submission task.</w:t>
      </w:r>
    </w:p>
    <w:p>
      <w:pPr>
        <w:pStyle w:val="Heading3"/>
        <w:keepNext/>
      </w:pPr>
      <w:r>
        <w:t>中文</w:t>
      </w:r>
    </w:p>
    <w:p>
      <w:pPr>
        <w:pStyle w:val="Heading4"/>
        <w:keepNext/>
      </w:pPr>
      <w:r>
        <w:t>2.1 研究设计与证据等级</w:t>
      </w:r>
    </w:p>
    <w:p>
      <w:pPr>
        <w:pStyle w:val="Normal"/>
      </w:pPr>
      <w:r>
        <w:t>本研究为汇总层面计算重建，并附带跨仓库的二级随访。写作前将证据划分为三层：</w:t>
      </w:r>
    </w:p>
    <w:p>
      <w:pPr>
        <w:pStyle w:val="Reference"/>
        <w:ind w:left="360" w:hanging="360"/>
      </w:pPr>
      <w:r>
        <w:rPr>
          <w:sz w:val="18"/>
          <w:szCs w:val="18"/>
        </w:rPr>
        <w:t xml:space="preserve">1. </w:t>
      </w:r>
      <w:r>
        <w:rPr>
          <w:b/>
          <w:sz w:val="18"/>
          <w:szCs w:val="18"/>
        </w:rPr>
        <w:t>A层——主要来源筛选：</w:t>
      </w:r>
      <w:r>
        <w:rPr>
          <w:sz w:val="18"/>
          <w:szCs w:val="18"/>
        </w:rPr>
        <w:t xml:space="preserve"> 来自</w:t>
      </w:r>
      <w:r>
        <w:rPr>
          <w:rFonts w:ascii="Consolas" w:hAnsi="Consolas" w:eastAsia="等线"/>
          <w:shd w:val="clear" w:color="auto" w:fill="F2F4F7"/>
          <w:sz w:val="18"/>
          <w:szCs w:val="18"/>
        </w:rPr>
        <w:t>材料与方法及结果_机制研究版.docx</w:t>
      </w:r>
      <w:r>
        <w:rPr>
          <w:sz w:val="18"/>
          <w:szCs w:val="18"/>
        </w:rPr>
        <w:t>的计数、阈值和流程描述；其SHA-256为</w:t>
      </w:r>
      <w:r>
        <w:rPr>
          <w:rFonts w:ascii="Consolas" w:hAnsi="Consolas" w:eastAsia="等线"/>
          <w:shd w:val="clear" w:color="auto" w:fill="F2F4F7"/>
          <w:sz w:val="18"/>
          <w:szCs w:val="18"/>
        </w:rPr>
        <w:t>f4132a02cb9955c808739c3cbf15edd947f6203d577e8586490933a5d2daa4b5</w:t>
      </w:r>
      <w:r>
        <w:rPr>
          <w:sz w:val="18"/>
          <w:szCs w:val="18"/>
        </w:rPr>
        <w:t>。</w:t>
      </w:r>
    </w:p>
    <w:p>
      <w:pPr>
        <w:pStyle w:val="Reference"/>
        <w:ind w:left="360" w:hanging="360"/>
      </w:pPr>
      <w:r>
        <w:rPr>
          <w:sz w:val="18"/>
          <w:szCs w:val="18"/>
        </w:rPr>
        <w:t xml:space="preserve">2. </w:t>
      </w:r>
      <w:r>
        <w:rPr>
          <w:b/>
          <w:sz w:val="18"/>
          <w:szCs w:val="18"/>
        </w:rPr>
        <w:t>B层——外部v0.4汇总：</w:t>
      </w:r>
      <w:r>
        <w:rPr>
          <w:sz w:val="18"/>
          <w:szCs w:val="18"/>
        </w:rPr>
        <w:t xml:space="preserve"> 来自用户指定外部仓库提交</w:t>
      </w:r>
      <w:r>
        <w:rPr>
          <w:rFonts w:ascii="Consolas" w:hAnsi="Consolas" w:eastAsia="等线"/>
          <w:shd w:val="clear" w:color="auto" w:fill="F2F4F7"/>
          <w:sz w:val="18"/>
          <w:szCs w:val="18"/>
        </w:rPr>
        <w:t>e28c06db0614512eeb2bca217d2f9a760e804051</w:t>
      </w:r>
      <w:r>
        <w:rPr>
          <w:sz w:val="18"/>
          <w:szCs w:val="18"/>
        </w:rPr>
        <w:t>的12条序列、组成陈述、对接方法标签和Vina均值±SD。文件哈希和接纳决策记录于</w:t>
      </w:r>
      <w:r>
        <w:rPr>
          <w:rFonts w:ascii="Consolas" w:hAnsi="Consolas" w:eastAsia="等线"/>
          <w:shd w:val="clear" w:color="auto" w:fill="F2F4F7"/>
          <w:sz w:val="18"/>
          <w:szCs w:val="18"/>
        </w:rPr>
        <w:t>evidence/external_v04_integration.md</w:t>
      </w:r>
      <w:r>
        <w:rPr>
          <w:sz w:val="18"/>
          <w:szCs w:val="18"/>
        </w:rPr>
        <w:t>。</w:t>
      </w:r>
    </w:p>
    <w:p>
      <w:pPr>
        <w:pStyle w:val="Reference"/>
        <w:ind w:left="360" w:hanging="360"/>
      </w:pPr>
      <w:r>
        <w:rPr>
          <w:sz w:val="18"/>
          <w:szCs w:val="18"/>
        </w:rPr>
        <w:t xml:space="preserve">3. </w:t>
      </w:r>
      <w:r>
        <w:rPr>
          <w:b/>
          <w:sz w:val="18"/>
          <w:szCs w:val="18"/>
        </w:rPr>
        <w:t>C层——背景与未来工作：</w:t>
      </w:r>
      <w:r>
        <w:rPr>
          <w:sz w:val="18"/>
          <w:szCs w:val="18"/>
        </w:rPr>
        <w:t xml:space="preserve"> 用于提出AChE/PAS、金属、口腔微生物组和验证问题的同行评议文献。文献不用于补造缺失结果。</w:t>
      </w:r>
    </w:p>
    <w:p>
      <w:pPr>
        <w:pStyle w:val="Normal"/>
      </w:pPr>
      <w:r>
        <w:t>A层始终是筛选漏斗的唯一权威来源；B层不追溯填补主要来源的逐行链路；C层仅提供解释边界。</w:t>
      </w:r>
    </w:p>
    <w:p>
      <w:pPr>
        <w:pStyle w:val="Heading4"/>
        <w:keepNext/>
      </w:pPr>
      <w:r>
        <w:t>2.2 队列与登录号来源</w:t>
      </w:r>
    </w:p>
    <w:p>
      <w:pPr>
        <w:pStyle w:val="Normal"/>
      </w:pPr>
      <w:r>
        <w:t>主要记录列出PRJNA678453和PRJEB65451，并称从24名健康和26名牙周炎参与者获得296个高质量宏基因组组装基因组。PRJNA678453可与已发表的配对口腔宏基因组/宏转录组研究相联系 [6]。在当前环境中无法独立解析PRJEB65451，因此将其保留为未解决的来源要素，而不推断元数据。</w:t>
      </w:r>
    </w:p>
    <w:p>
      <w:pPr>
        <w:pStyle w:val="Normal"/>
      </w:pPr>
      <w:r>
        <w:t>本次重建未招募新参与者、未收集标本，也未重新分析原始组学或临床数据。主要材料中缺少候选核苷酸/氨基酸行、基因组坐标、受试者/样本映射、分类信息、肽谱匹配、模型输出、运行日志、数据库快照和原始管线。</w:t>
      </w:r>
    </w:p>
    <w:p>
      <w:pPr>
        <w:pStyle w:val="Heading4"/>
        <w:keepNext/>
      </w:pPr>
      <w:r>
        <w:t>2.3 主要来源smORF构建与证据过滤</w:t>
      </w:r>
    </w:p>
    <w:p>
      <w:pPr>
        <w:pStyle w:val="Normal"/>
      </w:pPr>
      <w:r>
        <w:t>据主要记录，研究采用样本特异性映射构建健康和牙周炎smORF库，并保留4–50 aa翻译序列。原始库分别含11,269,961和11,721,988条smORF。随后将候选与指定口腔序列/蛋白质组资源精确匹配并去冗余，获得31,510条健康和33,786条牙周炎分支候选。</w:t>
      </w:r>
    </w:p>
    <w:p>
      <w:pPr>
        <w:pStyle w:val="Normal"/>
      </w:pPr>
      <w:r>
        <w:t>过滤集合分为短肽分支（5–30 aa：健康30,557，牙周炎32,754）和长肽分支（31–50 aa：健康953，牙周炎1,032）。初始规则包含4 aa候选，但后续分箱从5 aa开始；4 aa序列去向未被记录。资源匹配被视为过滤证据，而不是当前队列表达或疾病特异性证据。</w:t>
      </w:r>
    </w:p>
    <w:p>
      <w:pPr>
        <w:pStyle w:val="Heading4"/>
        <w:keepNext/>
      </w:pPr>
      <w:r>
        <w:t>2.4 UniDL4BioPep与BBB高分定义</w:t>
      </w:r>
    </w:p>
    <w:p>
      <w:pPr>
        <w:pStyle w:val="Normal"/>
      </w:pPr>
      <w:r>
        <w:t>记录使用基于ESM2表征的UniDL4BioPep评估多类肽活性 [13]。输出≥0.80被定义为统一操作性高分阈值，包括BBB标签。由于缺少任务特异校准、模型版本、环境及当前序列域的外部验证，本文称其为“模型阳性”或“BBB高分”，不称为校准概率或确认活性 [14,15]。健康和牙周炎计数仅作描述性分支汇总，不实施组间假设检验。</w:t>
      </w:r>
    </w:p>
    <w:p>
      <w:pPr>
        <w:pStyle w:val="Heading4"/>
        <w:keepNext/>
      </w:pPr>
      <w:r>
        <w:t>2.5 NTxPred2、mebipred与AnOxPePred</w:t>
      </w:r>
    </w:p>
    <w:p>
      <w:pPr>
        <w:pStyle w:val="Normal"/>
      </w:pPr>
      <w:r>
        <w:t>随后用NTxPred2评估牙周炎BBB高分集合 [16]。记录声明其适用长度为7–50 aa；低于范围的候选定义为“未评估”，而不是阴性。后续叙述以0.50为阈值应用mebipred预测Cu/Fe/Zn结合潜力 [17]，再使用AnOxPePred的CHEL和FRS输出 [18]。保留三个操作性终点：CHEL≥0.25；CHEL≥0.25且FRS&lt;0.50（主集合）；CHEL≥0.25且FRS&lt;0.45（更严格子集）。</w:t>
      </w:r>
    </w:p>
    <w:p>
      <w:pPr>
        <w:pStyle w:val="Normal"/>
      </w:pPr>
      <w:r>
        <w:t>主要材料不含NTxPred2至mebipred的逐行交接。因此，来源报告的111条被保留为下游结果，但不计算或解释111/923为经审计转换率。CHEL高/FRS低仅作为优选模式，不作为促氧化活性证据。</w:t>
      </w:r>
    </w:p>
    <w:p>
      <w:pPr>
        <w:pStyle w:val="Heading4"/>
        <w:keepNext/>
      </w:pPr>
      <w:r>
        <w:t>2.6 外部12条序列及组成审计</w:t>
      </w:r>
    </w:p>
    <w:p>
      <w:pPr>
        <w:pStyle w:val="Normal"/>
      </w:pPr>
      <w:r>
        <w:t>外部v0.4稿将12条序列列为CHEL/FRS主集合。由于缺少稳定ID、CHEL/FRS逐行数据和映射文件，无法独立检查其与主要来源12行的对应。采用Python标准库脚本（</w:t>
      </w:r>
      <w:r>
        <w:rPr>
          <w:rFonts w:ascii="Consolas" w:hAnsi="Consolas" w:eastAsia="等线"/>
          <w:shd w:val="clear" w:color="auto" w:fill="F2F4F7"/>
        </w:rPr>
        <w:t>scripts/audit_external_docking_summary.py</w:t>
      </w:r>
      <w:r>
        <w:t>）重算每条序列的长度、组氨酸数、半胱氨酸数、碱性残基数（Arg+Lys）和芳香残基数（Phe+Tyr+Trp）。审计要求12条标准氨基酸序列互不重复、长度为7–9 aa，并与外部组成汇总一致。</w:t>
      </w:r>
    </w:p>
    <w:p>
      <w:pPr>
        <w:pStyle w:val="Heading4"/>
        <w:keepNext/>
      </w:pPr>
      <w:r>
        <w:t>2.7 外部对接汇总</w:t>
      </w:r>
    </w:p>
    <w:p>
      <w:pPr>
        <w:pStyle w:val="Normal"/>
      </w:pPr>
      <w:r>
        <w:t>外部v0.4记录称，使用AutoDock Vina 1.2.5将12条肽对接到人AChE PDB 4EY6，并设置40×40×40 Å³的PAS中心盒 [27,51,52]；其提供均值±SD和PAS/峡谷定位叙述。本研究转录12组均值和SD，核验排序及范围并生成描述性图。</w:t>
      </w:r>
    </w:p>
    <w:p>
      <w:pPr>
        <w:pStyle w:val="Normal"/>
      </w:pPr>
      <w:r>
        <w:t>本研究未重跑对接。经审核的仓库不含受体或配体制备文件、PDBQT输入、精确盒中心、质子化/电荷设置、配置、exhaustiveness、运行数、种子、原始分数、命令、软件环境、日志、构象或相互作用表。因此，所有数值均标为“来源报告”。在缺失运行定义前，SD没有可解释的实验或计算分母。Vina分数未换算为结合亲和力或自由能 [51,52]。导入的PDF作为来源产物保留；修订后的SVG/PNG在图中直接写明报告边界。</w:t>
      </w:r>
    </w:p>
    <w:p>
      <w:pPr>
        <w:pStyle w:val="Normal"/>
      </w:pPr>
      <w:r>
        <w:t>外部记录还描述了未完成的分子动力学尝试。由于不存在坐标、拓扑、参数、日志、能量、检查点或轨迹，该尝试被排除在本研究结果之外，且不表述为已复现工作。</w:t>
      </w:r>
    </w:p>
    <w:p>
      <w:pPr>
        <w:pStyle w:val="Heading4"/>
        <w:keepNext/>
      </w:pPr>
      <w:r>
        <w:t>2.8 描述性统计与审计规则</w:t>
      </w:r>
    </w:p>
    <w:p>
      <w:pPr>
        <w:pStyle w:val="Normal"/>
      </w:pPr>
      <w:r>
        <w:t>计数从A层转录；比例按100×n/N并使用明确分母重算。候选序列是嵌套于样本、基因组和同源序列组的计算记账单位，不是独立生物学重复。在缺少受试者/样本—候选行时，对汇总肽计数进行Fisher或卡方检验将造成伪重复并人为缩小不确定性。因此，本研究不报告健康与牙周炎比较的p值、置信区间、效应量、ROC、功效或多重校正。</w:t>
      </w:r>
    </w:p>
    <w:p>
      <w:pPr>
        <w:pStyle w:val="Normal"/>
      </w:pPr>
      <w:r>
        <w:t>标准库脚本检查分支加和、分子≤分母、NTxPred2已评估/未评估分区、下游单调性、8/12阈值敏感性、序列组成和分数排序。这些属于算术与来源审计，不是生物学管线或对接的独立复现。</w:t>
      </w:r>
    </w:p>
    <w:p>
      <w:pPr>
        <w:pStyle w:val="Heading4"/>
        <w:keepNext/>
      </w:pPr>
      <w:r>
        <w:t>2.9 文献与报告完整性</w:t>
      </w:r>
    </w:p>
    <w:p>
      <w:pPr>
        <w:pStyle w:val="Normal"/>
      </w:pPr>
      <w:r>
        <w:t>外部文献库未被整库导入。本研究删除重复项、仅对应更正说明的错误标识符、与既往排除文件相关的材料以及未被修订论证使用的参考文献。最终53条文献在英文、中文、核验记录和BibTeX之间进行DOI清单一致性检查。最终Crossmark、更正和撤稿筛查仍由作者在投稿前完成。</w:t>
      </w:r>
    </w:p>
    <w:p>
      <w:pPr>
        <w:pStyle w:val="Heading2"/>
        <w:keepNext/>
        <w:pageBreakBefore/>
      </w:pPr>
      <w:r>
        <w:t>3. Results / 3 结果</w:t>
      </w:r>
    </w:p>
    <w:p>
      <w:pPr>
        <w:pStyle w:val="Heading3"/>
        <w:keepNext/>
      </w:pPr>
      <w:r>
        <w:t>English</w:t>
      </w:r>
    </w:p>
    <w:p>
      <w:pPr>
        <w:pStyle w:val="Heading4"/>
        <w:keepNext/>
      </w:pPr>
      <w:r>
        <w:t>3.1 Evidence filtering reduced each raw smORF library by more than 99.7%</w:t>
      </w:r>
    </w:p>
    <w:p>
      <w:pPr>
        <w:pStyle w:val="Normal"/>
      </w:pPr>
      <w:r>
        <w:t>The healthy and periodontitis branches began with 11,269,961 and 11,721,988 smORFs. Evidence filtering and dereplication retained 31,510 healthy candidates (0.2796%) and 33,786 periodontitis-branch candidates (0.2882%). Short- plus long-branch counts exactly reproduced each filtered total. These percentages describe computational retention, not participant prevalence or disease enrichment.</w:t>
      </w:r>
    </w:p>
    <w:p>
      <w:pPr>
        <w:pStyle w:val="Caption"/>
      </w:pPr>
      <w:r>
        <w:rPr>
          <w:b/>
        </w:rPr>
        <w:t>Table 1. Aggregate candidate libraries and BBB-high outputs</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shd w:val="clear" w:color="auto" w:fill="DCE6F1"/>
            <w:vAlign w:val="center"/>
          </w:tcPr>
          <w:p>
            <w:pPr>
              <w:pStyle w:val="TableText"/>
              <w:spacing w:before="0" w:after="0" w:line="220" w:lineRule="auto"/>
            </w:pPr>
            <w:r>
              <w:rPr>
                <w:sz w:val="17"/>
                <w:szCs w:val="17"/>
              </w:rPr>
              <w:t>Branch</w:t>
            </w:r>
          </w:p>
        </w:tc>
        <w:tc>
          <w:tcPr>
            <w:tcW w:w="1337" w:type="dxa"/>
            <w:shd w:val="clear" w:color="auto" w:fill="DCE6F1"/>
            <w:vAlign w:val="center"/>
          </w:tcPr>
          <w:p>
            <w:pPr>
              <w:pStyle w:val="TableText"/>
              <w:spacing w:before="0" w:after="0" w:line="220" w:lineRule="auto"/>
            </w:pPr>
            <w:r>
              <w:rPr>
                <w:sz w:val="17"/>
                <w:szCs w:val="17"/>
              </w:rPr>
              <w:t>Raw smORFs</w:t>
            </w:r>
          </w:p>
        </w:tc>
        <w:tc>
          <w:tcPr>
            <w:tcW w:w="1337" w:type="dxa"/>
            <w:shd w:val="clear" w:color="auto" w:fill="DCE6F1"/>
            <w:vAlign w:val="center"/>
          </w:tcPr>
          <w:p>
            <w:pPr>
              <w:pStyle w:val="TableText"/>
              <w:spacing w:before="0" w:after="0" w:line="220" w:lineRule="auto"/>
            </w:pPr>
            <w:r>
              <w:rPr>
                <w:sz w:val="17"/>
                <w:szCs w:val="17"/>
              </w:rPr>
              <w:t>Evidence-filtered</w:t>
            </w:r>
          </w:p>
        </w:tc>
        <w:tc>
          <w:tcPr>
            <w:tcW w:w="1337" w:type="dxa"/>
            <w:shd w:val="clear" w:color="auto" w:fill="DCE6F1"/>
            <w:vAlign w:val="center"/>
          </w:tcPr>
          <w:p>
            <w:pPr>
              <w:pStyle w:val="TableText"/>
              <w:spacing w:before="0" w:after="0" w:line="220" w:lineRule="auto"/>
            </w:pPr>
            <w:r>
              <w:rPr>
                <w:sz w:val="17"/>
                <w:szCs w:val="17"/>
              </w:rPr>
              <w:t>Short background (5–30 aa)</w:t>
            </w:r>
          </w:p>
        </w:tc>
        <w:tc>
          <w:tcPr>
            <w:tcW w:w="1337" w:type="dxa"/>
            <w:shd w:val="clear" w:color="auto" w:fill="DCE6F1"/>
            <w:vAlign w:val="center"/>
          </w:tcPr>
          <w:p>
            <w:pPr>
              <w:pStyle w:val="TableText"/>
              <w:spacing w:before="0" w:after="0" w:line="220" w:lineRule="auto"/>
            </w:pPr>
            <w:r>
              <w:rPr>
                <w:sz w:val="17"/>
                <w:szCs w:val="17"/>
              </w:rPr>
              <w:t>BBB-high short, n (%)</w:t>
            </w:r>
          </w:p>
        </w:tc>
        <w:tc>
          <w:tcPr>
            <w:tcW w:w="1337" w:type="dxa"/>
            <w:shd w:val="clear" w:color="auto" w:fill="DCE6F1"/>
            <w:vAlign w:val="center"/>
          </w:tcPr>
          <w:p>
            <w:pPr>
              <w:pStyle w:val="TableText"/>
              <w:spacing w:before="0" w:after="0" w:line="220" w:lineRule="auto"/>
            </w:pPr>
            <w:r>
              <w:rPr>
                <w:sz w:val="17"/>
                <w:szCs w:val="17"/>
              </w:rPr>
              <w:t>Long background (31–50 aa)</w:t>
            </w:r>
          </w:p>
        </w:tc>
        <w:tc>
          <w:tcPr>
            <w:tcW w:w="1337" w:type="dxa"/>
            <w:shd w:val="clear" w:color="auto" w:fill="DCE6F1"/>
            <w:vAlign w:val="center"/>
          </w:tcPr>
          <w:p>
            <w:pPr>
              <w:pStyle w:val="TableText"/>
              <w:spacing w:before="0" w:after="0" w:line="220" w:lineRule="auto"/>
            </w:pPr>
            <w:r>
              <w:rPr>
                <w:sz w:val="17"/>
                <w:szCs w:val="17"/>
              </w:rPr>
              <w:t>BBB-high long, n (%)</w:t>
            </w:r>
          </w:p>
        </w:tc>
      </w:tr>
      <w:tr>
        <w:tc>
          <w:tcPr>
            <w:tcW w:w="1337" w:type="dxa"/>
            <w:vAlign w:val="center"/>
          </w:tcPr>
          <w:p>
            <w:pPr>
              <w:pStyle w:val="TableText"/>
              <w:spacing w:before="0" w:after="0" w:line="220" w:lineRule="auto"/>
            </w:pPr>
            <w:r>
              <w:rPr>
                <w:sz w:val="17"/>
                <w:szCs w:val="17"/>
              </w:rPr>
              <w:t>Healthy</w:t>
            </w:r>
          </w:p>
        </w:tc>
        <w:tc>
          <w:tcPr>
            <w:tcW w:w="1337" w:type="dxa"/>
            <w:vAlign w:val="center"/>
          </w:tcPr>
          <w:p>
            <w:pPr>
              <w:pStyle w:val="TableText"/>
              <w:spacing w:before="0" w:after="0" w:line="220" w:lineRule="auto"/>
            </w:pPr>
            <w:r>
              <w:rPr>
                <w:sz w:val="17"/>
                <w:szCs w:val="17"/>
              </w:rPr>
              <w:t>11,269,961</w:t>
            </w:r>
          </w:p>
        </w:tc>
        <w:tc>
          <w:tcPr>
            <w:tcW w:w="1337" w:type="dxa"/>
            <w:vAlign w:val="center"/>
          </w:tcPr>
          <w:p>
            <w:pPr>
              <w:pStyle w:val="TableText"/>
              <w:spacing w:before="0" w:after="0" w:line="220" w:lineRule="auto"/>
            </w:pPr>
            <w:r>
              <w:rPr>
                <w:sz w:val="17"/>
                <w:szCs w:val="17"/>
              </w:rPr>
              <w:t>31,510</w:t>
            </w:r>
          </w:p>
        </w:tc>
        <w:tc>
          <w:tcPr>
            <w:tcW w:w="1337" w:type="dxa"/>
            <w:vAlign w:val="center"/>
          </w:tcPr>
          <w:p>
            <w:pPr>
              <w:pStyle w:val="TableText"/>
              <w:spacing w:before="0" w:after="0" w:line="220" w:lineRule="auto"/>
            </w:pPr>
            <w:r>
              <w:rPr>
                <w:sz w:val="17"/>
                <w:szCs w:val="17"/>
              </w:rPr>
              <w:t>30,557</w:t>
            </w:r>
          </w:p>
        </w:tc>
        <w:tc>
          <w:tcPr>
            <w:tcW w:w="1337" w:type="dxa"/>
            <w:vAlign w:val="center"/>
          </w:tcPr>
          <w:p>
            <w:pPr>
              <w:pStyle w:val="TableText"/>
              <w:spacing w:before="0" w:after="0" w:line="220" w:lineRule="auto"/>
            </w:pPr>
            <w:r>
              <w:rPr>
                <w:sz w:val="17"/>
                <w:szCs w:val="17"/>
              </w:rPr>
              <w:t>3,359 (10.99)</w:t>
            </w:r>
          </w:p>
        </w:tc>
        <w:tc>
          <w:tcPr>
            <w:tcW w:w="1337" w:type="dxa"/>
            <w:vAlign w:val="center"/>
          </w:tcPr>
          <w:p>
            <w:pPr>
              <w:pStyle w:val="TableText"/>
              <w:spacing w:before="0" w:after="0" w:line="220" w:lineRule="auto"/>
            </w:pPr>
            <w:r>
              <w:rPr>
                <w:sz w:val="17"/>
                <w:szCs w:val="17"/>
              </w:rPr>
              <w:t>953</w:t>
            </w:r>
          </w:p>
        </w:tc>
        <w:tc>
          <w:tcPr>
            <w:tcW w:w="1337" w:type="dxa"/>
            <w:vAlign w:val="center"/>
          </w:tcPr>
          <w:p>
            <w:pPr>
              <w:pStyle w:val="TableText"/>
              <w:spacing w:before="0" w:after="0" w:line="220" w:lineRule="auto"/>
            </w:pPr>
            <w:r>
              <w:rPr>
                <w:sz w:val="17"/>
                <w:szCs w:val="17"/>
              </w:rPr>
              <w:t>40 (4.20)</w:t>
            </w:r>
          </w:p>
        </w:tc>
      </w:tr>
      <w:tr>
        <w:tc>
          <w:tcPr>
            <w:tcW w:w="1337" w:type="dxa"/>
            <w:vAlign w:val="center"/>
          </w:tcPr>
          <w:p>
            <w:pPr>
              <w:pStyle w:val="TableText"/>
              <w:spacing w:before="0" w:after="0" w:line="220" w:lineRule="auto"/>
            </w:pPr>
            <w:r>
              <w:rPr>
                <w:sz w:val="17"/>
                <w:szCs w:val="17"/>
              </w:rPr>
              <w:t>Periodontitis cohort</w:t>
            </w:r>
          </w:p>
        </w:tc>
        <w:tc>
          <w:tcPr>
            <w:tcW w:w="1337" w:type="dxa"/>
            <w:vAlign w:val="center"/>
          </w:tcPr>
          <w:p>
            <w:pPr>
              <w:pStyle w:val="TableText"/>
              <w:spacing w:before="0" w:after="0" w:line="220" w:lineRule="auto"/>
            </w:pPr>
            <w:r>
              <w:rPr>
                <w:sz w:val="17"/>
                <w:szCs w:val="17"/>
              </w:rPr>
              <w:t>11,721,988</w:t>
            </w:r>
          </w:p>
        </w:tc>
        <w:tc>
          <w:tcPr>
            <w:tcW w:w="1337" w:type="dxa"/>
            <w:vAlign w:val="center"/>
          </w:tcPr>
          <w:p>
            <w:pPr>
              <w:pStyle w:val="TableText"/>
              <w:spacing w:before="0" w:after="0" w:line="220" w:lineRule="auto"/>
            </w:pPr>
            <w:r>
              <w:rPr>
                <w:sz w:val="17"/>
                <w:szCs w:val="17"/>
              </w:rPr>
              <w:t>33,786</w:t>
            </w:r>
          </w:p>
        </w:tc>
        <w:tc>
          <w:tcPr>
            <w:tcW w:w="1337" w:type="dxa"/>
            <w:vAlign w:val="center"/>
          </w:tcPr>
          <w:p>
            <w:pPr>
              <w:pStyle w:val="TableText"/>
              <w:spacing w:before="0" w:after="0" w:line="220" w:lineRule="auto"/>
            </w:pPr>
            <w:r>
              <w:rPr>
                <w:sz w:val="17"/>
                <w:szCs w:val="17"/>
              </w:rPr>
              <w:t>32,754</w:t>
            </w:r>
          </w:p>
        </w:tc>
        <w:tc>
          <w:tcPr>
            <w:tcW w:w="1337" w:type="dxa"/>
            <w:vAlign w:val="center"/>
          </w:tcPr>
          <w:p>
            <w:pPr>
              <w:pStyle w:val="TableText"/>
              <w:spacing w:before="0" w:after="0" w:line="220" w:lineRule="auto"/>
            </w:pPr>
            <w:r>
              <w:rPr>
                <w:sz w:val="17"/>
                <w:szCs w:val="17"/>
              </w:rPr>
              <w:t>3,446 (10.52)</w:t>
            </w:r>
          </w:p>
        </w:tc>
        <w:tc>
          <w:tcPr>
            <w:tcW w:w="1337" w:type="dxa"/>
            <w:vAlign w:val="center"/>
          </w:tcPr>
          <w:p>
            <w:pPr>
              <w:pStyle w:val="TableText"/>
              <w:spacing w:before="0" w:after="0" w:line="220" w:lineRule="auto"/>
            </w:pPr>
            <w:r>
              <w:rPr>
                <w:sz w:val="17"/>
                <w:szCs w:val="17"/>
              </w:rPr>
              <w:t>1,032</w:t>
            </w:r>
          </w:p>
        </w:tc>
        <w:tc>
          <w:tcPr>
            <w:tcW w:w="1337" w:type="dxa"/>
            <w:vAlign w:val="center"/>
          </w:tcPr>
          <w:p>
            <w:pPr>
              <w:pStyle w:val="TableText"/>
              <w:spacing w:before="0" w:after="0" w:line="220" w:lineRule="auto"/>
            </w:pPr>
            <w:r>
              <w:rPr>
                <w:sz w:val="17"/>
                <w:szCs w:val="17"/>
              </w:rPr>
              <w:t>72 (6.98)</w:t>
            </w:r>
          </w:p>
        </w:tc>
      </w:tr>
    </w:tbl>
    <w:p>
      <w:pPr>
        <w:spacing w:after="40"/>
      </w:pPr>
    </w:p>
    <w:p>
      <w:pPr>
        <w:pStyle w:val="Heading4"/>
        <w:keepNext/>
      </w:pPr>
      <w:r>
        <w:t>3.2 BBB-high rates differed descriptively by length branch</w:t>
      </w:r>
    </w:p>
    <w:p>
      <w:pPr>
        <w:pStyle w:val="Normal"/>
      </w:pPr>
      <w:r>
        <w:t>The short-branch BBB-high rates were 10.99% in healthy and 10.52% in periodontitis, whereas the long-branch rates were 4.20% and 6.98%. The periodontitis branch contributed 3,446 short and 72 long BBB-high outputs, for a combined 3,518. Short candidates constituted 3,446/3,518 (97.95%), and long candidates 72/3,518 (2.05%). These parallel proportions were not subjected to inferential testing because candidate-level independence was not established.</w:t>
      </w:r>
    </w:p>
    <w:p>
      <w:pPr>
        <w:pStyle w:val="Normal"/>
      </w:pPr>
      <w:r>
        <w:t>The principal record’s short-candidate length summary contained 547 sequences at 5–7 aa, 2,893 at 8–15 aa, and 6 at 16–30 aa; the 72 long candidates were 31–50 aa. Thus, the periodontitis BBB-high set was dominated by short sequences, but the missing row-level identities prevented overlap, taxonomic, and participant-distribution analyses.</w:t>
      </w:r>
    </w:p>
    <w:p>
      <w:pPr>
        <w:pStyle w:val="Heading4"/>
        <w:keepNext/>
      </w:pPr>
      <w:r>
        <w:t>3.3 Multi-activity outputs included a saturation warning</w:t>
      </w:r>
    </w:p>
    <w:p>
      <w:pPr>
        <w:pStyle w:val="Normal"/>
      </w:pPr>
      <w:r>
        <w:t>The complete UniDL4BioPep category summaries are preserved in the supplement. One distribution is particularly important for interpretation: 30,537/30,557 healthy short candidates (99.93%) and 32,721/32,754 periodontitis short candidates (99.90%) were model-positive for the broad antimicrobial label. Near-universal positivity under a common 0.80 threshold is not a plausible estimate of experimentally active oral antibiotics. It signals possible sequence-domain shift, task calibration limitations, or a label-specific threshold problem and argues against treating cross-model agreement as independent validation.</w:t>
      </w:r>
    </w:p>
    <w:p>
      <w:pPr>
        <w:pStyle w:val="Heading4"/>
        <w:keepNext/>
      </w:pPr>
      <w:r>
        <w:t>3.4 The periodontitis branch narrowed from 3,518 BBB-high candidates to 12/8 source-reported endpoints</w:t>
      </w:r>
    </w:p>
    <w:p>
      <w:pPr>
        <w:pStyle w:val="Normal"/>
      </w:pPr>
      <w:r>
        <w:t>NTxPred2 evaluated 3,299/3,518 candidates (93.77%); 219/3,518 (6.23%) fell below the stated model range and were not evaluated. Among evaluated candidates, 923/3,299 (27.98%) were predicted positive. The principal record then reported 111 mebipred-positive candidates. Of these, 15/111 (13.51%) met CHEL≥0.25, 12/111 (10.81%) additionally met FRS&lt;0.50, and 8/111 (7.21%) met FRS&lt;0.45. Tightening FRS retained 8/12 (66.67%) of the main count.</w:t>
      </w:r>
    </w:p>
    <w:p>
      <w:pPr>
        <w:pStyle w:val="Caption"/>
      </w:pPr>
      <w:r>
        <w:rPr>
          <w:b/>
        </w:rPr>
        <w:t>Table 2. Aggregate periodontitis-branch prioritization record</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2340"/>
        <w:gridCol w:w="2340"/>
        <w:gridCol w:w="2340"/>
        <w:gridCol w:w="2340"/>
      </w:tblGrid>
      <w:tr>
        <w:trPr>
          <w:tblHeader/>
        </w:trPr>
        <w:tc>
          <w:tcPr>
            <w:tcW w:w="2340" w:type="dxa"/>
            <w:shd w:val="clear" w:color="auto" w:fill="DCE6F1"/>
            <w:vAlign w:val="center"/>
          </w:tcPr>
          <w:p>
            <w:pPr>
              <w:pStyle w:val="TableText"/>
              <w:spacing w:before="0" w:after="0" w:line="220" w:lineRule="auto"/>
            </w:pPr>
            <w:r>
              <w:rPr>
                <w:sz w:val="17"/>
                <w:szCs w:val="17"/>
              </w:rPr>
              <w:t>Stage</w:t>
            </w:r>
          </w:p>
        </w:tc>
        <w:tc>
          <w:tcPr>
            <w:tcW w:w="2340" w:type="dxa"/>
            <w:shd w:val="clear" w:color="auto" w:fill="DCE6F1"/>
            <w:vAlign w:val="center"/>
          </w:tcPr>
          <w:p>
            <w:pPr>
              <w:pStyle w:val="TableText"/>
              <w:spacing w:before="0" w:after="0" w:line="220" w:lineRule="auto"/>
            </w:pPr>
            <w:r>
              <w:rPr>
                <w:sz w:val="17"/>
                <w:szCs w:val="17"/>
              </w:rPr>
              <w:t>Operational rule</w:t>
            </w:r>
          </w:p>
        </w:tc>
        <w:tc>
          <w:tcPr>
            <w:tcW w:w="2340" w:type="dxa"/>
            <w:shd w:val="clear" w:color="auto" w:fill="DCE6F1"/>
            <w:vAlign w:val="center"/>
          </w:tcPr>
          <w:p>
            <w:pPr>
              <w:pStyle w:val="TableText"/>
              <w:spacing w:before="0" w:after="0" w:line="220" w:lineRule="auto"/>
            </w:pPr>
            <w:r>
              <w:rPr>
                <w:sz w:val="17"/>
                <w:szCs w:val="17"/>
              </w:rPr>
              <w:t>n</w:t>
            </w:r>
          </w:p>
        </w:tc>
        <w:tc>
          <w:tcPr>
            <w:tcW w:w="2340" w:type="dxa"/>
            <w:shd w:val="clear" w:color="auto" w:fill="DCE6F1"/>
            <w:vAlign w:val="center"/>
          </w:tcPr>
          <w:p>
            <w:pPr>
              <w:pStyle w:val="TableText"/>
              <w:spacing w:before="0" w:after="0" w:line="220" w:lineRule="auto"/>
            </w:pPr>
            <w:r>
              <w:rPr>
                <w:sz w:val="17"/>
                <w:szCs w:val="17"/>
              </w:rPr>
              <w:t>Auditable denominator/status</w:t>
            </w:r>
          </w:p>
        </w:tc>
      </w:tr>
      <w:tr>
        <w:tc>
          <w:tcPr>
            <w:tcW w:w="2340" w:type="dxa"/>
            <w:vAlign w:val="center"/>
          </w:tcPr>
          <w:p>
            <w:pPr>
              <w:pStyle w:val="TableText"/>
              <w:spacing w:before="0" w:after="0" w:line="220" w:lineRule="auto"/>
            </w:pPr>
            <w:r>
              <w:rPr>
                <w:sz w:val="17"/>
                <w:szCs w:val="17"/>
              </w:rPr>
              <w:t>BBB-high short</w:t>
            </w:r>
          </w:p>
        </w:tc>
        <w:tc>
          <w:tcPr>
            <w:tcW w:w="2340" w:type="dxa"/>
            <w:vAlign w:val="center"/>
          </w:tcPr>
          <w:p>
            <w:pPr>
              <w:pStyle w:val="TableText"/>
              <w:spacing w:before="0" w:after="0" w:line="220" w:lineRule="auto"/>
            </w:pPr>
            <w:r>
              <w:rPr>
                <w:sz w:val="17"/>
                <w:szCs w:val="17"/>
              </w:rPr>
              <w:t>UniDL4BioPep BBB output≥0.80; 5–30 aa</w:t>
            </w:r>
          </w:p>
        </w:tc>
        <w:tc>
          <w:tcPr>
            <w:tcW w:w="2340" w:type="dxa"/>
            <w:vAlign w:val="center"/>
          </w:tcPr>
          <w:p>
            <w:pPr>
              <w:pStyle w:val="TableText"/>
              <w:spacing w:before="0" w:after="0" w:line="220" w:lineRule="auto"/>
            </w:pPr>
            <w:r>
              <w:rPr>
                <w:sz w:val="17"/>
                <w:szCs w:val="17"/>
              </w:rPr>
              <w:t>3,446</w:t>
            </w:r>
          </w:p>
        </w:tc>
        <w:tc>
          <w:tcPr>
            <w:tcW w:w="2340" w:type="dxa"/>
            <w:vAlign w:val="center"/>
          </w:tcPr>
          <w:p>
            <w:pPr>
              <w:pStyle w:val="TableText"/>
              <w:spacing w:before="0" w:after="0" w:line="220" w:lineRule="auto"/>
            </w:pPr>
            <w:r>
              <w:rPr>
                <w:sz w:val="17"/>
                <w:szCs w:val="17"/>
              </w:rPr>
              <w:t>32,754 short candidates</w:t>
            </w:r>
          </w:p>
        </w:tc>
      </w:tr>
      <w:tr>
        <w:tc>
          <w:tcPr>
            <w:tcW w:w="2340" w:type="dxa"/>
            <w:vAlign w:val="center"/>
          </w:tcPr>
          <w:p>
            <w:pPr>
              <w:pStyle w:val="TableText"/>
              <w:spacing w:before="0" w:after="0" w:line="220" w:lineRule="auto"/>
            </w:pPr>
            <w:r>
              <w:rPr>
                <w:sz w:val="17"/>
                <w:szCs w:val="17"/>
              </w:rPr>
              <w:t>BBB-high long</w:t>
            </w:r>
          </w:p>
        </w:tc>
        <w:tc>
          <w:tcPr>
            <w:tcW w:w="2340" w:type="dxa"/>
            <w:vAlign w:val="center"/>
          </w:tcPr>
          <w:p>
            <w:pPr>
              <w:pStyle w:val="TableText"/>
              <w:spacing w:before="0" w:after="0" w:line="220" w:lineRule="auto"/>
            </w:pPr>
            <w:r>
              <w:rPr>
                <w:sz w:val="17"/>
                <w:szCs w:val="17"/>
              </w:rPr>
              <w:t>UniDL4BioPep BBB output≥0.80; 31–50 aa</w:t>
            </w:r>
          </w:p>
        </w:tc>
        <w:tc>
          <w:tcPr>
            <w:tcW w:w="2340" w:type="dxa"/>
            <w:vAlign w:val="center"/>
          </w:tcPr>
          <w:p>
            <w:pPr>
              <w:pStyle w:val="TableText"/>
              <w:spacing w:before="0" w:after="0" w:line="220" w:lineRule="auto"/>
            </w:pPr>
            <w:r>
              <w:rPr>
                <w:sz w:val="17"/>
                <w:szCs w:val="17"/>
              </w:rPr>
              <w:t>72</w:t>
            </w:r>
          </w:p>
        </w:tc>
        <w:tc>
          <w:tcPr>
            <w:tcW w:w="2340" w:type="dxa"/>
            <w:vAlign w:val="center"/>
          </w:tcPr>
          <w:p>
            <w:pPr>
              <w:pStyle w:val="TableText"/>
              <w:spacing w:before="0" w:after="0" w:line="220" w:lineRule="auto"/>
            </w:pPr>
            <w:r>
              <w:rPr>
                <w:sz w:val="17"/>
                <w:szCs w:val="17"/>
              </w:rPr>
              <w:t>1,032 long candidates</w:t>
            </w:r>
          </w:p>
        </w:tc>
      </w:tr>
      <w:tr>
        <w:tc>
          <w:tcPr>
            <w:tcW w:w="2340" w:type="dxa"/>
            <w:vAlign w:val="center"/>
          </w:tcPr>
          <w:p>
            <w:pPr>
              <w:pStyle w:val="TableText"/>
              <w:spacing w:before="0" w:after="0" w:line="220" w:lineRule="auto"/>
            </w:pPr>
            <w:r>
              <w:rPr>
                <w:sz w:val="17"/>
                <w:szCs w:val="17"/>
              </w:rPr>
              <w:t>BBB-high total</w:t>
            </w:r>
          </w:p>
        </w:tc>
        <w:tc>
          <w:tcPr>
            <w:tcW w:w="2340" w:type="dxa"/>
            <w:vAlign w:val="center"/>
          </w:tcPr>
          <w:p>
            <w:pPr>
              <w:pStyle w:val="TableText"/>
              <w:spacing w:before="0" w:after="0" w:line="220" w:lineRule="auto"/>
            </w:pPr>
            <w:r>
              <w:rPr>
                <w:sz w:val="17"/>
                <w:szCs w:val="17"/>
              </w:rPr>
              <w:t>Short + long</w:t>
            </w:r>
          </w:p>
        </w:tc>
        <w:tc>
          <w:tcPr>
            <w:tcW w:w="2340" w:type="dxa"/>
            <w:vAlign w:val="center"/>
          </w:tcPr>
          <w:p>
            <w:pPr>
              <w:pStyle w:val="TableText"/>
              <w:spacing w:before="0" w:after="0" w:line="220" w:lineRule="auto"/>
            </w:pPr>
            <w:r>
              <w:rPr>
                <w:sz w:val="17"/>
                <w:szCs w:val="17"/>
              </w:rPr>
              <w:t>3,518</w:t>
            </w:r>
          </w:p>
        </w:tc>
        <w:tc>
          <w:tcPr>
            <w:tcW w:w="2340" w:type="dxa"/>
            <w:vAlign w:val="center"/>
          </w:tcPr>
          <w:p>
            <w:pPr>
              <w:pStyle w:val="TableText"/>
              <w:spacing w:before="0" w:after="0" w:line="220" w:lineRule="auto"/>
            </w:pPr>
            <w:r>
              <w:rPr>
                <w:sz w:val="17"/>
                <w:szCs w:val="17"/>
              </w:rPr>
              <w:t>Arithmetic sum</w:t>
            </w:r>
          </w:p>
        </w:tc>
      </w:tr>
      <w:tr>
        <w:tc>
          <w:tcPr>
            <w:tcW w:w="2340" w:type="dxa"/>
            <w:vAlign w:val="center"/>
          </w:tcPr>
          <w:p>
            <w:pPr>
              <w:pStyle w:val="TableText"/>
              <w:spacing w:before="0" w:after="0" w:line="220" w:lineRule="auto"/>
            </w:pPr>
            <w:r>
              <w:rPr>
                <w:sz w:val="17"/>
                <w:szCs w:val="17"/>
              </w:rPr>
              <w:t>NTxPred2 evaluated</w:t>
            </w:r>
          </w:p>
        </w:tc>
        <w:tc>
          <w:tcPr>
            <w:tcW w:w="2340" w:type="dxa"/>
            <w:vAlign w:val="center"/>
          </w:tcPr>
          <w:p>
            <w:pPr>
              <w:pStyle w:val="TableText"/>
              <w:spacing w:before="0" w:after="0" w:line="220" w:lineRule="auto"/>
            </w:pPr>
            <w:r>
              <w:rPr>
                <w:sz w:val="17"/>
                <w:szCs w:val="17"/>
              </w:rPr>
              <w:t>Stated range 7–50 aa</w:t>
            </w:r>
          </w:p>
        </w:tc>
        <w:tc>
          <w:tcPr>
            <w:tcW w:w="2340" w:type="dxa"/>
            <w:vAlign w:val="center"/>
          </w:tcPr>
          <w:p>
            <w:pPr>
              <w:pStyle w:val="TableText"/>
              <w:spacing w:before="0" w:after="0" w:line="220" w:lineRule="auto"/>
            </w:pPr>
            <w:r>
              <w:rPr>
                <w:sz w:val="17"/>
                <w:szCs w:val="17"/>
              </w:rPr>
              <w:t>3,299</w:t>
            </w:r>
          </w:p>
        </w:tc>
        <w:tc>
          <w:tcPr>
            <w:tcW w:w="2340" w:type="dxa"/>
            <w:vAlign w:val="center"/>
          </w:tcPr>
          <w:p>
            <w:pPr>
              <w:pStyle w:val="TableText"/>
              <w:spacing w:before="0" w:after="0" w:line="220" w:lineRule="auto"/>
            </w:pPr>
            <w:r>
              <w:rPr>
                <w:sz w:val="17"/>
                <w:szCs w:val="17"/>
              </w:rPr>
              <w:t>3,518 BBB-high candidates</w:t>
            </w:r>
          </w:p>
        </w:tc>
      </w:tr>
      <w:tr>
        <w:tc>
          <w:tcPr>
            <w:tcW w:w="2340" w:type="dxa"/>
            <w:vAlign w:val="center"/>
          </w:tcPr>
          <w:p>
            <w:pPr>
              <w:pStyle w:val="TableText"/>
              <w:spacing w:before="0" w:after="0" w:line="220" w:lineRule="auto"/>
            </w:pPr>
            <w:r>
              <w:rPr>
                <w:sz w:val="17"/>
                <w:szCs w:val="17"/>
              </w:rPr>
              <w:t>NTxPred2 not evaluated</w:t>
            </w:r>
          </w:p>
        </w:tc>
        <w:tc>
          <w:tcPr>
            <w:tcW w:w="2340" w:type="dxa"/>
            <w:vAlign w:val="center"/>
          </w:tcPr>
          <w:p>
            <w:pPr>
              <w:pStyle w:val="TableText"/>
              <w:spacing w:before="0" w:after="0" w:line="220" w:lineRule="auto"/>
            </w:pPr>
            <w:r>
              <w:rPr>
                <w:sz w:val="17"/>
                <w:szCs w:val="17"/>
              </w:rPr>
              <w:t>Below stated range</w:t>
            </w:r>
          </w:p>
        </w:tc>
        <w:tc>
          <w:tcPr>
            <w:tcW w:w="2340" w:type="dxa"/>
            <w:vAlign w:val="center"/>
          </w:tcPr>
          <w:p>
            <w:pPr>
              <w:pStyle w:val="TableText"/>
              <w:spacing w:before="0" w:after="0" w:line="220" w:lineRule="auto"/>
            </w:pPr>
            <w:r>
              <w:rPr>
                <w:sz w:val="17"/>
                <w:szCs w:val="17"/>
              </w:rPr>
              <w:t>219</w:t>
            </w:r>
          </w:p>
        </w:tc>
        <w:tc>
          <w:tcPr>
            <w:tcW w:w="2340" w:type="dxa"/>
            <w:vAlign w:val="center"/>
          </w:tcPr>
          <w:p>
            <w:pPr>
              <w:pStyle w:val="TableText"/>
              <w:spacing w:before="0" w:after="0" w:line="220" w:lineRule="auto"/>
            </w:pPr>
            <w:r>
              <w:rPr>
                <w:sz w:val="17"/>
                <w:szCs w:val="17"/>
              </w:rPr>
              <w:t>3,518 BBB-high candidates</w:t>
            </w:r>
          </w:p>
        </w:tc>
      </w:tr>
      <w:tr>
        <w:tc>
          <w:tcPr>
            <w:tcW w:w="2340" w:type="dxa"/>
            <w:vAlign w:val="center"/>
          </w:tcPr>
          <w:p>
            <w:pPr>
              <w:pStyle w:val="TableText"/>
              <w:spacing w:before="0" w:after="0" w:line="220" w:lineRule="auto"/>
            </w:pPr>
            <w:r>
              <w:rPr>
                <w:sz w:val="17"/>
                <w:szCs w:val="17"/>
              </w:rPr>
              <w:t>NTxPred2-positive</w:t>
            </w:r>
          </w:p>
        </w:tc>
        <w:tc>
          <w:tcPr>
            <w:tcW w:w="2340" w:type="dxa"/>
            <w:vAlign w:val="center"/>
          </w:tcPr>
          <w:p>
            <w:pPr>
              <w:pStyle w:val="TableText"/>
              <w:spacing w:before="0" w:after="0" w:line="220" w:lineRule="auto"/>
            </w:pPr>
            <w:r>
              <w:rPr>
                <w:sz w:val="17"/>
                <w:szCs w:val="17"/>
              </w:rPr>
              <w:t>Source model label</w:t>
            </w:r>
          </w:p>
        </w:tc>
        <w:tc>
          <w:tcPr>
            <w:tcW w:w="2340" w:type="dxa"/>
            <w:vAlign w:val="center"/>
          </w:tcPr>
          <w:p>
            <w:pPr>
              <w:pStyle w:val="TableText"/>
              <w:spacing w:before="0" w:after="0" w:line="220" w:lineRule="auto"/>
            </w:pPr>
            <w:r>
              <w:rPr>
                <w:sz w:val="17"/>
                <w:szCs w:val="17"/>
              </w:rPr>
              <w:t>923</w:t>
            </w:r>
          </w:p>
        </w:tc>
        <w:tc>
          <w:tcPr>
            <w:tcW w:w="2340" w:type="dxa"/>
            <w:vAlign w:val="center"/>
          </w:tcPr>
          <w:p>
            <w:pPr>
              <w:pStyle w:val="TableText"/>
              <w:spacing w:before="0" w:after="0" w:line="220" w:lineRule="auto"/>
            </w:pPr>
            <w:r>
              <w:rPr>
                <w:sz w:val="17"/>
                <w:szCs w:val="17"/>
              </w:rPr>
              <w:t>3,299 evaluated candidates</w:t>
            </w:r>
          </w:p>
        </w:tc>
      </w:tr>
      <w:tr>
        <w:tc>
          <w:tcPr>
            <w:tcW w:w="2340" w:type="dxa"/>
            <w:vAlign w:val="center"/>
          </w:tcPr>
          <w:p>
            <w:pPr>
              <w:pStyle w:val="TableText"/>
              <w:spacing w:before="0" w:after="0" w:line="220" w:lineRule="auto"/>
            </w:pPr>
            <w:r>
              <w:rPr>
                <w:sz w:val="17"/>
                <w:szCs w:val="17"/>
              </w:rPr>
              <w:t>Metal-binding-positive</w:t>
            </w:r>
          </w:p>
        </w:tc>
        <w:tc>
          <w:tcPr>
            <w:tcW w:w="2340" w:type="dxa"/>
            <w:vAlign w:val="center"/>
          </w:tcPr>
          <w:p>
            <w:pPr>
              <w:pStyle w:val="TableText"/>
              <w:spacing w:before="0" w:after="0" w:line="220" w:lineRule="auto"/>
            </w:pPr>
            <w:r>
              <w:rPr>
                <w:sz w:val="17"/>
                <w:szCs w:val="17"/>
              </w:rPr>
              <w:t>Mebipred output≥0.50</w:t>
            </w:r>
          </w:p>
        </w:tc>
        <w:tc>
          <w:tcPr>
            <w:tcW w:w="2340" w:type="dxa"/>
            <w:vAlign w:val="center"/>
          </w:tcPr>
          <w:p>
            <w:pPr>
              <w:pStyle w:val="TableText"/>
              <w:spacing w:before="0" w:after="0" w:line="220" w:lineRule="auto"/>
            </w:pPr>
            <w:r>
              <w:rPr>
                <w:sz w:val="17"/>
                <w:szCs w:val="17"/>
              </w:rPr>
              <w:t>111</w:t>
            </w:r>
          </w:p>
        </w:tc>
        <w:tc>
          <w:tcPr>
            <w:tcW w:w="2340" w:type="dxa"/>
            <w:vAlign w:val="center"/>
          </w:tcPr>
          <w:p>
            <w:pPr>
              <w:pStyle w:val="TableText"/>
              <w:spacing w:before="0" w:after="0" w:line="220" w:lineRule="auto"/>
            </w:pPr>
            <w:r>
              <w:rPr>
                <w:sz w:val="17"/>
                <w:szCs w:val="17"/>
              </w:rPr>
              <w:t>Source-reported downstream count; row-level handoff absent</w:t>
            </w:r>
          </w:p>
        </w:tc>
      </w:tr>
      <w:tr>
        <w:tc>
          <w:tcPr>
            <w:tcW w:w="2340" w:type="dxa"/>
            <w:vAlign w:val="center"/>
          </w:tcPr>
          <w:p>
            <w:pPr>
              <w:pStyle w:val="TableText"/>
              <w:spacing w:before="0" w:after="0" w:line="220" w:lineRule="auto"/>
            </w:pPr>
            <w:r>
              <w:rPr>
                <w:sz w:val="17"/>
                <w:szCs w:val="17"/>
              </w:rPr>
              <w:t>CHEL-priority</w:t>
            </w:r>
          </w:p>
        </w:tc>
        <w:tc>
          <w:tcPr>
            <w:tcW w:w="2340" w:type="dxa"/>
            <w:vAlign w:val="center"/>
          </w:tcPr>
          <w:p>
            <w:pPr>
              <w:pStyle w:val="TableText"/>
              <w:spacing w:before="0" w:after="0" w:line="220" w:lineRule="auto"/>
            </w:pPr>
            <w:r>
              <w:rPr>
                <w:sz w:val="17"/>
                <w:szCs w:val="17"/>
              </w:rPr>
              <w:t>CHEL≥0.25</w:t>
            </w:r>
          </w:p>
        </w:tc>
        <w:tc>
          <w:tcPr>
            <w:tcW w:w="2340" w:type="dxa"/>
            <w:vAlign w:val="center"/>
          </w:tcPr>
          <w:p>
            <w:pPr>
              <w:pStyle w:val="TableText"/>
              <w:spacing w:before="0" w:after="0" w:line="220" w:lineRule="auto"/>
            </w:pPr>
            <w:r>
              <w:rPr>
                <w:sz w:val="17"/>
                <w:szCs w:val="17"/>
              </w:rPr>
              <w:t>15</w:t>
            </w:r>
          </w:p>
        </w:tc>
        <w:tc>
          <w:tcPr>
            <w:tcW w:w="2340" w:type="dxa"/>
            <w:vAlign w:val="center"/>
          </w:tcPr>
          <w:p>
            <w:pPr>
              <w:pStyle w:val="TableText"/>
              <w:spacing w:before="0" w:after="0" w:line="220" w:lineRule="auto"/>
            </w:pPr>
            <w:r>
              <w:rPr>
                <w:sz w:val="17"/>
                <w:szCs w:val="17"/>
              </w:rPr>
              <w:t>111 reported metal-positive candidates</w:t>
            </w:r>
          </w:p>
        </w:tc>
      </w:tr>
      <w:tr>
        <w:tc>
          <w:tcPr>
            <w:tcW w:w="2340" w:type="dxa"/>
            <w:vAlign w:val="center"/>
          </w:tcPr>
          <w:p>
            <w:pPr>
              <w:pStyle w:val="TableText"/>
              <w:spacing w:before="0" w:after="0" w:line="220" w:lineRule="auto"/>
            </w:pPr>
            <w:r>
              <w:rPr>
                <w:sz w:val="17"/>
                <w:szCs w:val="17"/>
              </w:rPr>
              <w:t>Main set</w:t>
            </w:r>
          </w:p>
        </w:tc>
        <w:tc>
          <w:tcPr>
            <w:tcW w:w="2340" w:type="dxa"/>
            <w:vAlign w:val="center"/>
          </w:tcPr>
          <w:p>
            <w:pPr>
              <w:pStyle w:val="TableText"/>
              <w:spacing w:before="0" w:after="0" w:line="220" w:lineRule="auto"/>
            </w:pPr>
            <w:r>
              <w:rPr>
                <w:sz w:val="17"/>
                <w:szCs w:val="17"/>
              </w:rPr>
              <w:t>CHEL≥0.25 and FRS&lt;0.50</w:t>
            </w:r>
          </w:p>
        </w:tc>
        <w:tc>
          <w:tcPr>
            <w:tcW w:w="2340" w:type="dxa"/>
            <w:vAlign w:val="center"/>
          </w:tcPr>
          <w:p>
            <w:pPr>
              <w:pStyle w:val="TableText"/>
              <w:spacing w:before="0" w:after="0" w:line="220" w:lineRule="auto"/>
            </w:pPr>
            <w:r>
              <w:rPr>
                <w:sz w:val="17"/>
                <w:szCs w:val="17"/>
              </w:rPr>
              <w:t>12</w:t>
            </w:r>
          </w:p>
        </w:tc>
        <w:tc>
          <w:tcPr>
            <w:tcW w:w="2340" w:type="dxa"/>
            <w:vAlign w:val="center"/>
          </w:tcPr>
          <w:p>
            <w:pPr>
              <w:pStyle w:val="TableText"/>
              <w:spacing w:before="0" w:after="0" w:line="220" w:lineRule="auto"/>
            </w:pPr>
            <w:r>
              <w:rPr>
                <w:sz w:val="17"/>
                <w:szCs w:val="17"/>
              </w:rPr>
              <w:t>111 reported metal-positive candidates</w:t>
            </w:r>
          </w:p>
        </w:tc>
      </w:tr>
      <w:tr>
        <w:tc>
          <w:tcPr>
            <w:tcW w:w="2340" w:type="dxa"/>
            <w:vAlign w:val="center"/>
          </w:tcPr>
          <w:p>
            <w:pPr>
              <w:pStyle w:val="TableText"/>
              <w:spacing w:before="0" w:after="0" w:line="220" w:lineRule="auto"/>
            </w:pPr>
            <w:r>
              <w:rPr>
                <w:sz w:val="17"/>
                <w:szCs w:val="17"/>
              </w:rPr>
              <w:t>Stricter subset</w:t>
            </w:r>
          </w:p>
        </w:tc>
        <w:tc>
          <w:tcPr>
            <w:tcW w:w="2340" w:type="dxa"/>
            <w:vAlign w:val="center"/>
          </w:tcPr>
          <w:p>
            <w:pPr>
              <w:pStyle w:val="TableText"/>
              <w:spacing w:before="0" w:after="0" w:line="220" w:lineRule="auto"/>
            </w:pPr>
            <w:r>
              <w:rPr>
                <w:sz w:val="17"/>
                <w:szCs w:val="17"/>
              </w:rPr>
              <w:t>CHEL≥0.25 and FRS&lt;0.45</w:t>
            </w:r>
          </w:p>
        </w:tc>
        <w:tc>
          <w:tcPr>
            <w:tcW w:w="2340" w:type="dxa"/>
            <w:vAlign w:val="center"/>
          </w:tcPr>
          <w:p>
            <w:pPr>
              <w:pStyle w:val="TableText"/>
              <w:spacing w:before="0" w:after="0" w:line="220" w:lineRule="auto"/>
            </w:pPr>
            <w:r>
              <w:rPr>
                <w:sz w:val="17"/>
                <w:szCs w:val="17"/>
              </w:rPr>
              <w:t>8</w:t>
            </w:r>
          </w:p>
        </w:tc>
        <w:tc>
          <w:tcPr>
            <w:tcW w:w="2340" w:type="dxa"/>
            <w:vAlign w:val="center"/>
          </w:tcPr>
          <w:p>
            <w:pPr>
              <w:pStyle w:val="TableText"/>
              <w:spacing w:before="0" w:after="0" w:line="220" w:lineRule="auto"/>
            </w:pPr>
            <w:r>
              <w:rPr>
                <w:sz w:val="17"/>
                <w:szCs w:val="17"/>
              </w:rPr>
              <w:t>111 reported metal-positive candidates; membership unavailable</w:t>
            </w:r>
          </w:p>
        </w:tc>
      </w:tr>
    </w:tbl>
    <w:p>
      <w:pPr>
        <w:spacing w:after="40"/>
      </w:pPr>
    </w:p>
    <w:p>
      <w:pPr>
        <w:pStyle w:val="Figure"/>
        <w:jc w:val="center"/>
        <w:keepNext/>
      </w:pPr>
      <w:r>
        <w:drawing>
          <wp:inline distT="0" distB="0" distL="0" distR="0">
            <wp:extent cx="6150000" cy="5261666"/>
            <wp:effectExtent l="0" t="0" r="0" b="0"/>
            <wp:docPr id="1" name="Figure 1" descr="Figure 1. Evidence-bounded aggregate prioritization funnel"/>
            <wp:cNvGraphicFramePr>
              <a:graphicFrameLocks noChangeAspect="1"/>
            </wp:cNvGraphicFramePr>
            <a:graphic>
              <a:graphicData uri="http://schemas.openxmlformats.org/drawingml/2006/picture">
                <pic:pic>
                  <pic:nvPicPr>
                    <pic:cNvPr id="0" name="prioritization_funnel.png"/>
                    <pic:cNvPicPr/>
                  </pic:nvPicPr>
                  <pic:blipFill>
                    <a:blip r:embed="rId10"/>
                    <a:stretch>
                      <a:fillRect/>
                    </a:stretch>
                  </pic:blipFill>
                  <pic:spPr>
                    <a:xfrm>
                      <a:off x="0" y="0"/>
                      <a:ext cx="6150000" cy="5261666"/>
                    </a:xfrm>
                    <a:prstGeom prst="rect">
                      <a:avLst/>
                    </a:prstGeom>
                  </pic:spPr>
                </pic:pic>
              </a:graphicData>
            </a:graphic>
          </wp:inline>
        </w:drawing>
      </w:r>
    </w:p>
    <w:p>
      <w:pPr>
        <w:pStyle w:val="Caption"/>
      </w:pPr>
      <w:r>
        <w:rPr>
          <w:b/>
        </w:rPr>
        <w:t>Figure 1.</w:t>
      </w:r>
      <w:r>
        <w:t xml:space="preserve"> Aggregate screening funnel. Solid transitions are arithmetically reconstructable. The NTxPred2-to-mebipred transition remains dashed because row-level linkage is absent. The principal source lacks candidate identities; the external v0.4 record supplies twelve sequences but not their row-level screening lineage.</w:t>
      </w:r>
    </w:p>
    <w:p>
      <w:pPr>
        <w:pStyle w:val="Heading4"/>
        <w:keepNext/>
      </w:pPr>
      <w:r>
        <w:t>3.5 The external sequence list was compositionally auditable</w:t>
      </w:r>
    </w:p>
    <w:p>
      <w:pPr>
        <w:pStyle w:val="Normal"/>
      </w:pPr>
      <w:r>
        <w:t>The external v0.4 report listed twelve unique sequences, all composed of standard amino acids and 7–9 residues long (Table 3). Eleven contained histidine, six contained cysteine, and every sequence contained at least one Arg/Lys. These composition statements were reproduced directly from the strings. They are useful for synthesis and hypothesis design, but composition alone does not verify metal binding, BBB transport, toxicity, taxonomy, or correspondence to the principal source’s twelve rows.</w:t>
      </w:r>
    </w:p>
    <w:p>
      <w:pPr>
        <w:pStyle w:val="Caption"/>
      </w:pPr>
      <w:r>
        <w:rPr>
          <w:b/>
        </w:rPr>
        <w:t>Table 3. Externally reported twelve-sequence set and independently recomputed composition</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shd w:val="clear" w:color="auto" w:fill="DCE6F1"/>
            <w:vAlign w:val="center"/>
          </w:tcPr>
          <w:p>
            <w:pPr>
              <w:pStyle w:val="TableText"/>
              <w:spacing w:before="0" w:after="0" w:line="220" w:lineRule="auto"/>
            </w:pPr>
            <w:r>
              <w:rPr>
                <w:sz w:val="17"/>
                <w:szCs w:val="17"/>
              </w:rPr>
              <w:t>Rank by reported Vina mean</w:t>
            </w:r>
          </w:p>
        </w:tc>
        <w:tc>
          <w:tcPr>
            <w:tcW w:w="1337" w:type="dxa"/>
            <w:shd w:val="clear" w:color="auto" w:fill="DCE6F1"/>
            <w:vAlign w:val="center"/>
          </w:tcPr>
          <w:p>
            <w:pPr>
              <w:pStyle w:val="TableText"/>
              <w:spacing w:before="0" w:after="0" w:line="220" w:lineRule="auto"/>
            </w:pPr>
            <w:r>
              <w:rPr>
                <w:sz w:val="17"/>
                <w:szCs w:val="17"/>
              </w:rPr>
              <w:t>Sequence</w:t>
            </w:r>
          </w:p>
        </w:tc>
        <w:tc>
          <w:tcPr>
            <w:tcW w:w="1337" w:type="dxa"/>
            <w:shd w:val="clear" w:color="auto" w:fill="DCE6F1"/>
            <w:vAlign w:val="center"/>
          </w:tcPr>
          <w:p>
            <w:pPr>
              <w:pStyle w:val="TableText"/>
              <w:spacing w:before="0" w:after="0" w:line="220" w:lineRule="auto"/>
            </w:pPr>
            <w:r>
              <w:rPr>
                <w:sz w:val="17"/>
                <w:szCs w:val="17"/>
              </w:rPr>
              <w:t>Length</w:t>
            </w:r>
          </w:p>
        </w:tc>
        <w:tc>
          <w:tcPr>
            <w:tcW w:w="1337" w:type="dxa"/>
            <w:shd w:val="clear" w:color="auto" w:fill="DCE6F1"/>
            <w:vAlign w:val="center"/>
          </w:tcPr>
          <w:p>
            <w:pPr>
              <w:pStyle w:val="TableText"/>
              <w:spacing w:before="0" w:after="0" w:line="220" w:lineRule="auto"/>
            </w:pPr>
            <w:r>
              <w:rPr>
                <w:sz w:val="17"/>
                <w:szCs w:val="17"/>
              </w:rPr>
              <w:t>His</w:t>
            </w:r>
          </w:p>
        </w:tc>
        <w:tc>
          <w:tcPr>
            <w:tcW w:w="1337" w:type="dxa"/>
            <w:shd w:val="clear" w:color="auto" w:fill="DCE6F1"/>
            <w:vAlign w:val="center"/>
          </w:tcPr>
          <w:p>
            <w:pPr>
              <w:pStyle w:val="TableText"/>
              <w:spacing w:before="0" w:after="0" w:line="220" w:lineRule="auto"/>
            </w:pPr>
            <w:r>
              <w:rPr>
                <w:sz w:val="17"/>
                <w:szCs w:val="17"/>
              </w:rPr>
              <w:t>Cys</w:t>
            </w:r>
          </w:p>
        </w:tc>
        <w:tc>
          <w:tcPr>
            <w:tcW w:w="1337" w:type="dxa"/>
            <w:shd w:val="clear" w:color="auto" w:fill="DCE6F1"/>
            <w:vAlign w:val="center"/>
          </w:tcPr>
          <w:p>
            <w:pPr>
              <w:pStyle w:val="TableText"/>
              <w:spacing w:before="0" w:after="0" w:line="220" w:lineRule="auto"/>
            </w:pPr>
            <w:r>
              <w:rPr>
                <w:sz w:val="17"/>
                <w:szCs w:val="17"/>
              </w:rPr>
              <w:t>Arg+Lys</w:t>
            </w:r>
          </w:p>
        </w:tc>
        <w:tc>
          <w:tcPr>
            <w:tcW w:w="1337" w:type="dxa"/>
            <w:shd w:val="clear" w:color="auto" w:fill="DCE6F1"/>
            <w:vAlign w:val="center"/>
          </w:tcPr>
          <w:p>
            <w:pPr>
              <w:pStyle w:val="TableText"/>
              <w:spacing w:before="0" w:after="0" w:line="220" w:lineRule="auto"/>
            </w:pPr>
            <w:r>
              <w:rPr>
                <w:sz w:val="17"/>
                <w:szCs w:val="17"/>
              </w:rPr>
              <w:t>Phe+Tyr+Trp</w:t>
            </w:r>
          </w:p>
        </w:tc>
      </w:tr>
      <w:tr>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FLLHTTR</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YLSLLQR</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3</w:t>
            </w:r>
          </w:p>
        </w:tc>
        <w:tc>
          <w:tcPr>
            <w:tcW w:w="1337" w:type="dxa"/>
            <w:vAlign w:val="center"/>
          </w:tcPr>
          <w:p>
            <w:pPr>
              <w:pStyle w:val="TableText"/>
              <w:spacing w:before="0" w:after="0" w:line="220" w:lineRule="auto"/>
            </w:pPr>
            <w:r>
              <w:rPr>
                <w:sz w:val="17"/>
                <w:szCs w:val="17"/>
              </w:rPr>
              <w:t>ALLLHRC</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4</w:t>
            </w:r>
          </w:p>
        </w:tc>
        <w:tc>
          <w:tcPr>
            <w:tcW w:w="1337" w:type="dxa"/>
            <w:vAlign w:val="center"/>
          </w:tcPr>
          <w:p>
            <w:pPr>
              <w:pStyle w:val="TableText"/>
              <w:spacing w:before="0" w:after="0" w:line="220" w:lineRule="auto"/>
            </w:pPr>
            <w:r>
              <w:rPr>
                <w:sz w:val="17"/>
                <w:szCs w:val="17"/>
              </w:rPr>
              <w:t>FCLHLQLR</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5</w:t>
            </w:r>
          </w:p>
        </w:tc>
        <w:tc>
          <w:tcPr>
            <w:tcW w:w="1337" w:type="dxa"/>
            <w:vAlign w:val="center"/>
          </w:tcPr>
          <w:p>
            <w:pPr>
              <w:pStyle w:val="TableText"/>
              <w:spacing w:before="0" w:after="0" w:line="220" w:lineRule="auto"/>
            </w:pPr>
            <w:r>
              <w:rPr>
                <w:sz w:val="17"/>
                <w:szCs w:val="17"/>
              </w:rPr>
              <w:t>YHHLLCRR</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6</w:t>
            </w:r>
          </w:p>
        </w:tc>
        <w:tc>
          <w:tcPr>
            <w:tcW w:w="1337" w:type="dxa"/>
            <w:vAlign w:val="center"/>
          </w:tcPr>
          <w:p>
            <w:pPr>
              <w:pStyle w:val="TableText"/>
              <w:spacing w:before="0" w:after="0" w:line="220" w:lineRule="auto"/>
            </w:pPr>
            <w:r>
              <w:rPr>
                <w:sz w:val="17"/>
                <w:szCs w:val="17"/>
              </w:rPr>
              <w:t>LLHLPKRTT</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LLHPLRL</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WLLVHLKK</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LLHPLRC</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10</w:t>
            </w:r>
          </w:p>
        </w:tc>
        <w:tc>
          <w:tcPr>
            <w:tcW w:w="1337" w:type="dxa"/>
            <w:vAlign w:val="center"/>
          </w:tcPr>
          <w:p>
            <w:pPr>
              <w:pStyle w:val="TableText"/>
              <w:spacing w:before="0" w:after="0" w:line="220" w:lineRule="auto"/>
            </w:pPr>
            <w:r>
              <w:rPr>
                <w:sz w:val="17"/>
                <w:szCs w:val="17"/>
              </w:rPr>
              <w:t>HLLTLKKHV</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11</w:t>
            </w:r>
          </w:p>
        </w:tc>
        <w:tc>
          <w:tcPr>
            <w:tcW w:w="1337" w:type="dxa"/>
            <w:vAlign w:val="center"/>
          </w:tcPr>
          <w:p>
            <w:pPr>
              <w:pStyle w:val="TableText"/>
              <w:spacing w:before="0" w:after="0" w:line="220" w:lineRule="auto"/>
            </w:pPr>
            <w:r>
              <w:rPr>
                <w:sz w:val="17"/>
                <w:szCs w:val="17"/>
              </w:rPr>
              <w:t>HLPLLHRCC</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12</w:t>
            </w:r>
          </w:p>
        </w:tc>
        <w:tc>
          <w:tcPr>
            <w:tcW w:w="1337" w:type="dxa"/>
            <w:vAlign w:val="center"/>
          </w:tcPr>
          <w:p>
            <w:pPr>
              <w:pStyle w:val="TableText"/>
              <w:spacing w:before="0" w:after="0" w:line="220" w:lineRule="auto"/>
            </w:pPr>
            <w:r>
              <w:rPr>
                <w:sz w:val="17"/>
                <w:szCs w:val="17"/>
              </w:rPr>
              <w:t>HVLLLRQCA</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bl>
    <w:p>
      <w:pPr>
        <w:spacing w:after="40"/>
      </w:pPr>
    </w:p>
    <w:p>
      <w:pPr>
        <w:pStyle w:val="Normal"/>
      </w:pPr>
      <w:r>
        <w:t>The stricter 8-of-12 membership remains unknown because sequence-level FRS labels were not present in either evidence tier.</w:t>
      </w:r>
    </w:p>
    <w:p>
      <w:pPr>
        <w:pStyle w:val="Heading4"/>
        <w:keepNext/>
      </w:pPr>
      <w:r>
        <w:t>3.6 Source-reported Vina summaries ordered the twelve sequences but did not reproduce docking</w:t>
      </w:r>
    </w:p>
    <w:p>
      <w:pPr>
        <w:pStyle w:val="Normal"/>
      </w:pPr>
      <w:r>
        <w:t>The external report supplied Vina means from −9.60 to −8.25 kcal/mol and SDs from 0.04 to 0.12 (Table 4; Figure 2). The ordering, uniqueness, and numeric ranges passed deterministic checks. The first three reported means were FLLHTTR −9.60, YLSLLQR −9.49, and ALLLHRC −9.29 kcal/mol; the last two were HLPLLHRCC −8.35 and HVLLLRQCA −8.25 kcal/mol.</w:t>
      </w:r>
    </w:p>
    <w:p>
      <w:pPr>
        <w:pStyle w:val="Caption"/>
      </w:pPr>
      <w:r>
        <w:rPr>
          <w:b/>
        </w:rPr>
        <w:t>Table 4. Source-reported AutoDock Vina summary against human AChE PDB 4EY6</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Rank</w:t>
            </w:r>
          </w:p>
        </w:tc>
        <w:tc>
          <w:tcPr>
            <w:tcW w:w="1872" w:type="dxa"/>
            <w:shd w:val="clear" w:color="auto" w:fill="DCE6F1"/>
            <w:vAlign w:val="center"/>
          </w:tcPr>
          <w:p>
            <w:pPr>
              <w:pStyle w:val="TableText"/>
              <w:spacing w:before="0" w:after="0" w:line="220" w:lineRule="auto"/>
            </w:pPr>
            <w:r>
              <w:rPr>
                <w:sz w:val="17"/>
                <w:szCs w:val="17"/>
              </w:rPr>
              <w:t>Sequence</w:t>
            </w:r>
          </w:p>
        </w:tc>
        <w:tc>
          <w:tcPr>
            <w:tcW w:w="1872" w:type="dxa"/>
            <w:shd w:val="clear" w:color="auto" w:fill="DCE6F1"/>
            <w:vAlign w:val="center"/>
          </w:tcPr>
          <w:p>
            <w:pPr>
              <w:pStyle w:val="TableText"/>
              <w:spacing w:before="0" w:after="0" w:line="220" w:lineRule="auto"/>
            </w:pPr>
            <w:r>
              <w:rPr>
                <w:sz w:val="17"/>
                <w:szCs w:val="17"/>
              </w:rPr>
              <w:t>Reported mean (kcal/mol)</w:t>
            </w:r>
          </w:p>
        </w:tc>
        <w:tc>
          <w:tcPr>
            <w:tcW w:w="1872" w:type="dxa"/>
            <w:shd w:val="clear" w:color="auto" w:fill="DCE6F1"/>
            <w:vAlign w:val="center"/>
          </w:tcPr>
          <w:p>
            <w:pPr>
              <w:pStyle w:val="TableText"/>
              <w:spacing w:before="0" w:after="0" w:line="220" w:lineRule="auto"/>
            </w:pPr>
            <w:r>
              <w:rPr>
                <w:sz w:val="17"/>
                <w:szCs w:val="17"/>
              </w:rPr>
              <w:t>Reported SD</w:t>
            </w:r>
          </w:p>
        </w:tc>
        <w:tc>
          <w:tcPr>
            <w:tcW w:w="1872" w:type="dxa"/>
            <w:shd w:val="clear" w:color="auto" w:fill="DCE6F1"/>
            <w:vAlign w:val="center"/>
          </w:tcPr>
          <w:p>
            <w:pPr>
              <w:pStyle w:val="TableText"/>
              <w:spacing w:before="0" w:after="0" w:line="220" w:lineRule="auto"/>
            </w:pPr>
            <w:r>
              <w:rPr>
                <w:sz w:val="17"/>
                <w:szCs w:val="17"/>
              </w:rPr>
              <w:t>Current evidentiary status</w:t>
            </w:r>
          </w:p>
        </w:tc>
      </w:tr>
      <w:tr>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FLLHTTR</w:t>
            </w:r>
          </w:p>
        </w:tc>
        <w:tc>
          <w:tcPr>
            <w:tcW w:w="1872" w:type="dxa"/>
            <w:vAlign w:val="center"/>
          </w:tcPr>
          <w:p>
            <w:pPr>
              <w:pStyle w:val="TableText"/>
              <w:spacing w:before="0" w:after="0" w:line="220" w:lineRule="auto"/>
            </w:pPr>
            <w:r>
              <w:rPr>
                <w:sz w:val="17"/>
                <w:szCs w:val="17"/>
              </w:rPr>
              <w:t>−9.60</w:t>
            </w:r>
          </w:p>
        </w:tc>
        <w:tc>
          <w:tcPr>
            <w:tcW w:w="1872" w:type="dxa"/>
            <w:vAlign w:val="center"/>
          </w:tcPr>
          <w:p>
            <w:pPr>
              <w:pStyle w:val="TableText"/>
              <w:spacing w:before="0" w:after="0" w:line="220" w:lineRule="auto"/>
            </w:pPr>
            <w:r>
              <w:rPr>
                <w:sz w:val="17"/>
                <w:szCs w:val="17"/>
              </w:rPr>
              <w:t>0.08</w:t>
            </w:r>
          </w:p>
        </w:tc>
        <w:tc>
          <w:tcPr>
            <w:tcW w:w="1872" w:type="dxa"/>
            <w:vAlign w:val="center"/>
          </w:tcPr>
          <w:p>
            <w:pPr>
              <w:pStyle w:val="TableText"/>
              <w:spacing w:before="0" w:after="0" w:line="220" w:lineRule="auto"/>
            </w:pPr>
            <w:r>
              <w:rPr>
                <w:sz w:val="17"/>
                <w:szCs w:val="17"/>
              </w:rPr>
              <w:t>Summary transcribed; raw runs/poses unavailable</w:t>
            </w:r>
          </w:p>
        </w:tc>
      </w:tr>
      <w:tr>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YLSLLQR</w:t>
            </w:r>
          </w:p>
        </w:tc>
        <w:tc>
          <w:tcPr>
            <w:tcW w:w="1872" w:type="dxa"/>
            <w:vAlign w:val="center"/>
          </w:tcPr>
          <w:p>
            <w:pPr>
              <w:pStyle w:val="TableText"/>
              <w:spacing w:before="0" w:after="0" w:line="220" w:lineRule="auto"/>
            </w:pPr>
            <w:r>
              <w:rPr>
                <w:sz w:val="17"/>
                <w:szCs w:val="17"/>
              </w:rPr>
              <w:t>−9.49</w:t>
            </w:r>
          </w:p>
        </w:tc>
        <w:tc>
          <w:tcPr>
            <w:tcW w:w="1872" w:type="dxa"/>
            <w:vAlign w:val="center"/>
          </w:tcPr>
          <w:p>
            <w:pPr>
              <w:pStyle w:val="TableText"/>
              <w:spacing w:before="0" w:after="0" w:line="220" w:lineRule="auto"/>
            </w:pPr>
            <w:r>
              <w:rPr>
                <w:sz w:val="17"/>
                <w:szCs w:val="17"/>
              </w:rPr>
              <w:t>0.05</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3</w:t>
            </w:r>
          </w:p>
        </w:tc>
        <w:tc>
          <w:tcPr>
            <w:tcW w:w="1872" w:type="dxa"/>
            <w:vAlign w:val="center"/>
          </w:tcPr>
          <w:p>
            <w:pPr>
              <w:pStyle w:val="TableText"/>
              <w:spacing w:before="0" w:after="0" w:line="220" w:lineRule="auto"/>
            </w:pPr>
            <w:r>
              <w:rPr>
                <w:sz w:val="17"/>
                <w:szCs w:val="17"/>
              </w:rPr>
              <w:t>ALLLHRC</w:t>
            </w:r>
          </w:p>
        </w:tc>
        <w:tc>
          <w:tcPr>
            <w:tcW w:w="1872" w:type="dxa"/>
            <w:vAlign w:val="center"/>
          </w:tcPr>
          <w:p>
            <w:pPr>
              <w:pStyle w:val="TableText"/>
              <w:spacing w:before="0" w:after="0" w:line="220" w:lineRule="auto"/>
            </w:pPr>
            <w:r>
              <w:rPr>
                <w:sz w:val="17"/>
                <w:szCs w:val="17"/>
              </w:rPr>
              <w:t>−9.29</w:t>
            </w:r>
          </w:p>
        </w:tc>
        <w:tc>
          <w:tcPr>
            <w:tcW w:w="1872" w:type="dxa"/>
            <w:vAlign w:val="center"/>
          </w:tcPr>
          <w:p>
            <w:pPr>
              <w:pStyle w:val="TableText"/>
              <w:spacing w:before="0" w:after="0" w:line="220" w:lineRule="auto"/>
            </w:pPr>
            <w:r>
              <w:rPr>
                <w:sz w:val="17"/>
                <w:szCs w:val="17"/>
              </w:rPr>
              <w:t>0.11</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4</w:t>
            </w:r>
          </w:p>
        </w:tc>
        <w:tc>
          <w:tcPr>
            <w:tcW w:w="1872" w:type="dxa"/>
            <w:vAlign w:val="center"/>
          </w:tcPr>
          <w:p>
            <w:pPr>
              <w:pStyle w:val="TableText"/>
              <w:spacing w:before="0" w:after="0" w:line="220" w:lineRule="auto"/>
            </w:pPr>
            <w:r>
              <w:rPr>
                <w:sz w:val="17"/>
                <w:szCs w:val="17"/>
              </w:rPr>
              <w:t>FCLHLQLR</w:t>
            </w:r>
          </w:p>
        </w:tc>
        <w:tc>
          <w:tcPr>
            <w:tcW w:w="1872" w:type="dxa"/>
            <w:vAlign w:val="center"/>
          </w:tcPr>
          <w:p>
            <w:pPr>
              <w:pStyle w:val="TableText"/>
              <w:spacing w:before="0" w:after="0" w:line="220" w:lineRule="auto"/>
            </w:pPr>
            <w:r>
              <w:rPr>
                <w:sz w:val="17"/>
                <w:szCs w:val="17"/>
              </w:rPr>
              <w:t>−9.27</w:t>
            </w:r>
          </w:p>
        </w:tc>
        <w:tc>
          <w:tcPr>
            <w:tcW w:w="1872" w:type="dxa"/>
            <w:vAlign w:val="center"/>
          </w:tcPr>
          <w:p>
            <w:pPr>
              <w:pStyle w:val="TableText"/>
              <w:spacing w:before="0" w:after="0" w:line="220" w:lineRule="auto"/>
            </w:pPr>
            <w:r>
              <w:rPr>
                <w:sz w:val="17"/>
                <w:szCs w:val="17"/>
              </w:rPr>
              <w:t>0.09</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5</w:t>
            </w:r>
          </w:p>
        </w:tc>
        <w:tc>
          <w:tcPr>
            <w:tcW w:w="1872" w:type="dxa"/>
            <w:vAlign w:val="center"/>
          </w:tcPr>
          <w:p>
            <w:pPr>
              <w:pStyle w:val="TableText"/>
              <w:spacing w:before="0" w:after="0" w:line="220" w:lineRule="auto"/>
            </w:pPr>
            <w:r>
              <w:rPr>
                <w:sz w:val="17"/>
                <w:szCs w:val="17"/>
              </w:rPr>
              <w:t>YHHLLCRR</w:t>
            </w:r>
          </w:p>
        </w:tc>
        <w:tc>
          <w:tcPr>
            <w:tcW w:w="1872" w:type="dxa"/>
            <w:vAlign w:val="center"/>
          </w:tcPr>
          <w:p>
            <w:pPr>
              <w:pStyle w:val="TableText"/>
              <w:spacing w:before="0" w:after="0" w:line="220" w:lineRule="auto"/>
            </w:pPr>
            <w:r>
              <w:rPr>
                <w:sz w:val="17"/>
                <w:szCs w:val="17"/>
              </w:rPr>
              <w:t>−9.03</w:t>
            </w:r>
          </w:p>
        </w:tc>
        <w:tc>
          <w:tcPr>
            <w:tcW w:w="1872" w:type="dxa"/>
            <w:vAlign w:val="center"/>
          </w:tcPr>
          <w:p>
            <w:pPr>
              <w:pStyle w:val="TableText"/>
              <w:spacing w:before="0" w:after="0" w:line="220" w:lineRule="auto"/>
            </w:pPr>
            <w:r>
              <w:rPr>
                <w:sz w:val="17"/>
                <w:szCs w:val="17"/>
              </w:rPr>
              <w:t>0.07</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6</w:t>
            </w:r>
          </w:p>
        </w:tc>
        <w:tc>
          <w:tcPr>
            <w:tcW w:w="1872" w:type="dxa"/>
            <w:vAlign w:val="center"/>
          </w:tcPr>
          <w:p>
            <w:pPr>
              <w:pStyle w:val="TableText"/>
              <w:spacing w:before="0" w:after="0" w:line="220" w:lineRule="auto"/>
            </w:pPr>
            <w:r>
              <w:rPr>
                <w:sz w:val="17"/>
                <w:szCs w:val="17"/>
              </w:rPr>
              <w:t>LLHLPKRTT</w:t>
            </w:r>
          </w:p>
        </w:tc>
        <w:tc>
          <w:tcPr>
            <w:tcW w:w="1872" w:type="dxa"/>
            <w:vAlign w:val="center"/>
          </w:tcPr>
          <w:p>
            <w:pPr>
              <w:pStyle w:val="TableText"/>
              <w:spacing w:before="0" w:after="0" w:line="220" w:lineRule="auto"/>
            </w:pPr>
            <w:r>
              <w:rPr>
                <w:sz w:val="17"/>
                <w:szCs w:val="17"/>
              </w:rPr>
              <w:t>−9.01</w:t>
            </w:r>
          </w:p>
        </w:tc>
        <w:tc>
          <w:tcPr>
            <w:tcW w:w="1872" w:type="dxa"/>
            <w:vAlign w:val="center"/>
          </w:tcPr>
          <w:p>
            <w:pPr>
              <w:pStyle w:val="TableText"/>
              <w:spacing w:before="0" w:after="0" w:line="220" w:lineRule="auto"/>
            </w:pPr>
            <w:r>
              <w:rPr>
                <w:sz w:val="17"/>
                <w:szCs w:val="17"/>
              </w:rPr>
              <w:t>0.06</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LLHPLRL</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0.10</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WLLVHLKK</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0.04</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LLHPLRC</w:t>
            </w:r>
          </w:p>
        </w:tc>
        <w:tc>
          <w:tcPr>
            <w:tcW w:w="1872" w:type="dxa"/>
            <w:vAlign w:val="center"/>
          </w:tcPr>
          <w:p>
            <w:pPr>
              <w:pStyle w:val="TableText"/>
              <w:spacing w:before="0" w:after="0" w:line="220" w:lineRule="auto"/>
            </w:pPr>
            <w:r>
              <w:rPr>
                <w:sz w:val="17"/>
                <w:szCs w:val="17"/>
              </w:rPr>
              <w:t>−8.91</w:t>
            </w:r>
          </w:p>
        </w:tc>
        <w:tc>
          <w:tcPr>
            <w:tcW w:w="1872" w:type="dxa"/>
            <w:vAlign w:val="center"/>
          </w:tcPr>
          <w:p>
            <w:pPr>
              <w:pStyle w:val="TableText"/>
              <w:spacing w:before="0" w:after="0" w:line="220" w:lineRule="auto"/>
            </w:pPr>
            <w:r>
              <w:rPr>
                <w:sz w:val="17"/>
                <w:szCs w:val="17"/>
              </w:rPr>
              <w:t>0.08</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10</w:t>
            </w:r>
          </w:p>
        </w:tc>
        <w:tc>
          <w:tcPr>
            <w:tcW w:w="1872" w:type="dxa"/>
            <w:vAlign w:val="center"/>
          </w:tcPr>
          <w:p>
            <w:pPr>
              <w:pStyle w:val="TableText"/>
              <w:spacing w:before="0" w:after="0" w:line="220" w:lineRule="auto"/>
            </w:pPr>
            <w:r>
              <w:rPr>
                <w:sz w:val="17"/>
                <w:szCs w:val="17"/>
              </w:rPr>
              <w:t>HLLTLKKHV</w:t>
            </w:r>
          </w:p>
        </w:tc>
        <w:tc>
          <w:tcPr>
            <w:tcW w:w="1872" w:type="dxa"/>
            <w:vAlign w:val="center"/>
          </w:tcPr>
          <w:p>
            <w:pPr>
              <w:pStyle w:val="TableText"/>
              <w:spacing w:before="0" w:after="0" w:line="220" w:lineRule="auto"/>
            </w:pPr>
            <w:r>
              <w:rPr>
                <w:sz w:val="17"/>
                <w:szCs w:val="17"/>
              </w:rPr>
              <w:t>−8.88</w:t>
            </w:r>
          </w:p>
        </w:tc>
        <w:tc>
          <w:tcPr>
            <w:tcW w:w="1872" w:type="dxa"/>
            <w:vAlign w:val="center"/>
          </w:tcPr>
          <w:p>
            <w:pPr>
              <w:pStyle w:val="TableText"/>
              <w:spacing w:before="0" w:after="0" w:line="220" w:lineRule="auto"/>
            </w:pPr>
            <w:r>
              <w:rPr>
                <w:sz w:val="17"/>
                <w:szCs w:val="17"/>
              </w:rPr>
              <w:t>0.05</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11</w:t>
            </w:r>
          </w:p>
        </w:tc>
        <w:tc>
          <w:tcPr>
            <w:tcW w:w="1872" w:type="dxa"/>
            <w:vAlign w:val="center"/>
          </w:tcPr>
          <w:p>
            <w:pPr>
              <w:pStyle w:val="TableText"/>
              <w:spacing w:before="0" w:after="0" w:line="220" w:lineRule="auto"/>
            </w:pPr>
            <w:r>
              <w:rPr>
                <w:sz w:val="17"/>
                <w:szCs w:val="17"/>
              </w:rPr>
              <w:t>HLPLLHRCC</w:t>
            </w:r>
          </w:p>
        </w:tc>
        <w:tc>
          <w:tcPr>
            <w:tcW w:w="1872" w:type="dxa"/>
            <w:vAlign w:val="center"/>
          </w:tcPr>
          <w:p>
            <w:pPr>
              <w:pStyle w:val="TableText"/>
              <w:spacing w:before="0" w:after="0" w:line="220" w:lineRule="auto"/>
            </w:pPr>
            <w:r>
              <w:rPr>
                <w:sz w:val="17"/>
                <w:szCs w:val="17"/>
              </w:rPr>
              <w:t>−8.35</w:t>
            </w:r>
          </w:p>
        </w:tc>
        <w:tc>
          <w:tcPr>
            <w:tcW w:w="1872" w:type="dxa"/>
            <w:vAlign w:val="center"/>
          </w:tcPr>
          <w:p>
            <w:pPr>
              <w:pStyle w:val="TableText"/>
              <w:spacing w:before="0" w:after="0" w:line="220" w:lineRule="auto"/>
            </w:pPr>
            <w:r>
              <w:rPr>
                <w:sz w:val="17"/>
                <w:szCs w:val="17"/>
              </w:rPr>
              <w:t>0.12</w:t>
            </w:r>
          </w:p>
        </w:tc>
        <w:tc>
          <w:tcPr>
            <w:tcW w:w="1872" w:type="dxa"/>
            <w:vAlign w:val="center"/>
          </w:tcPr>
          <w:p>
            <w:pPr>
              <w:pStyle w:val="TableText"/>
              <w:spacing w:before="0" w:after="0" w:line="220" w:lineRule="auto"/>
            </w:pPr>
            <w:r>
              <w:rPr>
                <w:sz w:val="17"/>
                <w:szCs w:val="17"/>
              </w:rPr>
              <w:t>Same</w:t>
            </w:r>
          </w:p>
        </w:tc>
      </w:tr>
      <w:tr>
        <w:tc>
          <w:tcPr>
            <w:tcW w:w="1872" w:type="dxa"/>
            <w:vAlign w:val="center"/>
          </w:tcPr>
          <w:p>
            <w:pPr>
              <w:pStyle w:val="TableText"/>
              <w:spacing w:before="0" w:after="0" w:line="220" w:lineRule="auto"/>
            </w:pPr>
            <w:r>
              <w:rPr>
                <w:sz w:val="17"/>
                <w:szCs w:val="17"/>
              </w:rPr>
              <w:t>12</w:t>
            </w:r>
          </w:p>
        </w:tc>
        <w:tc>
          <w:tcPr>
            <w:tcW w:w="1872" w:type="dxa"/>
            <w:vAlign w:val="center"/>
          </w:tcPr>
          <w:p>
            <w:pPr>
              <w:pStyle w:val="TableText"/>
              <w:spacing w:before="0" w:after="0" w:line="220" w:lineRule="auto"/>
            </w:pPr>
            <w:r>
              <w:rPr>
                <w:sz w:val="17"/>
                <w:szCs w:val="17"/>
              </w:rPr>
              <w:t>HVLLLRQCA</w:t>
            </w:r>
          </w:p>
        </w:tc>
        <w:tc>
          <w:tcPr>
            <w:tcW w:w="1872" w:type="dxa"/>
            <w:vAlign w:val="center"/>
          </w:tcPr>
          <w:p>
            <w:pPr>
              <w:pStyle w:val="TableText"/>
              <w:spacing w:before="0" w:after="0" w:line="220" w:lineRule="auto"/>
            </w:pPr>
            <w:r>
              <w:rPr>
                <w:sz w:val="17"/>
                <w:szCs w:val="17"/>
              </w:rPr>
              <w:t>−8.25</w:t>
            </w:r>
          </w:p>
        </w:tc>
        <w:tc>
          <w:tcPr>
            <w:tcW w:w="1872" w:type="dxa"/>
            <w:vAlign w:val="center"/>
          </w:tcPr>
          <w:p>
            <w:pPr>
              <w:pStyle w:val="TableText"/>
              <w:spacing w:before="0" w:after="0" w:line="220" w:lineRule="auto"/>
            </w:pPr>
            <w:r>
              <w:rPr>
                <w:sz w:val="17"/>
                <w:szCs w:val="17"/>
              </w:rPr>
              <w:t>0.09</w:t>
            </w:r>
          </w:p>
        </w:tc>
        <w:tc>
          <w:tcPr>
            <w:tcW w:w="1872" w:type="dxa"/>
            <w:vAlign w:val="center"/>
          </w:tcPr>
          <w:p>
            <w:pPr>
              <w:pStyle w:val="TableText"/>
              <w:spacing w:before="0" w:after="0" w:line="220" w:lineRule="auto"/>
            </w:pPr>
            <w:r>
              <w:rPr>
                <w:sz w:val="17"/>
                <w:szCs w:val="17"/>
              </w:rPr>
              <w:t>Same</w:t>
            </w:r>
          </w:p>
        </w:tc>
      </w:tr>
    </w:tbl>
    <w:p>
      <w:pPr>
        <w:spacing w:after="40"/>
      </w:pPr>
    </w:p>
    <w:p>
      <w:pPr>
        <w:pStyle w:val="Figure"/>
        <w:jc w:val="center"/>
        <w:keepNext/>
      </w:pPr>
      <w:r>
        <w:drawing>
          <wp:inline distT="0" distB="0" distL="0" distR="0">
            <wp:extent cx="6150000" cy="3613125"/>
            <wp:effectExtent l="0" t="0" r="0" b="0"/>
            <wp:docPr id="2" name="Figure 2" descr="Figure 2. Source-reported PAS-focused docking score summary"/>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613125"/>
                    </a:xfrm>
                    <a:prstGeom prst="rect">
                      <a:avLst/>
                    </a:prstGeom>
                  </pic:spPr>
                </pic:pic>
              </a:graphicData>
            </a:graphic>
          </wp:inline>
        </w:drawing>
      </w:r>
    </w:p>
    <w:p>
      <w:pPr>
        <w:pStyle w:val="Caption"/>
      </w:pPr>
      <w:r>
        <w:rPr>
          <w:b/>
        </w:rPr>
        <w:t>Figure 2.</w:t>
      </w:r>
      <w:r>
        <w:t xml:space="preserve"> Descriptive visualization of source-reported Vina means±SD against PDB 4EY6. Values were transcribed from external v0.4 and were not independently reproduced. The missing run definition prevents interpreting SD as a known number of independent repetitions; Vina scores are not binding free energies [51,52].</w:t>
      </w:r>
    </w:p>
    <w:p>
      <w:pPr>
        <w:pStyle w:val="Normal"/>
      </w:pPr>
      <w:r>
        <w:t>The external narrative additionally described PAS/gorge contacts, but no pose or interaction file was available. Residue-level contact claims were therefore not promoted to audited observations. The defensible structural result is limited to a reported within-set score ordering with unresolved computational provenance.</w:t>
      </w:r>
    </w:p>
    <w:p>
      <w:pPr>
        <w:pStyle w:val="Heading4"/>
        <w:keepNext/>
      </w:pPr>
      <w:r>
        <w:t>3.7 The evidence ladder advanced only partially</w:t>
      </w:r>
    </w:p>
    <w:p>
      <w:pPr>
        <w:pStyle w:val="Normal"/>
      </w:pPr>
      <w:r>
        <w:t>The external sequence list resolves the practical problem of having no molecules to synthesize, but it does not resolve lineage: no stable identifier links each sequence to a subject, assembly, evidence match, predictor row, CHEL/FRS row, or the stricter subset. Likewise, docking summaries do not replace reproducible docking artefacts. Translation/expression, BBB transport, cellular toxicity, metal-dependent chemistry, and disease relevance remain untested.</w:t>
      </w:r>
    </w:p>
    <w:p>
      <w:pPr>
        <w:pStyle w:val="Figure"/>
        <w:jc w:val="center"/>
        <w:keepNext/>
      </w:pPr>
      <w:r>
        <w:drawing>
          <wp:inline distT="0" distB="0" distL="0" distR="0">
            <wp:extent cx="6150000" cy="3348333"/>
            <wp:effectExtent l="0" t="0" r="0" b="0"/>
            <wp:docPr id="3" name="Figure 3" descr="Figure 3. Evidence ladder"/>
            <wp:cNvGraphicFramePr>
              <a:graphicFrameLocks noChangeAspect="1"/>
            </wp:cNvGraphicFramePr>
            <a:graphic>
              <a:graphicData uri="http://schemas.openxmlformats.org/drawingml/2006/picture">
                <pic:pic>
                  <pic:nvPicPr>
                    <pic:cNvPr id="0" name="evidence_ladder.png"/>
                    <pic:cNvPicPr/>
                  </pic:nvPicPr>
                  <pic:blipFill>
                    <a:blip r:embed="rId12"/>
                    <a:stretch>
                      <a:fillRect/>
                    </a:stretch>
                  </pic:blipFill>
                  <pic:spPr>
                    <a:xfrm>
                      <a:off x="0" y="0"/>
                      <a:ext cx="6150000" cy="3348333"/>
                    </a:xfrm>
                    <a:prstGeom prst="rect">
                      <a:avLst/>
                    </a:prstGeom>
                  </pic:spPr>
                </pic:pic>
              </a:graphicData>
            </a:graphic>
          </wp:inline>
        </w:drawing>
      </w:r>
    </w:p>
    <w:p>
      <w:pPr>
        <w:pStyle w:val="Caption"/>
      </w:pPr>
      <w:r>
        <w:rPr>
          <w:b/>
        </w:rPr>
        <w:t>Figure 3.</w:t>
      </w:r>
      <w:r>
        <w:t xml:space="preserve"> Evidence ladder after external-v0.4 integration. Aggregate screening is reached; the twelve sequences and docking scores are partial, source-reported additions. Raw lineage and docking artefacts, expression, exposure, phenotype, mechanism, and causality remain unresolved or untested.</w:t>
      </w:r>
    </w:p>
    <w:p>
      <w:pPr>
        <w:pStyle w:val="Heading3"/>
        <w:keepNext/>
      </w:pPr>
      <w:r>
        <w:t>中文</w:t>
      </w:r>
    </w:p>
    <w:p>
      <w:pPr>
        <w:pStyle w:val="Heading4"/>
        <w:keepNext/>
      </w:pPr>
      <w:r>
        <w:t>3.1 证据过滤使两个原始smORF库均缩减99.7%以上</w:t>
      </w:r>
    </w:p>
    <w:p>
      <w:pPr>
        <w:pStyle w:val="Normal"/>
      </w:pPr>
      <w:r>
        <w:t>健康和牙周炎分支分别以11,269,961和11,721,988条smORF起始。证据过滤和去冗余后保留31,510条健康候选（0.2796%）和33,786条牙周炎分支候选（0.2882%）。短肽和长肽分支之和与每个过滤后总数完全一致。这些比例描述计算保留，不代表参与者患病率或疾病富集。</w:t>
      </w:r>
    </w:p>
    <w:p>
      <w:pPr>
        <w:pStyle w:val="Normal"/>
      </w:pPr>
      <w:r>
        <w:rPr>
          <w:b/>
        </w:rPr>
        <w:t>表1. 汇总候选库与BBB高分输出</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shd w:val="clear" w:color="auto" w:fill="DCE6F1"/>
            <w:vAlign w:val="center"/>
          </w:tcPr>
          <w:p>
            <w:pPr>
              <w:pStyle w:val="TableText"/>
              <w:spacing w:before="0" w:after="0" w:line="220" w:lineRule="auto"/>
            </w:pPr>
            <w:r>
              <w:rPr>
                <w:sz w:val="17"/>
                <w:szCs w:val="17"/>
              </w:rPr>
              <w:t>分支</w:t>
            </w:r>
          </w:p>
        </w:tc>
        <w:tc>
          <w:tcPr>
            <w:tcW w:w="1337" w:type="dxa"/>
            <w:shd w:val="clear" w:color="auto" w:fill="DCE6F1"/>
            <w:vAlign w:val="center"/>
          </w:tcPr>
          <w:p>
            <w:pPr>
              <w:pStyle w:val="TableText"/>
              <w:spacing w:before="0" w:after="0" w:line="220" w:lineRule="auto"/>
            </w:pPr>
            <w:r>
              <w:rPr>
                <w:sz w:val="17"/>
                <w:szCs w:val="17"/>
              </w:rPr>
              <w:t>原始smORF</w:t>
            </w:r>
          </w:p>
        </w:tc>
        <w:tc>
          <w:tcPr>
            <w:tcW w:w="1337" w:type="dxa"/>
            <w:shd w:val="clear" w:color="auto" w:fill="DCE6F1"/>
            <w:vAlign w:val="center"/>
          </w:tcPr>
          <w:p>
            <w:pPr>
              <w:pStyle w:val="TableText"/>
              <w:spacing w:before="0" w:after="0" w:line="220" w:lineRule="auto"/>
            </w:pPr>
            <w:r>
              <w:rPr>
                <w:sz w:val="17"/>
                <w:szCs w:val="17"/>
              </w:rPr>
              <w:t>证据过滤后</w:t>
            </w:r>
          </w:p>
        </w:tc>
        <w:tc>
          <w:tcPr>
            <w:tcW w:w="1337" w:type="dxa"/>
            <w:shd w:val="clear" w:color="auto" w:fill="DCE6F1"/>
            <w:vAlign w:val="center"/>
          </w:tcPr>
          <w:p>
            <w:pPr>
              <w:pStyle w:val="TableText"/>
              <w:spacing w:before="0" w:after="0" w:line="220" w:lineRule="auto"/>
            </w:pPr>
            <w:r>
              <w:rPr>
                <w:sz w:val="17"/>
                <w:szCs w:val="17"/>
              </w:rPr>
              <w:t>短肽背景（5–30 aa）</w:t>
            </w:r>
          </w:p>
        </w:tc>
        <w:tc>
          <w:tcPr>
            <w:tcW w:w="1337" w:type="dxa"/>
            <w:shd w:val="clear" w:color="auto" w:fill="DCE6F1"/>
            <w:vAlign w:val="center"/>
          </w:tcPr>
          <w:p>
            <w:pPr>
              <w:pStyle w:val="TableText"/>
              <w:spacing w:before="0" w:after="0" w:line="220" w:lineRule="auto"/>
            </w:pPr>
            <w:r>
              <w:rPr>
                <w:sz w:val="17"/>
                <w:szCs w:val="17"/>
              </w:rPr>
              <w:t>短肽BBB高分，n（%）</w:t>
            </w:r>
          </w:p>
        </w:tc>
        <w:tc>
          <w:tcPr>
            <w:tcW w:w="1337" w:type="dxa"/>
            <w:shd w:val="clear" w:color="auto" w:fill="DCE6F1"/>
            <w:vAlign w:val="center"/>
          </w:tcPr>
          <w:p>
            <w:pPr>
              <w:pStyle w:val="TableText"/>
              <w:spacing w:before="0" w:after="0" w:line="220" w:lineRule="auto"/>
            </w:pPr>
            <w:r>
              <w:rPr>
                <w:sz w:val="17"/>
                <w:szCs w:val="17"/>
              </w:rPr>
              <w:t>长肽背景（31–50 aa）</w:t>
            </w:r>
          </w:p>
        </w:tc>
        <w:tc>
          <w:tcPr>
            <w:tcW w:w="1337" w:type="dxa"/>
            <w:shd w:val="clear" w:color="auto" w:fill="DCE6F1"/>
            <w:vAlign w:val="center"/>
          </w:tcPr>
          <w:p>
            <w:pPr>
              <w:pStyle w:val="TableText"/>
              <w:spacing w:before="0" w:after="0" w:line="220" w:lineRule="auto"/>
            </w:pPr>
            <w:r>
              <w:rPr>
                <w:sz w:val="17"/>
                <w:szCs w:val="17"/>
              </w:rPr>
              <w:t>长肽BBB高分，n（%）</w:t>
            </w:r>
          </w:p>
        </w:tc>
      </w:tr>
      <w:tr>
        <w:tc>
          <w:tcPr>
            <w:tcW w:w="1337" w:type="dxa"/>
            <w:vAlign w:val="center"/>
          </w:tcPr>
          <w:p>
            <w:pPr>
              <w:pStyle w:val="TableText"/>
              <w:spacing w:before="0" w:after="0" w:line="220" w:lineRule="auto"/>
            </w:pPr>
            <w:r>
              <w:rPr>
                <w:sz w:val="17"/>
                <w:szCs w:val="17"/>
              </w:rPr>
              <w:t>健康</w:t>
            </w:r>
          </w:p>
        </w:tc>
        <w:tc>
          <w:tcPr>
            <w:tcW w:w="1337" w:type="dxa"/>
            <w:vAlign w:val="center"/>
          </w:tcPr>
          <w:p>
            <w:pPr>
              <w:pStyle w:val="TableText"/>
              <w:spacing w:before="0" w:after="0" w:line="220" w:lineRule="auto"/>
            </w:pPr>
            <w:r>
              <w:rPr>
                <w:sz w:val="17"/>
                <w:szCs w:val="17"/>
              </w:rPr>
              <w:t>11,269,961</w:t>
            </w:r>
          </w:p>
        </w:tc>
        <w:tc>
          <w:tcPr>
            <w:tcW w:w="1337" w:type="dxa"/>
            <w:vAlign w:val="center"/>
          </w:tcPr>
          <w:p>
            <w:pPr>
              <w:pStyle w:val="TableText"/>
              <w:spacing w:before="0" w:after="0" w:line="220" w:lineRule="auto"/>
            </w:pPr>
            <w:r>
              <w:rPr>
                <w:sz w:val="17"/>
                <w:szCs w:val="17"/>
              </w:rPr>
              <w:t>31,510</w:t>
            </w:r>
          </w:p>
        </w:tc>
        <w:tc>
          <w:tcPr>
            <w:tcW w:w="1337" w:type="dxa"/>
            <w:vAlign w:val="center"/>
          </w:tcPr>
          <w:p>
            <w:pPr>
              <w:pStyle w:val="TableText"/>
              <w:spacing w:before="0" w:after="0" w:line="220" w:lineRule="auto"/>
            </w:pPr>
            <w:r>
              <w:rPr>
                <w:sz w:val="17"/>
                <w:szCs w:val="17"/>
              </w:rPr>
              <w:t>30,557</w:t>
            </w:r>
          </w:p>
        </w:tc>
        <w:tc>
          <w:tcPr>
            <w:tcW w:w="1337" w:type="dxa"/>
            <w:vAlign w:val="center"/>
          </w:tcPr>
          <w:p>
            <w:pPr>
              <w:pStyle w:val="TableText"/>
              <w:spacing w:before="0" w:after="0" w:line="220" w:lineRule="auto"/>
            </w:pPr>
            <w:r>
              <w:rPr>
                <w:sz w:val="17"/>
                <w:szCs w:val="17"/>
              </w:rPr>
              <w:t>3,359（10.99）</w:t>
            </w:r>
          </w:p>
        </w:tc>
        <w:tc>
          <w:tcPr>
            <w:tcW w:w="1337" w:type="dxa"/>
            <w:vAlign w:val="center"/>
          </w:tcPr>
          <w:p>
            <w:pPr>
              <w:pStyle w:val="TableText"/>
              <w:spacing w:before="0" w:after="0" w:line="220" w:lineRule="auto"/>
            </w:pPr>
            <w:r>
              <w:rPr>
                <w:sz w:val="17"/>
                <w:szCs w:val="17"/>
              </w:rPr>
              <w:t>953</w:t>
            </w:r>
          </w:p>
        </w:tc>
        <w:tc>
          <w:tcPr>
            <w:tcW w:w="1337" w:type="dxa"/>
            <w:vAlign w:val="center"/>
          </w:tcPr>
          <w:p>
            <w:pPr>
              <w:pStyle w:val="TableText"/>
              <w:spacing w:before="0" w:after="0" w:line="220" w:lineRule="auto"/>
            </w:pPr>
            <w:r>
              <w:rPr>
                <w:sz w:val="17"/>
                <w:szCs w:val="17"/>
              </w:rPr>
              <w:t>40（4.20）</w:t>
            </w:r>
          </w:p>
        </w:tc>
      </w:tr>
      <w:tr>
        <w:tc>
          <w:tcPr>
            <w:tcW w:w="1337" w:type="dxa"/>
            <w:vAlign w:val="center"/>
          </w:tcPr>
          <w:p>
            <w:pPr>
              <w:pStyle w:val="TableText"/>
              <w:spacing w:before="0" w:after="0" w:line="220" w:lineRule="auto"/>
            </w:pPr>
            <w:r>
              <w:rPr>
                <w:sz w:val="17"/>
                <w:szCs w:val="17"/>
              </w:rPr>
              <w:t>牙周炎队列</w:t>
            </w:r>
          </w:p>
        </w:tc>
        <w:tc>
          <w:tcPr>
            <w:tcW w:w="1337" w:type="dxa"/>
            <w:vAlign w:val="center"/>
          </w:tcPr>
          <w:p>
            <w:pPr>
              <w:pStyle w:val="TableText"/>
              <w:spacing w:before="0" w:after="0" w:line="220" w:lineRule="auto"/>
            </w:pPr>
            <w:r>
              <w:rPr>
                <w:sz w:val="17"/>
                <w:szCs w:val="17"/>
              </w:rPr>
              <w:t>11,721,988</w:t>
            </w:r>
          </w:p>
        </w:tc>
        <w:tc>
          <w:tcPr>
            <w:tcW w:w="1337" w:type="dxa"/>
            <w:vAlign w:val="center"/>
          </w:tcPr>
          <w:p>
            <w:pPr>
              <w:pStyle w:val="TableText"/>
              <w:spacing w:before="0" w:after="0" w:line="220" w:lineRule="auto"/>
            </w:pPr>
            <w:r>
              <w:rPr>
                <w:sz w:val="17"/>
                <w:szCs w:val="17"/>
              </w:rPr>
              <w:t>33,786</w:t>
            </w:r>
          </w:p>
        </w:tc>
        <w:tc>
          <w:tcPr>
            <w:tcW w:w="1337" w:type="dxa"/>
            <w:vAlign w:val="center"/>
          </w:tcPr>
          <w:p>
            <w:pPr>
              <w:pStyle w:val="TableText"/>
              <w:spacing w:before="0" w:after="0" w:line="220" w:lineRule="auto"/>
            </w:pPr>
            <w:r>
              <w:rPr>
                <w:sz w:val="17"/>
                <w:szCs w:val="17"/>
              </w:rPr>
              <w:t>32,754</w:t>
            </w:r>
          </w:p>
        </w:tc>
        <w:tc>
          <w:tcPr>
            <w:tcW w:w="1337" w:type="dxa"/>
            <w:vAlign w:val="center"/>
          </w:tcPr>
          <w:p>
            <w:pPr>
              <w:pStyle w:val="TableText"/>
              <w:spacing w:before="0" w:after="0" w:line="220" w:lineRule="auto"/>
            </w:pPr>
            <w:r>
              <w:rPr>
                <w:sz w:val="17"/>
                <w:szCs w:val="17"/>
              </w:rPr>
              <w:t>3,446（10.52）</w:t>
            </w:r>
          </w:p>
        </w:tc>
        <w:tc>
          <w:tcPr>
            <w:tcW w:w="1337" w:type="dxa"/>
            <w:vAlign w:val="center"/>
          </w:tcPr>
          <w:p>
            <w:pPr>
              <w:pStyle w:val="TableText"/>
              <w:spacing w:before="0" w:after="0" w:line="220" w:lineRule="auto"/>
            </w:pPr>
            <w:r>
              <w:rPr>
                <w:sz w:val="17"/>
                <w:szCs w:val="17"/>
              </w:rPr>
              <w:t>1,032</w:t>
            </w:r>
          </w:p>
        </w:tc>
        <w:tc>
          <w:tcPr>
            <w:tcW w:w="1337" w:type="dxa"/>
            <w:vAlign w:val="center"/>
          </w:tcPr>
          <w:p>
            <w:pPr>
              <w:pStyle w:val="TableText"/>
              <w:spacing w:before="0" w:after="0" w:line="220" w:lineRule="auto"/>
            </w:pPr>
            <w:r>
              <w:rPr>
                <w:sz w:val="17"/>
                <w:szCs w:val="17"/>
              </w:rPr>
              <w:t>72（6.98）</w:t>
            </w:r>
          </w:p>
        </w:tc>
      </w:tr>
    </w:tbl>
    <w:p>
      <w:pPr>
        <w:spacing w:after="40"/>
      </w:pPr>
    </w:p>
    <w:p>
      <w:pPr>
        <w:pStyle w:val="Heading4"/>
        <w:keepNext/>
      </w:pPr>
      <w:r>
        <w:t>3.2 BBB高分率随长度分支呈描述性差异</w:t>
      </w:r>
    </w:p>
    <w:p>
      <w:pPr>
        <w:pStyle w:val="Normal"/>
      </w:pPr>
      <w:r>
        <w:t>健康与牙周炎的短肽BBB高分率分别为10.99%和10.52%，长肽分支分别为4.20%和6.98%。牙周炎分支有3,446条短肽和72条长肽BBB高分，总计3,518条。短肽占3,446/3,518（97.95%），长肽占72/3,518（2.05%）。由于候选层面的独立性未被建立，未对上述并列比例进行推断检验。</w:t>
      </w:r>
    </w:p>
    <w:p>
      <w:pPr>
        <w:pStyle w:val="Normal"/>
      </w:pPr>
      <w:r>
        <w:t>主要记录的短肽长度汇总包括5–7 aa 547条、8–15 aa 2,893条和16–30 aa 6条；另有72条长肽为31–50 aa。因此牙周炎BBB高分集合以短序列为主，但缺少逐行身份，无法分析重叠、分类归属和参与者分布。</w:t>
      </w:r>
    </w:p>
    <w:p>
      <w:pPr>
        <w:pStyle w:val="Heading4"/>
        <w:keepNext/>
      </w:pPr>
      <w:r>
        <w:t>3.3 多活性输出出现饱和警示</w:t>
      </w:r>
    </w:p>
    <w:p>
      <w:pPr>
        <w:pStyle w:val="Normal"/>
      </w:pPr>
      <w:r>
        <w:t>完整UniDL4BioPep类别汇总保留在补充材料中。一个分布对解释尤其重要：健康短肽中30,537/30,557（99.93%）、牙周炎短肽中32,721/32,754（99.90%）被广义抗菌标签判为阳性。在统一0.80阈值下接近普遍阳性，不能视为实验活性口腔抗生素的合理估计。这提示序列域偏移、任务校准局限或标签特异阈值问题，也反对将跨模型一致性视作独立验证。</w:t>
      </w:r>
    </w:p>
    <w:p>
      <w:pPr>
        <w:pStyle w:val="Heading4"/>
        <w:keepNext/>
      </w:pPr>
      <w:r>
        <w:t>3.4 牙周炎分支从3,518条BBB高分候选缩至来源报告的12/8个终点</w:t>
      </w:r>
    </w:p>
    <w:p>
      <w:pPr>
        <w:pStyle w:val="Normal"/>
      </w:pPr>
      <w:r>
        <w:t>NTxPred2评估3,299/3,518条候选（93.77%）；219/3,518（6.23%）低于声明模型范围，属于未评估。已评估候选中，923/3,299（27.98%）被预测为阳性。主要记录随后报告111条mebipred阳性候选，其中15/111（13.51%）满足CHEL≥0.25，12/111（10.81%）进一步满足FRS&lt;0.50，8/111（7.21%）满足FRS&lt;0.45。收紧FRS阈值后保留主集合的8/12（66.67%）。</w:t>
      </w:r>
    </w:p>
    <w:p>
      <w:pPr>
        <w:pStyle w:val="Normal"/>
      </w:pPr>
      <w:r>
        <w:rPr>
          <w:b/>
        </w:rPr>
        <w:t>表2. 牙周炎分支汇总优选记录</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2340"/>
        <w:gridCol w:w="2340"/>
        <w:gridCol w:w="2340"/>
        <w:gridCol w:w="2340"/>
      </w:tblGrid>
      <w:tr>
        <w:trPr>
          <w:tblHeader/>
        </w:trPr>
        <w:tc>
          <w:tcPr>
            <w:tcW w:w="2340" w:type="dxa"/>
            <w:shd w:val="clear" w:color="auto" w:fill="DCE6F1"/>
            <w:vAlign w:val="center"/>
          </w:tcPr>
          <w:p>
            <w:pPr>
              <w:pStyle w:val="TableText"/>
              <w:spacing w:before="0" w:after="0" w:line="220" w:lineRule="auto"/>
            </w:pPr>
            <w:r>
              <w:rPr>
                <w:sz w:val="17"/>
                <w:szCs w:val="17"/>
              </w:rPr>
              <w:t>阶段</w:t>
            </w:r>
          </w:p>
        </w:tc>
        <w:tc>
          <w:tcPr>
            <w:tcW w:w="2340" w:type="dxa"/>
            <w:shd w:val="clear" w:color="auto" w:fill="DCE6F1"/>
            <w:vAlign w:val="center"/>
          </w:tcPr>
          <w:p>
            <w:pPr>
              <w:pStyle w:val="TableText"/>
              <w:spacing w:before="0" w:after="0" w:line="220" w:lineRule="auto"/>
            </w:pPr>
            <w:r>
              <w:rPr>
                <w:sz w:val="17"/>
                <w:szCs w:val="17"/>
              </w:rPr>
              <w:t>操作规则</w:t>
            </w:r>
          </w:p>
        </w:tc>
        <w:tc>
          <w:tcPr>
            <w:tcW w:w="2340" w:type="dxa"/>
            <w:shd w:val="clear" w:color="auto" w:fill="DCE6F1"/>
            <w:vAlign w:val="center"/>
          </w:tcPr>
          <w:p>
            <w:pPr>
              <w:pStyle w:val="TableText"/>
              <w:spacing w:before="0" w:after="0" w:line="220" w:lineRule="auto"/>
            </w:pPr>
            <w:r>
              <w:rPr>
                <w:sz w:val="17"/>
                <w:szCs w:val="17"/>
              </w:rPr>
              <w:t>n</w:t>
            </w:r>
          </w:p>
        </w:tc>
        <w:tc>
          <w:tcPr>
            <w:tcW w:w="2340" w:type="dxa"/>
            <w:shd w:val="clear" w:color="auto" w:fill="DCE6F1"/>
            <w:vAlign w:val="center"/>
          </w:tcPr>
          <w:p>
            <w:pPr>
              <w:pStyle w:val="TableText"/>
              <w:spacing w:before="0" w:after="0" w:line="220" w:lineRule="auto"/>
            </w:pPr>
            <w:r>
              <w:rPr>
                <w:sz w:val="17"/>
                <w:szCs w:val="17"/>
              </w:rPr>
              <w:t>可审计分母/状态</w:t>
            </w:r>
          </w:p>
        </w:tc>
      </w:tr>
      <w:tr>
        <w:tc>
          <w:tcPr>
            <w:tcW w:w="2340" w:type="dxa"/>
            <w:vAlign w:val="center"/>
          </w:tcPr>
          <w:p>
            <w:pPr>
              <w:pStyle w:val="TableText"/>
              <w:spacing w:before="0" w:after="0" w:line="220" w:lineRule="auto"/>
            </w:pPr>
            <w:r>
              <w:rPr>
                <w:sz w:val="17"/>
                <w:szCs w:val="17"/>
              </w:rPr>
              <w:t>短肽BBB高分</w:t>
            </w:r>
          </w:p>
        </w:tc>
        <w:tc>
          <w:tcPr>
            <w:tcW w:w="2340" w:type="dxa"/>
            <w:vAlign w:val="center"/>
          </w:tcPr>
          <w:p>
            <w:pPr>
              <w:pStyle w:val="TableText"/>
              <w:spacing w:before="0" w:after="0" w:line="220" w:lineRule="auto"/>
            </w:pPr>
            <w:r>
              <w:rPr>
                <w:sz w:val="17"/>
                <w:szCs w:val="17"/>
              </w:rPr>
              <w:t>UniDL4BioPep BBB输出≥0.80；5–30 aa</w:t>
            </w:r>
          </w:p>
        </w:tc>
        <w:tc>
          <w:tcPr>
            <w:tcW w:w="2340" w:type="dxa"/>
            <w:vAlign w:val="center"/>
          </w:tcPr>
          <w:p>
            <w:pPr>
              <w:pStyle w:val="TableText"/>
              <w:spacing w:before="0" w:after="0" w:line="220" w:lineRule="auto"/>
            </w:pPr>
            <w:r>
              <w:rPr>
                <w:sz w:val="17"/>
                <w:szCs w:val="17"/>
              </w:rPr>
              <w:t>3,446</w:t>
            </w:r>
          </w:p>
        </w:tc>
        <w:tc>
          <w:tcPr>
            <w:tcW w:w="2340" w:type="dxa"/>
            <w:vAlign w:val="center"/>
          </w:tcPr>
          <w:p>
            <w:pPr>
              <w:pStyle w:val="TableText"/>
              <w:spacing w:before="0" w:after="0" w:line="220" w:lineRule="auto"/>
            </w:pPr>
            <w:r>
              <w:rPr>
                <w:sz w:val="17"/>
                <w:szCs w:val="17"/>
              </w:rPr>
              <w:t>32,754条短肽候选</w:t>
            </w:r>
          </w:p>
        </w:tc>
      </w:tr>
      <w:tr>
        <w:tc>
          <w:tcPr>
            <w:tcW w:w="2340" w:type="dxa"/>
            <w:vAlign w:val="center"/>
          </w:tcPr>
          <w:p>
            <w:pPr>
              <w:pStyle w:val="TableText"/>
              <w:spacing w:before="0" w:after="0" w:line="220" w:lineRule="auto"/>
            </w:pPr>
            <w:r>
              <w:rPr>
                <w:sz w:val="17"/>
                <w:szCs w:val="17"/>
              </w:rPr>
              <w:t>长肽BBB高分</w:t>
            </w:r>
          </w:p>
        </w:tc>
        <w:tc>
          <w:tcPr>
            <w:tcW w:w="2340" w:type="dxa"/>
            <w:vAlign w:val="center"/>
          </w:tcPr>
          <w:p>
            <w:pPr>
              <w:pStyle w:val="TableText"/>
              <w:spacing w:before="0" w:after="0" w:line="220" w:lineRule="auto"/>
            </w:pPr>
            <w:r>
              <w:rPr>
                <w:sz w:val="17"/>
                <w:szCs w:val="17"/>
              </w:rPr>
              <w:t>UniDL4BioPep BBB输出≥0.80；31–50 aa</w:t>
            </w:r>
          </w:p>
        </w:tc>
        <w:tc>
          <w:tcPr>
            <w:tcW w:w="2340" w:type="dxa"/>
            <w:vAlign w:val="center"/>
          </w:tcPr>
          <w:p>
            <w:pPr>
              <w:pStyle w:val="TableText"/>
              <w:spacing w:before="0" w:after="0" w:line="220" w:lineRule="auto"/>
            </w:pPr>
            <w:r>
              <w:rPr>
                <w:sz w:val="17"/>
                <w:szCs w:val="17"/>
              </w:rPr>
              <w:t>72</w:t>
            </w:r>
          </w:p>
        </w:tc>
        <w:tc>
          <w:tcPr>
            <w:tcW w:w="2340" w:type="dxa"/>
            <w:vAlign w:val="center"/>
          </w:tcPr>
          <w:p>
            <w:pPr>
              <w:pStyle w:val="TableText"/>
              <w:spacing w:before="0" w:after="0" w:line="220" w:lineRule="auto"/>
            </w:pPr>
            <w:r>
              <w:rPr>
                <w:sz w:val="17"/>
                <w:szCs w:val="17"/>
              </w:rPr>
              <w:t>1,032条长肽候选</w:t>
            </w:r>
          </w:p>
        </w:tc>
      </w:tr>
      <w:tr>
        <w:tc>
          <w:tcPr>
            <w:tcW w:w="2340" w:type="dxa"/>
            <w:vAlign w:val="center"/>
          </w:tcPr>
          <w:p>
            <w:pPr>
              <w:pStyle w:val="TableText"/>
              <w:spacing w:before="0" w:after="0" w:line="220" w:lineRule="auto"/>
            </w:pPr>
            <w:r>
              <w:rPr>
                <w:sz w:val="17"/>
                <w:szCs w:val="17"/>
              </w:rPr>
              <w:t>BBB高分总计</w:t>
            </w:r>
          </w:p>
        </w:tc>
        <w:tc>
          <w:tcPr>
            <w:tcW w:w="2340" w:type="dxa"/>
            <w:vAlign w:val="center"/>
          </w:tcPr>
          <w:p>
            <w:pPr>
              <w:pStyle w:val="TableText"/>
              <w:spacing w:before="0" w:after="0" w:line="220" w:lineRule="auto"/>
            </w:pPr>
            <w:r>
              <w:rPr>
                <w:sz w:val="17"/>
                <w:szCs w:val="17"/>
              </w:rPr>
              <w:t>短肽+长肽</w:t>
            </w:r>
          </w:p>
        </w:tc>
        <w:tc>
          <w:tcPr>
            <w:tcW w:w="2340" w:type="dxa"/>
            <w:vAlign w:val="center"/>
          </w:tcPr>
          <w:p>
            <w:pPr>
              <w:pStyle w:val="TableText"/>
              <w:spacing w:before="0" w:after="0" w:line="220" w:lineRule="auto"/>
            </w:pPr>
            <w:r>
              <w:rPr>
                <w:sz w:val="17"/>
                <w:szCs w:val="17"/>
              </w:rPr>
              <w:t>3,518</w:t>
            </w:r>
          </w:p>
        </w:tc>
        <w:tc>
          <w:tcPr>
            <w:tcW w:w="2340" w:type="dxa"/>
            <w:vAlign w:val="center"/>
          </w:tcPr>
          <w:p>
            <w:pPr>
              <w:pStyle w:val="TableText"/>
              <w:spacing w:before="0" w:after="0" w:line="220" w:lineRule="auto"/>
            </w:pPr>
            <w:r>
              <w:rPr>
                <w:sz w:val="17"/>
                <w:szCs w:val="17"/>
              </w:rPr>
              <w:t>算术和</w:t>
            </w:r>
          </w:p>
        </w:tc>
      </w:tr>
      <w:tr>
        <w:tc>
          <w:tcPr>
            <w:tcW w:w="2340" w:type="dxa"/>
            <w:vAlign w:val="center"/>
          </w:tcPr>
          <w:p>
            <w:pPr>
              <w:pStyle w:val="TableText"/>
              <w:spacing w:before="0" w:after="0" w:line="220" w:lineRule="auto"/>
            </w:pPr>
            <w:r>
              <w:rPr>
                <w:sz w:val="17"/>
                <w:szCs w:val="17"/>
              </w:rPr>
              <w:t>NTxPred2已评估</w:t>
            </w:r>
          </w:p>
        </w:tc>
        <w:tc>
          <w:tcPr>
            <w:tcW w:w="2340" w:type="dxa"/>
            <w:vAlign w:val="center"/>
          </w:tcPr>
          <w:p>
            <w:pPr>
              <w:pStyle w:val="TableText"/>
              <w:spacing w:before="0" w:after="0" w:line="220" w:lineRule="auto"/>
            </w:pPr>
            <w:r>
              <w:rPr>
                <w:sz w:val="17"/>
                <w:szCs w:val="17"/>
              </w:rPr>
              <w:t>声明范围7–50 aa</w:t>
            </w:r>
          </w:p>
        </w:tc>
        <w:tc>
          <w:tcPr>
            <w:tcW w:w="2340" w:type="dxa"/>
            <w:vAlign w:val="center"/>
          </w:tcPr>
          <w:p>
            <w:pPr>
              <w:pStyle w:val="TableText"/>
              <w:spacing w:before="0" w:after="0" w:line="220" w:lineRule="auto"/>
            </w:pPr>
            <w:r>
              <w:rPr>
                <w:sz w:val="17"/>
                <w:szCs w:val="17"/>
              </w:rPr>
              <w:t>3,299</w:t>
            </w:r>
          </w:p>
        </w:tc>
        <w:tc>
          <w:tcPr>
            <w:tcW w:w="2340" w:type="dxa"/>
            <w:vAlign w:val="center"/>
          </w:tcPr>
          <w:p>
            <w:pPr>
              <w:pStyle w:val="TableText"/>
              <w:spacing w:before="0" w:after="0" w:line="220" w:lineRule="auto"/>
            </w:pPr>
            <w:r>
              <w:rPr>
                <w:sz w:val="17"/>
                <w:szCs w:val="17"/>
              </w:rPr>
              <w:t>3,518条BBB高分候选</w:t>
            </w:r>
          </w:p>
        </w:tc>
      </w:tr>
      <w:tr>
        <w:tc>
          <w:tcPr>
            <w:tcW w:w="2340" w:type="dxa"/>
            <w:vAlign w:val="center"/>
          </w:tcPr>
          <w:p>
            <w:pPr>
              <w:pStyle w:val="TableText"/>
              <w:spacing w:before="0" w:after="0" w:line="220" w:lineRule="auto"/>
            </w:pPr>
            <w:r>
              <w:rPr>
                <w:sz w:val="17"/>
                <w:szCs w:val="17"/>
              </w:rPr>
              <w:t>NTxPred2未评估</w:t>
            </w:r>
          </w:p>
        </w:tc>
        <w:tc>
          <w:tcPr>
            <w:tcW w:w="2340" w:type="dxa"/>
            <w:vAlign w:val="center"/>
          </w:tcPr>
          <w:p>
            <w:pPr>
              <w:pStyle w:val="TableText"/>
              <w:spacing w:before="0" w:after="0" w:line="220" w:lineRule="auto"/>
            </w:pPr>
            <w:r>
              <w:rPr>
                <w:sz w:val="17"/>
                <w:szCs w:val="17"/>
              </w:rPr>
              <w:t>低于声明范围</w:t>
            </w:r>
          </w:p>
        </w:tc>
        <w:tc>
          <w:tcPr>
            <w:tcW w:w="2340" w:type="dxa"/>
            <w:vAlign w:val="center"/>
          </w:tcPr>
          <w:p>
            <w:pPr>
              <w:pStyle w:val="TableText"/>
              <w:spacing w:before="0" w:after="0" w:line="220" w:lineRule="auto"/>
            </w:pPr>
            <w:r>
              <w:rPr>
                <w:sz w:val="17"/>
                <w:szCs w:val="17"/>
              </w:rPr>
              <w:t>219</w:t>
            </w:r>
          </w:p>
        </w:tc>
        <w:tc>
          <w:tcPr>
            <w:tcW w:w="2340" w:type="dxa"/>
            <w:vAlign w:val="center"/>
          </w:tcPr>
          <w:p>
            <w:pPr>
              <w:pStyle w:val="TableText"/>
              <w:spacing w:before="0" w:after="0" w:line="220" w:lineRule="auto"/>
            </w:pPr>
            <w:r>
              <w:rPr>
                <w:sz w:val="17"/>
                <w:szCs w:val="17"/>
              </w:rPr>
              <w:t>3,518条BBB高分候选</w:t>
            </w:r>
          </w:p>
        </w:tc>
      </w:tr>
      <w:tr>
        <w:tc>
          <w:tcPr>
            <w:tcW w:w="2340" w:type="dxa"/>
            <w:vAlign w:val="center"/>
          </w:tcPr>
          <w:p>
            <w:pPr>
              <w:pStyle w:val="TableText"/>
              <w:spacing w:before="0" w:after="0" w:line="220" w:lineRule="auto"/>
            </w:pPr>
            <w:r>
              <w:rPr>
                <w:sz w:val="17"/>
                <w:szCs w:val="17"/>
              </w:rPr>
              <w:t>NTxPred2阳性</w:t>
            </w:r>
          </w:p>
        </w:tc>
        <w:tc>
          <w:tcPr>
            <w:tcW w:w="2340" w:type="dxa"/>
            <w:vAlign w:val="center"/>
          </w:tcPr>
          <w:p>
            <w:pPr>
              <w:pStyle w:val="TableText"/>
              <w:spacing w:before="0" w:after="0" w:line="220" w:lineRule="auto"/>
            </w:pPr>
            <w:r>
              <w:rPr>
                <w:sz w:val="17"/>
                <w:szCs w:val="17"/>
              </w:rPr>
              <w:t>来源模型标签</w:t>
            </w:r>
          </w:p>
        </w:tc>
        <w:tc>
          <w:tcPr>
            <w:tcW w:w="2340" w:type="dxa"/>
            <w:vAlign w:val="center"/>
          </w:tcPr>
          <w:p>
            <w:pPr>
              <w:pStyle w:val="TableText"/>
              <w:spacing w:before="0" w:after="0" w:line="220" w:lineRule="auto"/>
            </w:pPr>
            <w:r>
              <w:rPr>
                <w:sz w:val="17"/>
                <w:szCs w:val="17"/>
              </w:rPr>
              <w:t>923</w:t>
            </w:r>
          </w:p>
        </w:tc>
        <w:tc>
          <w:tcPr>
            <w:tcW w:w="2340" w:type="dxa"/>
            <w:vAlign w:val="center"/>
          </w:tcPr>
          <w:p>
            <w:pPr>
              <w:pStyle w:val="TableText"/>
              <w:spacing w:before="0" w:after="0" w:line="220" w:lineRule="auto"/>
            </w:pPr>
            <w:r>
              <w:rPr>
                <w:sz w:val="17"/>
                <w:szCs w:val="17"/>
              </w:rPr>
              <w:t>3,299条已评估候选</w:t>
            </w:r>
          </w:p>
        </w:tc>
      </w:tr>
      <w:tr>
        <w:tc>
          <w:tcPr>
            <w:tcW w:w="2340" w:type="dxa"/>
            <w:vAlign w:val="center"/>
          </w:tcPr>
          <w:p>
            <w:pPr>
              <w:pStyle w:val="TableText"/>
              <w:spacing w:before="0" w:after="0" w:line="220" w:lineRule="auto"/>
            </w:pPr>
            <w:r>
              <w:rPr>
                <w:sz w:val="17"/>
                <w:szCs w:val="17"/>
              </w:rPr>
              <w:t>金属结合阳性</w:t>
            </w:r>
          </w:p>
        </w:tc>
        <w:tc>
          <w:tcPr>
            <w:tcW w:w="2340" w:type="dxa"/>
            <w:vAlign w:val="center"/>
          </w:tcPr>
          <w:p>
            <w:pPr>
              <w:pStyle w:val="TableText"/>
              <w:spacing w:before="0" w:after="0" w:line="220" w:lineRule="auto"/>
            </w:pPr>
            <w:r>
              <w:rPr>
                <w:sz w:val="17"/>
                <w:szCs w:val="17"/>
              </w:rPr>
              <w:t>mebipred输出≥0.50</w:t>
            </w:r>
          </w:p>
        </w:tc>
        <w:tc>
          <w:tcPr>
            <w:tcW w:w="2340" w:type="dxa"/>
            <w:vAlign w:val="center"/>
          </w:tcPr>
          <w:p>
            <w:pPr>
              <w:pStyle w:val="TableText"/>
              <w:spacing w:before="0" w:after="0" w:line="220" w:lineRule="auto"/>
            </w:pPr>
            <w:r>
              <w:rPr>
                <w:sz w:val="17"/>
                <w:szCs w:val="17"/>
              </w:rPr>
              <w:t>111</w:t>
            </w:r>
          </w:p>
        </w:tc>
        <w:tc>
          <w:tcPr>
            <w:tcW w:w="2340" w:type="dxa"/>
            <w:vAlign w:val="center"/>
          </w:tcPr>
          <w:p>
            <w:pPr>
              <w:pStyle w:val="TableText"/>
              <w:spacing w:before="0" w:after="0" w:line="220" w:lineRule="auto"/>
            </w:pPr>
            <w:r>
              <w:rPr>
                <w:sz w:val="17"/>
                <w:szCs w:val="17"/>
              </w:rPr>
              <w:t>来源报告下游计数；逐行交接缺失</w:t>
            </w:r>
          </w:p>
        </w:tc>
      </w:tr>
      <w:tr>
        <w:tc>
          <w:tcPr>
            <w:tcW w:w="2340" w:type="dxa"/>
            <w:vAlign w:val="center"/>
          </w:tcPr>
          <w:p>
            <w:pPr>
              <w:pStyle w:val="TableText"/>
              <w:spacing w:before="0" w:after="0" w:line="220" w:lineRule="auto"/>
            </w:pPr>
            <w:r>
              <w:rPr>
                <w:sz w:val="17"/>
                <w:szCs w:val="17"/>
              </w:rPr>
              <w:t>CHEL优选</w:t>
            </w:r>
          </w:p>
        </w:tc>
        <w:tc>
          <w:tcPr>
            <w:tcW w:w="2340" w:type="dxa"/>
            <w:vAlign w:val="center"/>
          </w:tcPr>
          <w:p>
            <w:pPr>
              <w:pStyle w:val="TableText"/>
              <w:spacing w:before="0" w:after="0" w:line="220" w:lineRule="auto"/>
            </w:pPr>
            <w:r>
              <w:rPr>
                <w:sz w:val="17"/>
                <w:szCs w:val="17"/>
              </w:rPr>
              <w:t>CHEL≥0.25</w:t>
            </w:r>
          </w:p>
        </w:tc>
        <w:tc>
          <w:tcPr>
            <w:tcW w:w="2340" w:type="dxa"/>
            <w:vAlign w:val="center"/>
          </w:tcPr>
          <w:p>
            <w:pPr>
              <w:pStyle w:val="TableText"/>
              <w:spacing w:before="0" w:after="0" w:line="220" w:lineRule="auto"/>
            </w:pPr>
            <w:r>
              <w:rPr>
                <w:sz w:val="17"/>
                <w:szCs w:val="17"/>
              </w:rPr>
              <w:t>15</w:t>
            </w:r>
          </w:p>
        </w:tc>
        <w:tc>
          <w:tcPr>
            <w:tcW w:w="2340" w:type="dxa"/>
            <w:vAlign w:val="center"/>
          </w:tcPr>
          <w:p>
            <w:pPr>
              <w:pStyle w:val="TableText"/>
              <w:spacing w:before="0" w:after="0" w:line="220" w:lineRule="auto"/>
            </w:pPr>
            <w:r>
              <w:rPr>
                <w:sz w:val="17"/>
                <w:szCs w:val="17"/>
              </w:rPr>
              <w:t>111条报告金属阳性候选</w:t>
            </w:r>
          </w:p>
        </w:tc>
      </w:tr>
      <w:tr>
        <w:tc>
          <w:tcPr>
            <w:tcW w:w="2340" w:type="dxa"/>
            <w:vAlign w:val="center"/>
          </w:tcPr>
          <w:p>
            <w:pPr>
              <w:pStyle w:val="TableText"/>
              <w:spacing w:before="0" w:after="0" w:line="220" w:lineRule="auto"/>
            </w:pPr>
            <w:r>
              <w:rPr>
                <w:sz w:val="17"/>
                <w:szCs w:val="17"/>
              </w:rPr>
              <w:t>主集合</w:t>
            </w:r>
          </w:p>
        </w:tc>
        <w:tc>
          <w:tcPr>
            <w:tcW w:w="2340" w:type="dxa"/>
            <w:vAlign w:val="center"/>
          </w:tcPr>
          <w:p>
            <w:pPr>
              <w:pStyle w:val="TableText"/>
              <w:spacing w:before="0" w:after="0" w:line="220" w:lineRule="auto"/>
            </w:pPr>
            <w:r>
              <w:rPr>
                <w:sz w:val="17"/>
                <w:szCs w:val="17"/>
              </w:rPr>
              <w:t>CHEL≥0.25且FRS&lt;0.50</w:t>
            </w:r>
          </w:p>
        </w:tc>
        <w:tc>
          <w:tcPr>
            <w:tcW w:w="2340" w:type="dxa"/>
            <w:vAlign w:val="center"/>
          </w:tcPr>
          <w:p>
            <w:pPr>
              <w:pStyle w:val="TableText"/>
              <w:spacing w:before="0" w:after="0" w:line="220" w:lineRule="auto"/>
            </w:pPr>
            <w:r>
              <w:rPr>
                <w:sz w:val="17"/>
                <w:szCs w:val="17"/>
              </w:rPr>
              <w:t>12</w:t>
            </w:r>
          </w:p>
        </w:tc>
        <w:tc>
          <w:tcPr>
            <w:tcW w:w="2340" w:type="dxa"/>
            <w:vAlign w:val="center"/>
          </w:tcPr>
          <w:p>
            <w:pPr>
              <w:pStyle w:val="TableText"/>
              <w:spacing w:before="0" w:after="0" w:line="220" w:lineRule="auto"/>
            </w:pPr>
            <w:r>
              <w:rPr>
                <w:sz w:val="17"/>
                <w:szCs w:val="17"/>
              </w:rPr>
              <w:t>111条报告金属阳性候选</w:t>
            </w:r>
          </w:p>
        </w:tc>
      </w:tr>
      <w:tr>
        <w:tc>
          <w:tcPr>
            <w:tcW w:w="2340" w:type="dxa"/>
            <w:vAlign w:val="center"/>
          </w:tcPr>
          <w:p>
            <w:pPr>
              <w:pStyle w:val="TableText"/>
              <w:spacing w:before="0" w:after="0" w:line="220" w:lineRule="auto"/>
            </w:pPr>
            <w:r>
              <w:rPr>
                <w:sz w:val="17"/>
                <w:szCs w:val="17"/>
              </w:rPr>
              <w:t>更严格子集</w:t>
            </w:r>
          </w:p>
        </w:tc>
        <w:tc>
          <w:tcPr>
            <w:tcW w:w="2340" w:type="dxa"/>
            <w:vAlign w:val="center"/>
          </w:tcPr>
          <w:p>
            <w:pPr>
              <w:pStyle w:val="TableText"/>
              <w:spacing w:before="0" w:after="0" w:line="220" w:lineRule="auto"/>
            </w:pPr>
            <w:r>
              <w:rPr>
                <w:sz w:val="17"/>
                <w:szCs w:val="17"/>
              </w:rPr>
              <w:t>CHEL≥0.25且FRS&lt;0.45</w:t>
            </w:r>
          </w:p>
        </w:tc>
        <w:tc>
          <w:tcPr>
            <w:tcW w:w="2340" w:type="dxa"/>
            <w:vAlign w:val="center"/>
          </w:tcPr>
          <w:p>
            <w:pPr>
              <w:pStyle w:val="TableText"/>
              <w:spacing w:before="0" w:after="0" w:line="220" w:lineRule="auto"/>
            </w:pPr>
            <w:r>
              <w:rPr>
                <w:sz w:val="17"/>
                <w:szCs w:val="17"/>
              </w:rPr>
              <w:t>8</w:t>
            </w:r>
          </w:p>
        </w:tc>
        <w:tc>
          <w:tcPr>
            <w:tcW w:w="2340" w:type="dxa"/>
            <w:vAlign w:val="center"/>
          </w:tcPr>
          <w:p>
            <w:pPr>
              <w:pStyle w:val="TableText"/>
              <w:spacing w:before="0" w:after="0" w:line="220" w:lineRule="auto"/>
            </w:pPr>
            <w:r>
              <w:rPr>
                <w:sz w:val="17"/>
                <w:szCs w:val="17"/>
              </w:rPr>
              <w:t>111条报告金属阳性候选；成员未知</w:t>
            </w:r>
          </w:p>
        </w:tc>
      </w:tr>
    </w:tbl>
    <w:p>
      <w:pPr>
        <w:spacing w:after="40"/>
      </w:pPr>
    </w:p>
    <w:p>
      <w:pPr>
        <w:pStyle w:val="Figure"/>
        <w:jc w:val="center"/>
        <w:keepNext/>
      </w:pPr>
      <w:r>
        <w:drawing>
          <wp:inline distT="0" distB="0" distL="0" distR="0">
            <wp:extent cx="6150000" cy="5261666"/>
            <wp:effectExtent l="0" t="0" r="0" b="0"/>
            <wp:docPr id="4" name="Figure 4" descr="图1. 保留证据边界的汇总优选漏斗"/>
            <wp:cNvGraphicFramePr>
              <a:graphicFrameLocks noChangeAspect="1"/>
            </wp:cNvGraphicFramePr>
            <a:graphic>
              <a:graphicData uri="http://schemas.openxmlformats.org/drawingml/2006/picture">
                <pic:pic>
                  <pic:nvPicPr>
                    <pic:cNvPr id="0" name="prioritization_funnel.png"/>
                    <pic:cNvPicPr/>
                  </pic:nvPicPr>
                  <pic:blipFill>
                    <a:blip r:embed="rId10"/>
                    <a:stretch>
                      <a:fillRect/>
                    </a:stretch>
                  </pic:blipFill>
                  <pic:spPr>
                    <a:xfrm>
                      <a:off x="0" y="0"/>
                      <a:ext cx="6150000" cy="5261666"/>
                    </a:xfrm>
                    <a:prstGeom prst="rect">
                      <a:avLst/>
                    </a:prstGeom>
                  </pic:spPr>
                </pic:pic>
              </a:graphicData>
            </a:graphic>
          </wp:inline>
        </w:drawing>
      </w:r>
    </w:p>
    <w:p>
      <w:pPr>
        <w:pStyle w:val="Normal"/>
      </w:pPr>
      <w:r>
        <w:rPr>
          <w:b/>
        </w:rPr>
        <w:t>图1.</w:t>
      </w:r>
      <w:r>
        <w:t xml:space="preserve"> 汇总筛选漏斗。实线转换可由算术重建。因缺少逐行链路，NTxPred2至mebipred转换保持虚线。主要来源缺少候选身份；外部v0.4记录提供12条序列，但未提供其逐行筛选链路。</w:t>
      </w:r>
    </w:p>
    <w:p>
      <w:pPr>
        <w:pStyle w:val="Heading4"/>
        <w:keepNext/>
      </w:pPr>
      <w:r>
        <w:t>3.5 外部序列清单可进行组成审计</w:t>
      </w:r>
    </w:p>
    <w:p>
      <w:pPr>
        <w:pStyle w:val="Normal"/>
      </w:pPr>
      <w:r>
        <w:t>外部v0.4记录列出12条互不重复的序列，均由标准氨基酸组成，长度7–9个残基（表3）。11条含组氨酸，6条含半胱氨酸，每条都至少含一个Arg/Lys。这些组成陈述可直接由字符串复现，有助于合成和假设设计，但不能验证金属结合、BBB转运、毒性、分类归属或其与主要来源12行的对应。</w:t>
      </w:r>
    </w:p>
    <w:p>
      <w:pPr>
        <w:pStyle w:val="Normal"/>
      </w:pPr>
      <w:r>
        <w:rPr>
          <w:b/>
        </w:rPr>
        <w:t>表3. 外部报告12条序列及独立重算组成</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shd w:val="clear" w:color="auto" w:fill="DCE6F1"/>
            <w:vAlign w:val="center"/>
          </w:tcPr>
          <w:p>
            <w:pPr>
              <w:pStyle w:val="TableText"/>
              <w:spacing w:before="0" w:after="0" w:line="220" w:lineRule="auto"/>
            </w:pPr>
            <w:r>
              <w:rPr>
                <w:sz w:val="17"/>
                <w:szCs w:val="17"/>
              </w:rPr>
              <w:t>按报告Vina均值排序</w:t>
            </w:r>
          </w:p>
        </w:tc>
        <w:tc>
          <w:tcPr>
            <w:tcW w:w="1337" w:type="dxa"/>
            <w:shd w:val="clear" w:color="auto" w:fill="DCE6F1"/>
            <w:vAlign w:val="center"/>
          </w:tcPr>
          <w:p>
            <w:pPr>
              <w:pStyle w:val="TableText"/>
              <w:spacing w:before="0" w:after="0" w:line="220" w:lineRule="auto"/>
            </w:pPr>
            <w:r>
              <w:rPr>
                <w:sz w:val="17"/>
                <w:szCs w:val="17"/>
              </w:rPr>
              <w:t>序列</w:t>
            </w:r>
          </w:p>
        </w:tc>
        <w:tc>
          <w:tcPr>
            <w:tcW w:w="1337" w:type="dxa"/>
            <w:shd w:val="clear" w:color="auto" w:fill="DCE6F1"/>
            <w:vAlign w:val="center"/>
          </w:tcPr>
          <w:p>
            <w:pPr>
              <w:pStyle w:val="TableText"/>
              <w:spacing w:before="0" w:after="0" w:line="220" w:lineRule="auto"/>
            </w:pPr>
            <w:r>
              <w:rPr>
                <w:sz w:val="17"/>
                <w:szCs w:val="17"/>
              </w:rPr>
              <w:t>长度</w:t>
            </w:r>
          </w:p>
        </w:tc>
        <w:tc>
          <w:tcPr>
            <w:tcW w:w="1337" w:type="dxa"/>
            <w:shd w:val="clear" w:color="auto" w:fill="DCE6F1"/>
            <w:vAlign w:val="center"/>
          </w:tcPr>
          <w:p>
            <w:pPr>
              <w:pStyle w:val="TableText"/>
              <w:spacing w:before="0" w:after="0" w:line="220" w:lineRule="auto"/>
            </w:pPr>
            <w:r>
              <w:rPr>
                <w:sz w:val="17"/>
                <w:szCs w:val="17"/>
              </w:rPr>
              <w:t>His</w:t>
            </w:r>
          </w:p>
        </w:tc>
        <w:tc>
          <w:tcPr>
            <w:tcW w:w="1337" w:type="dxa"/>
            <w:shd w:val="clear" w:color="auto" w:fill="DCE6F1"/>
            <w:vAlign w:val="center"/>
          </w:tcPr>
          <w:p>
            <w:pPr>
              <w:pStyle w:val="TableText"/>
              <w:spacing w:before="0" w:after="0" w:line="220" w:lineRule="auto"/>
            </w:pPr>
            <w:r>
              <w:rPr>
                <w:sz w:val="17"/>
                <w:szCs w:val="17"/>
              </w:rPr>
              <w:t>Cys</w:t>
            </w:r>
          </w:p>
        </w:tc>
        <w:tc>
          <w:tcPr>
            <w:tcW w:w="1337" w:type="dxa"/>
            <w:shd w:val="clear" w:color="auto" w:fill="DCE6F1"/>
            <w:vAlign w:val="center"/>
          </w:tcPr>
          <w:p>
            <w:pPr>
              <w:pStyle w:val="TableText"/>
              <w:spacing w:before="0" w:after="0" w:line="220" w:lineRule="auto"/>
            </w:pPr>
            <w:r>
              <w:rPr>
                <w:sz w:val="17"/>
                <w:szCs w:val="17"/>
              </w:rPr>
              <w:t>Arg+Lys</w:t>
            </w:r>
          </w:p>
        </w:tc>
        <w:tc>
          <w:tcPr>
            <w:tcW w:w="1337" w:type="dxa"/>
            <w:shd w:val="clear" w:color="auto" w:fill="DCE6F1"/>
            <w:vAlign w:val="center"/>
          </w:tcPr>
          <w:p>
            <w:pPr>
              <w:pStyle w:val="TableText"/>
              <w:spacing w:before="0" w:after="0" w:line="220" w:lineRule="auto"/>
            </w:pPr>
            <w:r>
              <w:rPr>
                <w:sz w:val="17"/>
                <w:szCs w:val="17"/>
              </w:rPr>
              <w:t>Phe+Tyr+Trp</w:t>
            </w:r>
          </w:p>
        </w:tc>
      </w:tr>
      <w:tr>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FLLHTTR</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YLSLLQR</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3</w:t>
            </w:r>
          </w:p>
        </w:tc>
        <w:tc>
          <w:tcPr>
            <w:tcW w:w="1337" w:type="dxa"/>
            <w:vAlign w:val="center"/>
          </w:tcPr>
          <w:p>
            <w:pPr>
              <w:pStyle w:val="TableText"/>
              <w:spacing w:before="0" w:after="0" w:line="220" w:lineRule="auto"/>
            </w:pPr>
            <w:r>
              <w:rPr>
                <w:sz w:val="17"/>
                <w:szCs w:val="17"/>
              </w:rPr>
              <w:t>ALLLHRC</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4</w:t>
            </w:r>
          </w:p>
        </w:tc>
        <w:tc>
          <w:tcPr>
            <w:tcW w:w="1337" w:type="dxa"/>
            <w:vAlign w:val="center"/>
          </w:tcPr>
          <w:p>
            <w:pPr>
              <w:pStyle w:val="TableText"/>
              <w:spacing w:before="0" w:after="0" w:line="220" w:lineRule="auto"/>
            </w:pPr>
            <w:r>
              <w:rPr>
                <w:sz w:val="17"/>
                <w:szCs w:val="17"/>
              </w:rPr>
              <w:t>FCLHLQLR</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5</w:t>
            </w:r>
          </w:p>
        </w:tc>
        <w:tc>
          <w:tcPr>
            <w:tcW w:w="1337" w:type="dxa"/>
            <w:vAlign w:val="center"/>
          </w:tcPr>
          <w:p>
            <w:pPr>
              <w:pStyle w:val="TableText"/>
              <w:spacing w:before="0" w:after="0" w:line="220" w:lineRule="auto"/>
            </w:pPr>
            <w:r>
              <w:rPr>
                <w:sz w:val="17"/>
                <w:szCs w:val="17"/>
              </w:rPr>
              <w:t>YHHLLCRR</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6</w:t>
            </w:r>
          </w:p>
        </w:tc>
        <w:tc>
          <w:tcPr>
            <w:tcW w:w="1337" w:type="dxa"/>
            <w:vAlign w:val="center"/>
          </w:tcPr>
          <w:p>
            <w:pPr>
              <w:pStyle w:val="TableText"/>
              <w:spacing w:before="0" w:after="0" w:line="220" w:lineRule="auto"/>
            </w:pPr>
            <w:r>
              <w:rPr>
                <w:sz w:val="17"/>
                <w:szCs w:val="17"/>
              </w:rPr>
              <w:t>LLHLPKRTT</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LLHPLRL</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WLLVHLKK</w:t>
            </w:r>
          </w:p>
        </w:tc>
        <w:tc>
          <w:tcPr>
            <w:tcW w:w="1337" w:type="dxa"/>
            <w:vAlign w:val="center"/>
          </w:tcPr>
          <w:p>
            <w:pPr>
              <w:pStyle w:val="TableText"/>
              <w:spacing w:before="0" w:after="0" w:line="220" w:lineRule="auto"/>
            </w:pPr>
            <w:r>
              <w:rPr>
                <w:sz w:val="17"/>
                <w:szCs w:val="17"/>
              </w:rPr>
              <w:t>8</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r>
      <w:tr>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LLHPLRC</w:t>
            </w:r>
          </w:p>
        </w:tc>
        <w:tc>
          <w:tcPr>
            <w:tcW w:w="1337" w:type="dxa"/>
            <w:vAlign w:val="center"/>
          </w:tcPr>
          <w:p>
            <w:pPr>
              <w:pStyle w:val="TableText"/>
              <w:spacing w:before="0" w:after="0" w:line="220" w:lineRule="auto"/>
            </w:pPr>
            <w:r>
              <w:rPr>
                <w:sz w:val="17"/>
                <w:szCs w:val="17"/>
              </w:rPr>
              <w:t>7</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10</w:t>
            </w:r>
          </w:p>
        </w:tc>
        <w:tc>
          <w:tcPr>
            <w:tcW w:w="1337" w:type="dxa"/>
            <w:vAlign w:val="center"/>
          </w:tcPr>
          <w:p>
            <w:pPr>
              <w:pStyle w:val="TableText"/>
              <w:spacing w:before="0" w:after="0" w:line="220" w:lineRule="auto"/>
            </w:pPr>
            <w:r>
              <w:rPr>
                <w:sz w:val="17"/>
                <w:szCs w:val="17"/>
              </w:rPr>
              <w:t>HLLTLKKHV</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11</w:t>
            </w:r>
          </w:p>
        </w:tc>
        <w:tc>
          <w:tcPr>
            <w:tcW w:w="1337" w:type="dxa"/>
            <w:vAlign w:val="center"/>
          </w:tcPr>
          <w:p>
            <w:pPr>
              <w:pStyle w:val="TableText"/>
              <w:spacing w:before="0" w:after="0" w:line="220" w:lineRule="auto"/>
            </w:pPr>
            <w:r>
              <w:rPr>
                <w:sz w:val="17"/>
                <w:szCs w:val="17"/>
              </w:rPr>
              <w:t>HLPLLHRCC</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2</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r>
        <w:tc>
          <w:tcPr>
            <w:tcW w:w="1337" w:type="dxa"/>
            <w:vAlign w:val="center"/>
          </w:tcPr>
          <w:p>
            <w:pPr>
              <w:pStyle w:val="TableText"/>
              <w:spacing w:before="0" w:after="0" w:line="220" w:lineRule="auto"/>
            </w:pPr>
            <w:r>
              <w:rPr>
                <w:sz w:val="17"/>
                <w:szCs w:val="17"/>
              </w:rPr>
              <w:t>12</w:t>
            </w:r>
          </w:p>
        </w:tc>
        <w:tc>
          <w:tcPr>
            <w:tcW w:w="1337" w:type="dxa"/>
            <w:vAlign w:val="center"/>
          </w:tcPr>
          <w:p>
            <w:pPr>
              <w:pStyle w:val="TableText"/>
              <w:spacing w:before="0" w:after="0" w:line="220" w:lineRule="auto"/>
            </w:pPr>
            <w:r>
              <w:rPr>
                <w:sz w:val="17"/>
                <w:szCs w:val="17"/>
              </w:rPr>
              <w:t>HVLLLRQCA</w:t>
            </w:r>
          </w:p>
        </w:tc>
        <w:tc>
          <w:tcPr>
            <w:tcW w:w="1337" w:type="dxa"/>
            <w:vAlign w:val="center"/>
          </w:tcPr>
          <w:p>
            <w:pPr>
              <w:pStyle w:val="TableText"/>
              <w:spacing w:before="0" w:after="0" w:line="220" w:lineRule="auto"/>
            </w:pPr>
            <w:r>
              <w:rPr>
                <w:sz w:val="17"/>
                <w:szCs w:val="17"/>
              </w:rPr>
              <w:t>9</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1</w:t>
            </w:r>
          </w:p>
        </w:tc>
        <w:tc>
          <w:tcPr>
            <w:tcW w:w="1337" w:type="dxa"/>
            <w:vAlign w:val="center"/>
          </w:tcPr>
          <w:p>
            <w:pPr>
              <w:pStyle w:val="TableText"/>
              <w:spacing w:before="0" w:after="0" w:line="220" w:lineRule="auto"/>
            </w:pPr>
            <w:r>
              <w:rPr>
                <w:sz w:val="17"/>
                <w:szCs w:val="17"/>
              </w:rPr>
              <w:t>0</w:t>
            </w:r>
          </w:p>
        </w:tc>
      </w:tr>
    </w:tbl>
    <w:p>
      <w:pPr>
        <w:spacing w:after="40"/>
      </w:pPr>
    </w:p>
    <w:p>
      <w:pPr>
        <w:pStyle w:val="Normal"/>
      </w:pPr>
      <w:r>
        <w:t>更严格8/12子集的成员仍未知，因为两个证据层均未提供序列层面的FRS标签。</w:t>
      </w:r>
    </w:p>
    <w:p>
      <w:pPr>
        <w:pStyle w:val="Heading4"/>
        <w:keepNext/>
      </w:pPr>
      <w:r>
        <w:t>3.6 来源报告Vina汇总可对12条序列排序，但不构成对接复现</w:t>
      </w:r>
    </w:p>
    <w:p>
      <w:pPr>
        <w:pStyle w:val="Normal"/>
      </w:pPr>
      <w:r>
        <w:t>外部记录提供的Vina均值为−9.60至−8.25 kcal/mol，SD为0.04至0.12（表4，图2）。排序、唯一性和数值范围均通过确定性检查。前三条报告均值依次为FLLHTTR −9.60、YLSLLQR −9.49和ALLLHRC −9.29 kcal/mol；末两条为HLPLLHRCC −8.35和HVLLLRQCA −8.25 kcal/mol。</w:t>
      </w:r>
    </w:p>
    <w:p>
      <w:pPr>
        <w:pStyle w:val="Normal"/>
      </w:pPr>
      <w:r>
        <w:rPr>
          <w:b/>
        </w:rPr>
        <w:t>表4. 针对人AChE PDB 4EY6的来源报告AutoDock Vina汇总</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排名</w:t>
            </w:r>
          </w:p>
        </w:tc>
        <w:tc>
          <w:tcPr>
            <w:tcW w:w="1872" w:type="dxa"/>
            <w:shd w:val="clear" w:color="auto" w:fill="DCE6F1"/>
            <w:vAlign w:val="center"/>
          </w:tcPr>
          <w:p>
            <w:pPr>
              <w:pStyle w:val="TableText"/>
              <w:spacing w:before="0" w:after="0" w:line="220" w:lineRule="auto"/>
            </w:pPr>
            <w:r>
              <w:rPr>
                <w:sz w:val="17"/>
                <w:szCs w:val="17"/>
              </w:rPr>
              <w:t>序列</w:t>
            </w:r>
          </w:p>
        </w:tc>
        <w:tc>
          <w:tcPr>
            <w:tcW w:w="1872" w:type="dxa"/>
            <w:shd w:val="clear" w:color="auto" w:fill="DCE6F1"/>
            <w:vAlign w:val="center"/>
          </w:tcPr>
          <w:p>
            <w:pPr>
              <w:pStyle w:val="TableText"/>
              <w:spacing w:before="0" w:after="0" w:line="220" w:lineRule="auto"/>
            </w:pPr>
            <w:r>
              <w:rPr>
                <w:sz w:val="17"/>
                <w:szCs w:val="17"/>
              </w:rPr>
              <w:t>报告均值（kcal/mol）</w:t>
            </w:r>
          </w:p>
        </w:tc>
        <w:tc>
          <w:tcPr>
            <w:tcW w:w="1872" w:type="dxa"/>
            <w:shd w:val="clear" w:color="auto" w:fill="DCE6F1"/>
            <w:vAlign w:val="center"/>
          </w:tcPr>
          <w:p>
            <w:pPr>
              <w:pStyle w:val="TableText"/>
              <w:spacing w:before="0" w:after="0" w:line="220" w:lineRule="auto"/>
            </w:pPr>
            <w:r>
              <w:rPr>
                <w:sz w:val="17"/>
                <w:szCs w:val="17"/>
              </w:rPr>
              <w:t>报告SD</w:t>
            </w:r>
          </w:p>
        </w:tc>
        <w:tc>
          <w:tcPr>
            <w:tcW w:w="1872" w:type="dxa"/>
            <w:shd w:val="clear" w:color="auto" w:fill="DCE6F1"/>
            <w:vAlign w:val="center"/>
          </w:tcPr>
          <w:p>
            <w:pPr>
              <w:pStyle w:val="TableText"/>
              <w:spacing w:before="0" w:after="0" w:line="220" w:lineRule="auto"/>
            </w:pPr>
            <w:r>
              <w:rPr>
                <w:sz w:val="17"/>
                <w:szCs w:val="17"/>
              </w:rPr>
              <w:t>当前证据状态</w:t>
            </w:r>
          </w:p>
        </w:tc>
      </w:tr>
      <w:tr>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FLLHTTR</w:t>
            </w:r>
          </w:p>
        </w:tc>
        <w:tc>
          <w:tcPr>
            <w:tcW w:w="1872" w:type="dxa"/>
            <w:vAlign w:val="center"/>
          </w:tcPr>
          <w:p>
            <w:pPr>
              <w:pStyle w:val="TableText"/>
              <w:spacing w:before="0" w:after="0" w:line="220" w:lineRule="auto"/>
            </w:pPr>
            <w:r>
              <w:rPr>
                <w:sz w:val="17"/>
                <w:szCs w:val="17"/>
              </w:rPr>
              <w:t>−9.60</w:t>
            </w:r>
          </w:p>
        </w:tc>
        <w:tc>
          <w:tcPr>
            <w:tcW w:w="1872" w:type="dxa"/>
            <w:vAlign w:val="center"/>
          </w:tcPr>
          <w:p>
            <w:pPr>
              <w:pStyle w:val="TableText"/>
              <w:spacing w:before="0" w:after="0" w:line="220" w:lineRule="auto"/>
            </w:pPr>
            <w:r>
              <w:rPr>
                <w:sz w:val="17"/>
                <w:szCs w:val="17"/>
              </w:rPr>
              <w:t>0.08</w:t>
            </w:r>
          </w:p>
        </w:tc>
        <w:tc>
          <w:tcPr>
            <w:tcW w:w="1872" w:type="dxa"/>
            <w:vAlign w:val="center"/>
          </w:tcPr>
          <w:p>
            <w:pPr>
              <w:pStyle w:val="TableText"/>
              <w:spacing w:before="0" w:after="0" w:line="220" w:lineRule="auto"/>
            </w:pPr>
            <w:r>
              <w:rPr>
                <w:sz w:val="17"/>
                <w:szCs w:val="17"/>
              </w:rPr>
              <w:t>已转录汇总；原始运行/构象缺失</w:t>
            </w:r>
          </w:p>
        </w:tc>
      </w:tr>
      <w:tr>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YLSLLQR</w:t>
            </w:r>
          </w:p>
        </w:tc>
        <w:tc>
          <w:tcPr>
            <w:tcW w:w="1872" w:type="dxa"/>
            <w:vAlign w:val="center"/>
          </w:tcPr>
          <w:p>
            <w:pPr>
              <w:pStyle w:val="TableText"/>
              <w:spacing w:before="0" w:after="0" w:line="220" w:lineRule="auto"/>
            </w:pPr>
            <w:r>
              <w:rPr>
                <w:sz w:val="17"/>
                <w:szCs w:val="17"/>
              </w:rPr>
              <w:t>−9.49</w:t>
            </w:r>
          </w:p>
        </w:tc>
        <w:tc>
          <w:tcPr>
            <w:tcW w:w="1872" w:type="dxa"/>
            <w:vAlign w:val="center"/>
          </w:tcPr>
          <w:p>
            <w:pPr>
              <w:pStyle w:val="TableText"/>
              <w:spacing w:before="0" w:after="0" w:line="220" w:lineRule="auto"/>
            </w:pPr>
            <w:r>
              <w:rPr>
                <w:sz w:val="17"/>
                <w:szCs w:val="17"/>
              </w:rPr>
              <w:t>0.05</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3</w:t>
            </w:r>
          </w:p>
        </w:tc>
        <w:tc>
          <w:tcPr>
            <w:tcW w:w="1872" w:type="dxa"/>
            <w:vAlign w:val="center"/>
          </w:tcPr>
          <w:p>
            <w:pPr>
              <w:pStyle w:val="TableText"/>
              <w:spacing w:before="0" w:after="0" w:line="220" w:lineRule="auto"/>
            </w:pPr>
            <w:r>
              <w:rPr>
                <w:sz w:val="17"/>
                <w:szCs w:val="17"/>
              </w:rPr>
              <w:t>ALLLHRC</w:t>
            </w:r>
          </w:p>
        </w:tc>
        <w:tc>
          <w:tcPr>
            <w:tcW w:w="1872" w:type="dxa"/>
            <w:vAlign w:val="center"/>
          </w:tcPr>
          <w:p>
            <w:pPr>
              <w:pStyle w:val="TableText"/>
              <w:spacing w:before="0" w:after="0" w:line="220" w:lineRule="auto"/>
            </w:pPr>
            <w:r>
              <w:rPr>
                <w:sz w:val="17"/>
                <w:szCs w:val="17"/>
              </w:rPr>
              <w:t>−9.29</w:t>
            </w:r>
          </w:p>
        </w:tc>
        <w:tc>
          <w:tcPr>
            <w:tcW w:w="1872" w:type="dxa"/>
            <w:vAlign w:val="center"/>
          </w:tcPr>
          <w:p>
            <w:pPr>
              <w:pStyle w:val="TableText"/>
              <w:spacing w:before="0" w:after="0" w:line="220" w:lineRule="auto"/>
            </w:pPr>
            <w:r>
              <w:rPr>
                <w:sz w:val="17"/>
                <w:szCs w:val="17"/>
              </w:rPr>
              <w:t>0.11</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4</w:t>
            </w:r>
          </w:p>
        </w:tc>
        <w:tc>
          <w:tcPr>
            <w:tcW w:w="1872" w:type="dxa"/>
            <w:vAlign w:val="center"/>
          </w:tcPr>
          <w:p>
            <w:pPr>
              <w:pStyle w:val="TableText"/>
              <w:spacing w:before="0" w:after="0" w:line="220" w:lineRule="auto"/>
            </w:pPr>
            <w:r>
              <w:rPr>
                <w:sz w:val="17"/>
                <w:szCs w:val="17"/>
              </w:rPr>
              <w:t>FCLHLQLR</w:t>
            </w:r>
          </w:p>
        </w:tc>
        <w:tc>
          <w:tcPr>
            <w:tcW w:w="1872" w:type="dxa"/>
            <w:vAlign w:val="center"/>
          </w:tcPr>
          <w:p>
            <w:pPr>
              <w:pStyle w:val="TableText"/>
              <w:spacing w:before="0" w:after="0" w:line="220" w:lineRule="auto"/>
            </w:pPr>
            <w:r>
              <w:rPr>
                <w:sz w:val="17"/>
                <w:szCs w:val="17"/>
              </w:rPr>
              <w:t>−9.27</w:t>
            </w:r>
          </w:p>
        </w:tc>
        <w:tc>
          <w:tcPr>
            <w:tcW w:w="1872" w:type="dxa"/>
            <w:vAlign w:val="center"/>
          </w:tcPr>
          <w:p>
            <w:pPr>
              <w:pStyle w:val="TableText"/>
              <w:spacing w:before="0" w:after="0" w:line="220" w:lineRule="auto"/>
            </w:pPr>
            <w:r>
              <w:rPr>
                <w:sz w:val="17"/>
                <w:szCs w:val="17"/>
              </w:rPr>
              <w:t>0.09</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5</w:t>
            </w:r>
          </w:p>
        </w:tc>
        <w:tc>
          <w:tcPr>
            <w:tcW w:w="1872" w:type="dxa"/>
            <w:vAlign w:val="center"/>
          </w:tcPr>
          <w:p>
            <w:pPr>
              <w:pStyle w:val="TableText"/>
              <w:spacing w:before="0" w:after="0" w:line="220" w:lineRule="auto"/>
            </w:pPr>
            <w:r>
              <w:rPr>
                <w:sz w:val="17"/>
                <w:szCs w:val="17"/>
              </w:rPr>
              <w:t>YHHLLCRR</w:t>
            </w:r>
          </w:p>
        </w:tc>
        <w:tc>
          <w:tcPr>
            <w:tcW w:w="1872" w:type="dxa"/>
            <w:vAlign w:val="center"/>
          </w:tcPr>
          <w:p>
            <w:pPr>
              <w:pStyle w:val="TableText"/>
              <w:spacing w:before="0" w:after="0" w:line="220" w:lineRule="auto"/>
            </w:pPr>
            <w:r>
              <w:rPr>
                <w:sz w:val="17"/>
                <w:szCs w:val="17"/>
              </w:rPr>
              <w:t>−9.03</w:t>
            </w:r>
          </w:p>
        </w:tc>
        <w:tc>
          <w:tcPr>
            <w:tcW w:w="1872" w:type="dxa"/>
            <w:vAlign w:val="center"/>
          </w:tcPr>
          <w:p>
            <w:pPr>
              <w:pStyle w:val="TableText"/>
              <w:spacing w:before="0" w:after="0" w:line="220" w:lineRule="auto"/>
            </w:pPr>
            <w:r>
              <w:rPr>
                <w:sz w:val="17"/>
                <w:szCs w:val="17"/>
              </w:rPr>
              <w:t>0.07</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6</w:t>
            </w:r>
          </w:p>
        </w:tc>
        <w:tc>
          <w:tcPr>
            <w:tcW w:w="1872" w:type="dxa"/>
            <w:vAlign w:val="center"/>
          </w:tcPr>
          <w:p>
            <w:pPr>
              <w:pStyle w:val="TableText"/>
              <w:spacing w:before="0" w:after="0" w:line="220" w:lineRule="auto"/>
            </w:pPr>
            <w:r>
              <w:rPr>
                <w:sz w:val="17"/>
                <w:szCs w:val="17"/>
              </w:rPr>
              <w:t>LLHLPKRTT</w:t>
            </w:r>
          </w:p>
        </w:tc>
        <w:tc>
          <w:tcPr>
            <w:tcW w:w="1872" w:type="dxa"/>
            <w:vAlign w:val="center"/>
          </w:tcPr>
          <w:p>
            <w:pPr>
              <w:pStyle w:val="TableText"/>
              <w:spacing w:before="0" w:after="0" w:line="220" w:lineRule="auto"/>
            </w:pPr>
            <w:r>
              <w:rPr>
                <w:sz w:val="17"/>
                <w:szCs w:val="17"/>
              </w:rPr>
              <w:t>−9.01</w:t>
            </w:r>
          </w:p>
        </w:tc>
        <w:tc>
          <w:tcPr>
            <w:tcW w:w="1872" w:type="dxa"/>
            <w:vAlign w:val="center"/>
          </w:tcPr>
          <w:p>
            <w:pPr>
              <w:pStyle w:val="TableText"/>
              <w:spacing w:before="0" w:after="0" w:line="220" w:lineRule="auto"/>
            </w:pPr>
            <w:r>
              <w:rPr>
                <w:sz w:val="17"/>
                <w:szCs w:val="17"/>
              </w:rPr>
              <w:t>0.06</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LLHPLRL</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0.10</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WLLVHLKK</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0.04</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LLHPLRC</w:t>
            </w:r>
          </w:p>
        </w:tc>
        <w:tc>
          <w:tcPr>
            <w:tcW w:w="1872" w:type="dxa"/>
            <w:vAlign w:val="center"/>
          </w:tcPr>
          <w:p>
            <w:pPr>
              <w:pStyle w:val="TableText"/>
              <w:spacing w:before="0" w:after="0" w:line="220" w:lineRule="auto"/>
            </w:pPr>
            <w:r>
              <w:rPr>
                <w:sz w:val="17"/>
                <w:szCs w:val="17"/>
              </w:rPr>
              <w:t>−8.91</w:t>
            </w:r>
          </w:p>
        </w:tc>
        <w:tc>
          <w:tcPr>
            <w:tcW w:w="1872" w:type="dxa"/>
            <w:vAlign w:val="center"/>
          </w:tcPr>
          <w:p>
            <w:pPr>
              <w:pStyle w:val="TableText"/>
              <w:spacing w:before="0" w:after="0" w:line="220" w:lineRule="auto"/>
            </w:pPr>
            <w:r>
              <w:rPr>
                <w:sz w:val="17"/>
                <w:szCs w:val="17"/>
              </w:rPr>
              <w:t>0.08</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10</w:t>
            </w:r>
          </w:p>
        </w:tc>
        <w:tc>
          <w:tcPr>
            <w:tcW w:w="1872" w:type="dxa"/>
            <w:vAlign w:val="center"/>
          </w:tcPr>
          <w:p>
            <w:pPr>
              <w:pStyle w:val="TableText"/>
              <w:spacing w:before="0" w:after="0" w:line="220" w:lineRule="auto"/>
            </w:pPr>
            <w:r>
              <w:rPr>
                <w:sz w:val="17"/>
                <w:szCs w:val="17"/>
              </w:rPr>
              <w:t>HLLTLKKHV</w:t>
            </w:r>
          </w:p>
        </w:tc>
        <w:tc>
          <w:tcPr>
            <w:tcW w:w="1872" w:type="dxa"/>
            <w:vAlign w:val="center"/>
          </w:tcPr>
          <w:p>
            <w:pPr>
              <w:pStyle w:val="TableText"/>
              <w:spacing w:before="0" w:after="0" w:line="220" w:lineRule="auto"/>
            </w:pPr>
            <w:r>
              <w:rPr>
                <w:sz w:val="17"/>
                <w:szCs w:val="17"/>
              </w:rPr>
              <w:t>−8.88</w:t>
            </w:r>
          </w:p>
        </w:tc>
        <w:tc>
          <w:tcPr>
            <w:tcW w:w="1872" w:type="dxa"/>
            <w:vAlign w:val="center"/>
          </w:tcPr>
          <w:p>
            <w:pPr>
              <w:pStyle w:val="TableText"/>
              <w:spacing w:before="0" w:after="0" w:line="220" w:lineRule="auto"/>
            </w:pPr>
            <w:r>
              <w:rPr>
                <w:sz w:val="17"/>
                <w:szCs w:val="17"/>
              </w:rPr>
              <w:t>0.05</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11</w:t>
            </w:r>
          </w:p>
        </w:tc>
        <w:tc>
          <w:tcPr>
            <w:tcW w:w="1872" w:type="dxa"/>
            <w:vAlign w:val="center"/>
          </w:tcPr>
          <w:p>
            <w:pPr>
              <w:pStyle w:val="TableText"/>
              <w:spacing w:before="0" w:after="0" w:line="220" w:lineRule="auto"/>
            </w:pPr>
            <w:r>
              <w:rPr>
                <w:sz w:val="17"/>
                <w:szCs w:val="17"/>
              </w:rPr>
              <w:t>HLPLLHRCC</w:t>
            </w:r>
          </w:p>
        </w:tc>
        <w:tc>
          <w:tcPr>
            <w:tcW w:w="1872" w:type="dxa"/>
            <w:vAlign w:val="center"/>
          </w:tcPr>
          <w:p>
            <w:pPr>
              <w:pStyle w:val="TableText"/>
              <w:spacing w:before="0" w:after="0" w:line="220" w:lineRule="auto"/>
            </w:pPr>
            <w:r>
              <w:rPr>
                <w:sz w:val="17"/>
                <w:szCs w:val="17"/>
              </w:rPr>
              <w:t>−8.35</w:t>
            </w:r>
          </w:p>
        </w:tc>
        <w:tc>
          <w:tcPr>
            <w:tcW w:w="1872" w:type="dxa"/>
            <w:vAlign w:val="center"/>
          </w:tcPr>
          <w:p>
            <w:pPr>
              <w:pStyle w:val="TableText"/>
              <w:spacing w:before="0" w:after="0" w:line="220" w:lineRule="auto"/>
            </w:pPr>
            <w:r>
              <w:rPr>
                <w:sz w:val="17"/>
                <w:szCs w:val="17"/>
              </w:rPr>
              <w:t>0.12</w:t>
            </w:r>
          </w:p>
        </w:tc>
        <w:tc>
          <w:tcPr>
            <w:tcW w:w="1872" w:type="dxa"/>
            <w:vAlign w:val="center"/>
          </w:tcPr>
          <w:p>
            <w:pPr>
              <w:pStyle w:val="TableText"/>
              <w:spacing w:before="0" w:after="0" w:line="220" w:lineRule="auto"/>
            </w:pPr>
            <w:r>
              <w:rPr>
                <w:sz w:val="17"/>
                <w:szCs w:val="17"/>
              </w:rPr>
              <w:t>同上</w:t>
            </w:r>
          </w:p>
        </w:tc>
      </w:tr>
      <w:tr>
        <w:tc>
          <w:tcPr>
            <w:tcW w:w="1872" w:type="dxa"/>
            <w:vAlign w:val="center"/>
          </w:tcPr>
          <w:p>
            <w:pPr>
              <w:pStyle w:val="TableText"/>
              <w:spacing w:before="0" w:after="0" w:line="220" w:lineRule="auto"/>
            </w:pPr>
            <w:r>
              <w:rPr>
                <w:sz w:val="17"/>
                <w:szCs w:val="17"/>
              </w:rPr>
              <w:t>12</w:t>
            </w:r>
          </w:p>
        </w:tc>
        <w:tc>
          <w:tcPr>
            <w:tcW w:w="1872" w:type="dxa"/>
            <w:vAlign w:val="center"/>
          </w:tcPr>
          <w:p>
            <w:pPr>
              <w:pStyle w:val="TableText"/>
              <w:spacing w:before="0" w:after="0" w:line="220" w:lineRule="auto"/>
            </w:pPr>
            <w:r>
              <w:rPr>
                <w:sz w:val="17"/>
                <w:szCs w:val="17"/>
              </w:rPr>
              <w:t>HVLLLRQCA</w:t>
            </w:r>
          </w:p>
        </w:tc>
        <w:tc>
          <w:tcPr>
            <w:tcW w:w="1872" w:type="dxa"/>
            <w:vAlign w:val="center"/>
          </w:tcPr>
          <w:p>
            <w:pPr>
              <w:pStyle w:val="TableText"/>
              <w:spacing w:before="0" w:after="0" w:line="220" w:lineRule="auto"/>
            </w:pPr>
            <w:r>
              <w:rPr>
                <w:sz w:val="17"/>
                <w:szCs w:val="17"/>
              </w:rPr>
              <w:t>−8.25</w:t>
            </w:r>
          </w:p>
        </w:tc>
        <w:tc>
          <w:tcPr>
            <w:tcW w:w="1872" w:type="dxa"/>
            <w:vAlign w:val="center"/>
          </w:tcPr>
          <w:p>
            <w:pPr>
              <w:pStyle w:val="TableText"/>
              <w:spacing w:before="0" w:after="0" w:line="220" w:lineRule="auto"/>
            </w:pPr>
            <w:r>
              <w:rPr>
                <w:sz w:val="17"/>
                <w:szCs w:val="17"/>
              </w:rPr>
              <w:t>0.09</w:t>
            </w:r>
          </w:p>
        </w:tc>
        <w:tc>
          <w:tcPr>
            <w:tcW w:w="1872" w:type="dxa"/>
            <w:vAlign w:val="center"/>
          </w:tcPr>
          <w:p>
            <w:pPr>
              <w:pStyle w:val="TableText"/>
              <w:spacing w:before="0" w:after="0" w:line="220" w:lineRule="auto"/>
            </w:pPr>
            <w:r>
              <w:rPr>
                <w:sz w:val="17"/>
                <w:szCs w:val="17"/>
              </w:rPr>
              <w:t>同上</w:t>
            </w:r>
          </w:p>
        </w:tc>
      </w:tr>
    </w:tbl>
    <w:p>
      <w:pPr>
        <w:spacing w:after="40"/>
      </w:pPr>
    </w:p>
    <w:p>
      <w:pPr>
        <w:pStyle w:val="Figure"/>
        <w:jc w:val="center"/>
        <w:keepNext/>
      </w:pPr>
      <w:r>
        <w:drawing>
          <wp:inline distT="0" distB="0" distL="0" distR="0">
            <wp:extent cx="6150000" cy="3613125"/>
            <wp:effectExtent l="0" t="0" r="0" b="0"/>
            <wp:docPr id="5" name="Figure 5" descr="图2. 来源报告PAS中心对接分数汇总"/>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613125"/>
                    </a:xfrm>
                    <a:prstGeom prst="rect">
                      <a:avLst/>
                    </a:prstGeom>
                  </pic:spPr>
                </pic:pic>
              </a:graphicData>
            </a:graphic>
          </wp:inline>
        </w:drawing>
      </w:r>
    </w:p>
    <w:p>
      <w:pPr>
        <w:pStyle w:val="Normal"/>
      </w:pPr>
      <w:r>
        <w:rPr>
          <w:b/>
        </w:rPr>
        <w:t>图2.</w:t>
      </w:r>
      <w:r>
        <w:t xml:space="preserve"> 针对PDB 4EY6的来源报告Vina均值±SD描述性可视化。数值转录自外部v0.4，未被独立复现。缺失运行定义使SD无法对应已知数量的独立重复；Vina分数不是结合自由能 [51,52]。</w:t>
      </w:r>
    </w:p>
    <w:p>
      <w:pPr>
        <w:pStyle w:val="Normal"/>
      </w:pPr>
      <w:r>
        <w:t>外部叙述还描述了PAS/峡谷接触，但不存在构象或相互作用文件，因此残基层面的接触陈述未被提升为经审计观察。可辩护的结构结果仅限来源不完整的集合内报告排序。</w:t>
      </w:r>
    </w:p>
    <w:p>
      <w:pPr>
        <w:pStyle w:val="Heading4"/>
        <w:keepNext/>
      </w:pPr>
      <w:r>
        <w:t>3.7 证据阶梯仅部分前移</w:t>
      </w:r>
    </w:p>
    <w:p>
      <w:pPr>
        <w:pStyle w:val="Normal"/>
      </w:pPr>
      <w:r>
        <w:t>外部序列清单解决了“没有可合成分子”的实际问题，但未解决链路问题：没有稳定标识将每条序列连接到受试者、组装、证据匹配、预测器行、CHEL/FRS行或更严格子集。对接汇总同样不能替代可复现对接产物。翻译/表达、BBB转运、细胞毒性、金属依赖化学和疾病相关性仍未被检验。</w:t>
      </w:r>
    </w:p>
    <w:p>
      <w:pPr>
        <w:pStyle w:val="Figure"/>
        <w:jc w:val="center"/>
        <w:keepNext/>
      </w:pPr>
      <w:r>
        <w:drawing>
          <wp:inline distT="0" distB="0" distL="0" distR="0">
            <wp:extent cx="6150000" cy="3348333"/>
            <wp:effectExtent l="0" t="0" r="0" b="0"/>
            <wp:docPr id="6" name="Figure 6" descr="图3. 证据阶梯"/>
            <wp:cNvGraphicFramePr>
              <a:graphicFrameLocks noChangeAspect="1"/>
            </wp:cNvGraphicFramePr>
            <a:graphic>
              <a:graphicData uri="http://schemas.openxmlformats.org/drawingml/2006/picture">
                <pic:pic>
                  <pic:nvPicPr>
                    <pic:cNvPr id="0" name="evidence_ladder.png"/>
                    <pic:cNvPicPr/>
                  </pic:nvPicPr>
                  <pic:blipFill>
                    <a:blip r:embed="rId12"/>
                    <a:stretch>
                      <a:fillRect/>
                    </a:stretch>
                  </pic:blipFill>
                  <pic:spPr>
                    <a:xfrm>
                      <a:off x="0" y="0"/>
                      <a:ext cx="6150000" cy="3348333"/>
                    </a:xfrm>
                    <a:prstGeom prst="rect">
                      <a:avLst/>
                    </a:prstGeom>
                  </pic:spPr>
                </pic:pic>
              </a:graphicData>
            </a:graphic>
          </wp:inline>
        </w:drawing>
      </w:r>
    </w:p>
    <w:p>
      <w:pPr>
        <w:pStyle w:val="Normal"/>
      </w:pPr>
      <w:r>
        <w:rPr>
          <w:b/>
        </w:rPr>
        <w:t>图3.</w:t>
      </w:r>
      <w:r>
        <w:t xml:space="preserve"> 整合外部v0.4后的证据阶梯。汇总筛选已达到；12条序列和对接分数属于部分可用的来源报告新增信息。原始链路和对接产物、表达、暴露、表型、机制和因果关系仍未解决或未测试。</w:t>
      </w:r>
    </w:p>
    <w:p>
      <w:pPr>
        <w:pStyle w:val="Heading2"/>
        <w:keepNext/>
        <w:pageBreakBefore/>
      </w:pPr>
      <w:r>
        <w:t>4. Discussion / 4 讨论</w:t>
      </w:r>
    </w:p>
    <w:p>
      <w:pPr>
        <w:pStyle w:val="Heading3"/>
        <w:keepNext/>
      </w:pPr>
      <w:r>
        <w:t>English</w:t>
      </w:r>
    </w:p>
    <w:p>
      <w:pPr>
        <w:pStyle w:val="Heading4"/>
        <w:keepNext/>
      </w:pPr>
      <w:r>
        <w:t>4.1 Main contribution of the expanded reconstruction</w:t>
      </w:r>
    </w:p>
    <w:p>
      <w:pPr>
        <w:pStyle w:val="Normal"/>
      </w:pPr>
      <w:r>
        <w:t>This reconstruction now has enough scientific depth to show both the biological rationale and the evidentiary bottlenecks. The principal screening record describes a severe narrowing: more than 11.7 million periodontitis-branch smORFs become 33,786 evidence-filtered candidates, 3,518 BBB-high outputs, 923 NTxPred2-positive outputs among 3,299 evaluated sequences, and finally source-reported counts of 12 and 8 under CHEL/FRS rules. The external v0.4 integration adds twelve explicit 7–9-aa sequences and a reported AChE docking ranking. This turns an anonymous endpoint count into a concrete, synthesis-ready hypothesis set.</w:t>
      </w:r>
    </w:p>
    <w:p>
      <w:pPr>
        <w:pStyle w:val="Normal"/>
      </w:pPr>
      <w:r>
        <w:t xml:space="preserve">The expansion does not justify stronger causal language. The twelve sequences cannot yet be traced row by row through the principal funnel, and the docking cannot be reproduced from the available project. The central advance is therefore </w:t>
      </w:r>
      <w:r>
        <w:rPr>
          <w:b/>
        </w:rPr>
        <w:t>provenance-aware actionability</w:t>
      </w:r>
      <w:r>
        <w:t>: investigators can see what to synthesize, which source-reported ranking to attempt to reproduce, what information is missing, and which claims remain prohibited.</w:t>
      </w:r>
    </w:p>
    <w:p>
      <w:pPr>
        <w:pStyle w:val="Heading4"/>
        <w:keepNext/>
      </w:pPr>
      <w:r>
        <w:t>4.2 Comparison with current smORF and peptide-discovery standards</w:t>
      </w:r>
    </w:p>
    <w:p>
      <w:pPr>
        <w:pStyle w:val="Normal"/>
      </w:pPr>
      <w:r>
        <w:t>Current smORF work combines prediction with translation or proteomic evidence [1–5]. Current oral metaproteomics uses explicit error control, taxonomy, and deposited spectra [10–12]. Strong peptide-mining studies synthesize candidates and measure function [19]. The present record falls short of those standards in three ways. First, evidence matching cannot be inspected at the sequence/spectrum level. Second, participant and sample mapping is absent. Third, neither source provides an executable screening workflow with locked versions and databases.</w:t>
      </w:r>
    </w:p>
    <w:p>
      <w:pPr>
        <w:pStyle w:val="Normal"/>
      </w:pPr>
      <w:r>
        <w:t>The external twelve-sequence list is nevertheless useful. It enables exact duplicate searches, taxonomy assignment, model-domain assessment, synthesis feasibility review, and direct re-execution of predictors—once provenance is confirmed. It also reveals a composition pattern: the set is short, cationic, leucine-rich, and enriched for histidine/cysteine. Such a pattern may reflect the intended metal-binding filters, but it could also reflect sequence-domain bias, membrane-active motifs, or correlated predictor features. Composition-matched decoys and alternative predictors are needed before assigning biological meaning.</w:t>
      </w:r>
    </w:p>
    <w:p>
      <w:pPr>
        <w:pStyle w:val="Heading4"/>
        <w:keepNext/>
      </w:pPr>
      <w:r>
        <w:t>4.3 Interpretation of the AChE/PAS docking follow-up</w:t>
      </w:r>
    </w:p>
    <w:p>
      <w:pPr>
        <w:pStyle w:val="Normal"/>
      </w:pPr>
      <w:r>
        <w:t>AChE PAS is a defensible target for an AD-oriented hypothesis because AChE can accelerate Aβ assembly and PAS-directed ligands can modulate that process [23–29]. PDB 4EY6 provides a human AChE structure with pharmacologically characterized ligands [27]. A reported PAS-centred Vina screen may therefore be a reasonable first structural triage [51,52]. The external score range suggests that all twelve were retained by the chosen scoring protocol, with approximately 1.35 kcal/mol separating the extreme means.</w:t>
      </w:r>
    </w:p>
    <w:p>
      <w:pPr>
        <w:pStyle w:val="Normal"/>
      </w:pPr>
      <w:r>
        <w:t>Several reasons prevent treating this range as evidence of binding. Flexible 7–9-aa peptides have many conformers; receptor rigidity, protonation, termini, peptide initialization, box location, exhaustiveness, and scoring stochasticity can change ranking. The external project did not provide these details or any poses. The SDs cannot be interpreted without knowing whether they describe modes, seeds, repeated preparations, or another unit. Scores from one target and protocol do not establish selectivity, PAS preference over alternative sites, catalytic inhibition, Aβ modulation, or in-cell activity. A reproducible follow-up should deposit prepared receptor and ligand files, exact commands, seeds, all scores and poses, and a container or environment. Flexible refinement or peptide-specific protocols such as FlexPepDock could then test ranking stability [53].</w:t>
      </w:r>
    </w:p>
    <w:p>
      <w:pPr>
        <w:pStyle w:val="Heading4"/>
        <w:keepNext/>
      </w:pPr>
      <w:r>
        <w:t>4.4 Metal-binding and short-neuroactive-peptide hypotheses</w:t>
      </w:r>
    </w:p>
    <w:p>
      <w:pPr>
        <w:pStyle w:val="Normal"/>
      </w:pPr>
      <w:r>
        <w:t>Eleven histidine-containing and six cysteine-containing sequences provide plausible coordination handles, but no binding constant, stoichiometry, selectivity, oxidation state, geometry, or redox behavior follows from composition or mebipred. Tau-fragment studies demonstrate how these questions can be measured: Cu(II) coordination can be linked to structural change and effects on Aβ aggregation [32], while tau26–44 provides cell- and biophysics-based evidence for a short neuroactive peptide [33]. Curli experiments show that bacterial amyloid exposure can alter aggregation phenotypes in model organisms [34]. These are experimental templates, not analogical proof.</w:t>
      </w:r>
    </w:p>
    <w:p>
      <w:pPr>
        <w:pStyle w:val="Normal"/>
      </w:pPr>
      <w:r>
        <w:t>A minimum metal-validation package would compare Cu(II), Fe(II/III), and Zn(II) using spectroscopy and calorimetry, estimate stoichiometry and affinity, and measure metal-dependent ROS and lipid peroxidation with peptide-only, metal-only, scrambled-sequence, composition-matched, and positive/negative controls. Any effect should be replicated across independently synthesized lots and tested for concentration dependence. A “pro-oxidant” label should require increased oxidation specifically under defined metal conditions, not merely CHEL-high/FRS-lower predictions.</w:t>
      </w:r>
    </w:p>
    <w:p>
      <w:pPr>
        <w:pStyle w:val="Heading4"/>
        <w:keepNext/>
      </w:pPr>
      <w:r>
        <w:t>4.5 Periodontitis–AD interpretation remains hypothesis-generating</w:t>
      </w:r>
    </w:p>
    <w:p>
      <w:pPr>
        <w:pStyle w:val="Normal"/>
      </w:pPr>
      <w:r>
        <w:t xml:space="preserve">The epidemiological record can motivate but not prove the pathway [35–43]. Periodontitis may correlate with age, smoking, diabetes, socioeconomic status, oral care, medication, frailty, and reverse-causal cognitive decline. Recent genetic causal analyses provide a necessary counterweight to strong mechanistic narratives [41,42]. Specific </w:t>
      </w:r>
      <w:r>
        <w:rPr>
          <w:i/>
        </w:rPr>
        <w:t>P. gingivalis</w:t>
      </w:r>
      <w:r>
        <w:t xml:space="preserve"> studies support the plausibility of gingipain, inflammatory, vesicular, or infection-related routes [44–50], but those findings cannot be transferred to unassigned community sequences.</w:t>
      </w:r>
    </w:p>
    <w:p>
      <w:pPr>
        <w:pStyle w:val="Normal"/>
      </w:pPr>
      <w:r>
        <w:t xml:space="preserve">Therefore, the current study does not claim that the twelve peptides are periodontitis-specific, </w:t>
      </w:r>
      <w:r>
        <w:rPr>
          <w:i/>
        </w:rPr>
        <w:t>P. gingivalis</w:t>
      </w:r>
      <w:r>
        <w:t>-derived, present in blood or brain, or causally related to AD. The only cohort-related statement is that the principal workflow prioritized them through a periodontitis-labelled branch. Taxonomic assignment and cohort prevalence require sequence-to-assembly-to-sample mapping and appropriate subject-level statistics.</w:t>
      </w:r>
    </w:p>
    <w:p>
      <w:pPr>
        <w:pStyle w:val="Heading4"/>
        <w:keepNext/>
      </w:pPr>
      <w:r>
        <w:t>4.6 Why aggregate candidate counts do not support inferential group tests</w:t>
      </w:r>
    </w:p>
    <w:p>
      <w:pPr>
        <w:pStyle w:val="Normal"/>
      </w:pPr>
      <w:r>
        <w:t>The external v0.4 draft applied peptide-level 2×2 tests. We did not retain them. Millions of smORFs from the same participant, homologous sequences across participants, candidates from the same assembly, and repeated exact matches are correlated. Treating each sequence as independent inflates the effective sample size and can generate small p values for negligible differences. The proper unit is the participant or sample, with candidate outcomes aggregated or modelled while accounting for clustering, repeated sequences, depth, oral site, and covariates.</w:t>
      </w:r>
    </w:p>
    <w:p>
      <w:pPr>
        <w:pStyle w:val="Normal"/>
      </w:pPr>
      <w:r>
        <w:t>A valid healthy–periodontitis comparison would require a participant-by-candidate or participant-by-feature matrix, prespecified outcomes, consistent denominators, duplicate/homology handling, and mixed or permutation models operating at the participant level. None of those rows are available. Descriptive percentages are therefore the maximum defensible analysis.</w:t>
      </w:r>
    </w:p>
    <w:p>
      <w:pPr>
        <w:pStyle w:val="Heading4"/>
        <w:keepNext/>
      </w:pPr>
      <w:r>
        <w:t>4.7 Reproducibility priorities</w:t>
      </w:r>
    </w:p>
    <w:p>
      <w:pPr>
        <w:pStyle w:val="Normal"/>
      </w:pPr>
      <w:r>
        <w:t>The highest priority is to reconstruct a single candidate-level table containing: sequence; stable ID; genomic coordinates; assembly; participant/sample; group; taxonomy; sequence/proteomic evidence and spectrum-level statistics; every predictor version, score, threshold decision, and applicability flag; CHEL/FRS values; main/strict membership; and the link to each docking ligand. The screening workflow should include database snapshots, exact commands, environment locking, and checksums.</w:t>
      </w:r>
    </w:p>
    <w:p>
      <w:pPr>
        <w:pStyle w:val="Normal"/>
      </w:pPr>
      <w:r>
        <w:t>For docking, the release should add receptor accession and chain, missing-residue handling, protonation, termini, charges, waters/cofactors, ligand conformers, PDBQT files, box centre and size, exhaustiveness, number of modes, energy range, seeds, raw logs, all poses, clustering, and interaction-analysis code. The external report’s failed MD narrative cannot be evaluated without its simulation package and should not be submitted as a result. A fresh simulation should begin only after the docking is reproducible and structural gaps are handled prospectively.</w:t>
      </w:r>
    </w:p>
    <w:p>
      <w:pPr>
        <w:pStyle w:val="Heading4"/>
        <w:keepNext/>
      </w:pPr>
      <w:r>
        <w:t>4.8 Experimental validation roadmap and stopping rules</w:t>
      </w:r>
    </w:p>
    <w:p>
      <w:pPr>
        <w:pStyle w:val="Normal"/>
      </w:pPr>
      <w:r>
        <w:t>A staged validation plan reduces cost and prevents downstream narrative from compensating for upstream uncertainty:</w:t>
      </w:r>
    </w:p>
    <w:p>
      <w:pPr>
        <w:pStyle w:val="Reference"/>
        <w:ind w:left="360" w:hanging="360"/>
      </w:pPr>
      <w:r>
        <w:rPr>
          <w:sz w:val="18"/>
          <w:szCs w:val="18"/>
        </w:rPr>
        <w:t xml:space="preserve">1. </w:t>
      </w:r>
      <w:r>
        <w:rPr>
          <w:b/>
          <w:sz w:val="18"/>
          <w:szCs w:val="18"/>
        </w:rPr>
        <w:t>Lineage and computational reproduction:</w:t>
      </w:r>
      <w:r>
        <w:rPr>
          <w:sz w:val="18"/>
          <w:szCs w:val="18"/>
        </w:rPr>
        <w:t xml:space="preserve"> verify all twelve rows, recover the 8-of-12 subset, rerun predictors and docking, and test alternate peptide conformers/protocols.</w:t>
      </w:r>
    </w:p>
    <w:p>
      <w:pPr>
        <w:pStyle w:val="Reference"/>
        <w:ind w:left="360" w:hanging="360"/>
      </w:pPr>
      <w:r>
        <w:rPr>
          <w:sz w:val="18"/>
          <w:szCs w:val="18"/>
        </w:rPr>
        <w:t xml:space="preserve">2. </w:t>
      </w:r>
      <w:r>
        <w:rPr>
          <w:b/>
          <w:sz w:val="18"/>
          <w:szCs w:val="18"/>
        </w:rPr>
        <w:t>Translation/expression:</w:t>
      </w:r>
      <w:r>
        <w:rPr>
          <w:sz w:val="18"/>
          <w:szCs w:val="18"/>
        </w:rPr>
        <w:t xml:space="preserve"> use cohort-matched metatranscriptomics, ribosome profiling where feasible, or targeted metaproteomics with peptide-level false-discovery control and taxonomic uniqueness.</w:t>
      </w:r>
    </w:p>
    <w:p>
      <w:pPr>
        <w:pStyle w:val="Reference"/>
        <w:ind w:left="360" w:hanging="360"/>
      </w:pPr>
      <w:r>
        <w:rPr>
          <w:sz w:val="18"/>
          <w:szCs w:val="18"/>
        </w:rPr>
        <w:t xml:space="preserve">3. </w:t>
      </w:r>
      <w:r>
        <w:rPr>
          <w:b/>
          <w:sz w:val="18"/>
          <w:szCs w:val="18"/>
        </w:rPr>
        <w:t>Chemical identity and stability:</w:t>
      </w:r>
      <w:r>
        <w:rPr>
          <w:sz w:val="18"/>
          <w:szCs w:val="18"/>
        </w:rPr>
        <w:t xml:space="preserve"> synthesize peptides, verify purity/mass, measure serum/protease stability, solubility, aggregation, and nonspecific membrane disruption.</w:t>
      </w:r>
    </w:p>
    <w:p>
      <w:pPr>
        <w:pStyle w:val="Reference"/>
        <w:ind w:left="360" w:hanging="360"/>
      </w:pPr>
      <w:r>
        <w:rPr>
          <w:sz w:val="18"/>
          <w:szCs w:val="18"/>
        </w:rPr>
        <w:t xml:space="preserve">4. </w:t>
      </w:r>
      <w:r>
        <w:rPr>
          <w:b/>
          <w:sz w:val="18"/>
          <w:szCs w:val="18"/>
        </w:rPr>
        <w:t>BBB and toxicology:</w:t>
      </w:r>
      <w:r>
        <w:rPr>
          <w:sz w:val="18"/>
          <w:szCs w:val="18"/>
        </w:rPr>
        <w:t xml:space="preserve"> use permeability/transport models, then neuronal and non-neuronal viability, membrane integrity, and dose–response assays. Predicted BBB and NTx labels should be evaluated separately.</w:t>
      </w:r>
    </w:p>
    <w:p>
      <w:pPr>
        <w:pStyle w:val="Reference"/>
        <w:ind w:left="360" w:hanging="360"/>
      </w:pPr>
      <w:r>
        <w:rPr>
          <w:sz w:val="18"/>
          <w:szCs w:val="18"/>
        </w:rPr>
        <w:t xml:space="preserve">5. </w:t>
      </w:r>
      <w:r>
        <w:rPr>
          <w:b/>
          <w:sz w:val="18"/>
          <w:szCs w:val="18"/>
        </w:rPr>
        <w:t>Metal chemistry:</w:t>
      </w:r>
      <w:r>
        <w:rPr>
          <w:sz w:val="18"/>
          <w:szCs w:val="18"/>
        </w:rPr>
        <w:t xml:space="preserve"> quantify Cu/Fe/Zn binding and metal-dependent ROS/lipid peroxidation under controlled stoichiometry and oxidation states.</w:t>
      </w:r>
    </w:p>
    <w:p>
      <w:pPr>
        <w:pStyle w:val="Reference"/>
        <w:ind w:left="360" w:hanging="360"/>
      </w:pPr>
      <w:r>
        <w:rPr>
          <w:sz w:val="18"/>
          <w:szCs w:val="18"/>
        </w:rPr>
        <w:t xml:space="preserve">6. </w:t>
      </w:r>
      <w:r>
        <w:rPr>
          <w:b/>
          <w:sz w:val="18"/>
          <w:szCs w:val="18"/>
        </w:rPr>
        <w:t>AChE/Aβ tests:</w:t>
      </w:r>
      <w:r>
        <w:rPr>
          <w:sz w:val="18"/>
          <w:szCs w:val="18"/>
        </w:rPr>
        <w:t xml:space="preserve"> measure AChE/BChE activity, direct binding if appropriate, and Aβ aggregation with peptide-only and metal-conditioned designs. Docking should guide, not substitute for, assay choice.</w:t>
      </w:r>
    </w:p>
    <w:p>
      <w:pPr>
        <w:pStyle w:val="Reference"/>
        <w:ind w:left="360" w:hanging="360"/>
      </w:pPr>
      <w:r>
        <w:rPr>
          <w:sz w:val="18"/>
          <w:szCs w:val="18"/>
        </w:rPr>
        <w:t xml:space="preserve">7. </w:t>
      </w:r>
      <w:r>
        <w:rPr>
          <w:b/>
          <w:sz w:val="18"/>
          <w:szCs w:val="18"/>
        </w:rPr>
        <w:t>Disease relevance:</w:t>
      </w:r>
      <w:r>
        <w:rPr>
          <w:sz w:val="18"/>
          <w:szCs w:val="18"/>
        </w:rPr>
        <w:t xml:space="preserve"> only candidates with verified identity, exposure, reproducible biochemical activity, and biologically replicated phenotypes should enter complex disease models.</w:t>
      </w:r>
    </w:p>
    <w:p>
      <w:pPr>
        <w:pStyle w:val="Normal"/>
      </w:pPr>
      <w:r>
        <w:t>Stopping rules are essential. A sequence that cannot be traced should not proceed to mechanistic interpretation. A peptide without expression evidence may remain a synthetic hypothesis but not a cohort biomarker. A peptide that fails reproducible metal-dependent or toxicological assays should not be described as a neurotoxic mechanism regardless of docking score.</w:t>
      </w:r>
    </w:p>
    <w:p>
      <w:pPr>
        <w:pStyle w:val="Heading4"/>
        <w:keepNext/>
      </w:pPr>
      <w:r>
        <w:t>4.9 Strengths and limitations</w:t>
      </w:r>
    </w:p>
    <w:p>
      <w:pPr>
        <w:pStyle w:val="Normal"/>
      </w:pPr>
      <w:r>
        <w:t>Strengths include a clearly separated evidence architecture, complete aggregate arithmetic, explicit denominators, rejection of pseudoreplicated inferential tests, integration of a concrete sequence list, independent sequence-composition audit, transparent docking provenance, a 53-reference mechanistic context, and reproducible figures/document construction. The manuscript also preserves negative boundaries rather than hiding missing materials.</w:t>
      </w:r>
    </w:p>
    <w:p>
      <w:pPr>
        <w:pStyle w:val="Normal"/>
      </w:pPr>
      <w:r>
        <w:t>Limitations remain decisive. Principal-source row-level data and code are absent. The external sequence list has no auditable link to the twelve principal-source rows or stricter eight. The docking summary lacks raw artefacts and was not reproduced. Candidate taxonomy, translation, cohort expression, BBB transport, toxicity, metal chemistry, AChE binding/function, Aβ effects, and disease association were not measured. One BioProject remains unresolved. The PDF counterpart of the principal source was retained but not independently parsed page by page. These limitations cannot be removed by adding prose or references.</w:t>
      </w:r>
    </w:p>
    <w:p>
      <w:pPr>
        <w:pStyle w:val="Heading3"/>
        <w:keepNext/>
      </w:pPr>
      <w:r>
        <w:t>中文</w:t>
      </w:r>
    </w:p>
    <w:p>
      <w:pPr>
        <w:pStyle w:val="Heading4"/>
        <w:keepNext/>
      </w:pPr>
      <w:r>
        <w:t>4.1 扩展重建的主要贡献</w:t>
      </w:r>
    </w:p>
    <w:p>
      <w:pPr>
        <w:pStyle w:val="Normal"/>
      </w:pPr>
      <w:r>
        <w:t>本次重建具有足够的科学深度，可同时呈现生物学理由与证据瓶颈。主要筛选记录描述了剧烈收缩：牙周炎分支超过1,170万条smORF变为33,786条证据过滤候选、3,518条BBB高分输出、3,299条已评估序列中的923条NTxPred2阳性，最终形成来源报告的12条和8条CHEL/FRS终点计数。外部v0.4整合增加了12条明确的7–9 aa序列及其AChE对接报告排序，使匿名终点计数转化为具体、可合成的假设集合。</w:t>
      </w:r>
    </w:p>
    <w:p>
      <w:pPr>
        <w:pStyle w:val="Normal"/>
      </w:pPr>
      <w:r>
        <w:t>但扩展不能支持更强因果语言。12条序列尚不能逐行追溯至主要漏斗，对接也不能从现有项目复现。因此，核心进展是</w:t>
      </w:r>
      <w:r>
        <w:rPr>
          <w:b/>
        </w:rPr>
        <w:t>保留来源边界的可操作性</w:t>
      </w:r>
      <w:r>
        <w:t>：研究者能看到应合成哪些序列、应尝试复现哪一外部排序、缺少哪些信息以及哪些陈述仍被禁止。</w:t>
      </w:r>
    </w:p>
    <w:p>
      <w:pPr>
        <w:pStyle w:val="Heading4"/>
        <w:keepNext/>
      </w:pPr>
      <w:r>
        <w:t>4.2 与当前smORF和肽发现标准的比较</w:t>
      </w:r>
    </w:p>
    <w:p>
      <w:pPr>
        <w:pStyle w:val="Normal"/>
      </w:pPr>
      <w:r>
        <w:t>当前smORF研究把预测与翻译或蛋白质组证据结合 [1–5]；当代口腔宏蛋白质组采用明确错误控制、分类和谱图保存 [10–12]；有说服力的肽挖掘研究会合成候选并测量功能 [19]。本研究记录与上述标准有三项差距：第一，无法在序列/谱图层面检查证据匹配；第二，缺少参与者和样本映射；第三，两个来源均未提供带锁定版本和数据库的可执行筛选流程。</w:t>
      </w:r>
    </w:p>
    <w:p>
      <w:pPr>
        <w:pStyle w:val="Normal"/>
      </w:pPr>
      <w:r>
        <w:t>外部12条序列仍具有实用价值。确认来源后，可开展精确重复搜索、分类归属、模型适用域评估、合成可行性审查和预测器直接重跑。该集合还呈现短、阳离子、富亮氨酸且组氨酸/半胱氨酸富集的组成模式。这可能反映预期金属结合筛选，也可能反映序列域偏倚、膜活性基序或相关预测器特征。赋予生物学意义之前，需要组成匹配的诱饵序列和替代预测器。</w:t>
      </w:r>
    </w:p>
    <w:p>
      <w:pPr>
        <w:pStyle w:val="Heading4"/>
        <w:keepNext/>
      </w:pPr>
      <w:r>
        <w:t>4.3 AChE/PAS对接随访的解释</w:t>
      </w:r>
    </w:p>
    <w:p>
      <w:pPr>
        <w:pStyle w:val="Normal"/>
      </w:pPr>
      <w:r>
        <w:t>AChE PAS是AD导向假设的合理靶点，因为AChE可加速Aβ装配，PAS定向配体可调节该过程 [23–29]。PDB 4EY6提供具药理学配体的人AChE结构 [27]。因此，来源报告的PAS中心Vina筛选可作为初步结构分流 [51,52]。外部分数范围显示，在所选评分流程下12条均被保留，极端均值相差约1.35 kcal/mol。</w:t>
      </w:r>
    </w:p>
    <w:p>
      <w:pPr>
        <w:pStyle w:val="Normal"/>
      </w:pPr>
      <w:r>
        <w:t>但多项因素阻止将该范围视为结合证据。7–9 aa柔性肽具有大量构象；受体刚性、质子化、端基、肽初始构象、盒位置、exhaustiveness和评分随机性均可改变排序。外部项目没有提供这些细节或任何构象。未说明SD代表模式、种子、重复制备还是其他单位，故不能解释。单一靶标/流程的分数不能证明选择性、PAS相对于其他位点的偏好、催化抑制、Aβ调节或细胞内活性。可复现随访应保存受体和配体制备文件、精确命令、种子、所有分数与构象，以及容器/环境。随后可采用FlexPepDock等柔性精修或肽特异流程检验排序稳定性 [53]。</w:t>
      </w:r>
    </w:p>
    <w:p>
      <w:pPr>
        <w:pStyle w:val="Heading4"/>
        <w:keepNext/>
      </w:pPr>
      <w:r>
        <w:t>4.4 金属结合与短神经活性肽假设</w:t>
      </w:r>
    </w:p>
    <w:p>
      <w:pPr>
        <w:pStyle w:val="Normal"/>
      </w:pPr>
      <w:r>
        <w:t>11条含组氨酸、6条含半胱氨酸，为配位提供了可能基团，但组成或mebipred不能给出结合常数、化学计量、选择性、氧化态、几何或氧化还原行为。Tau片段研究展示了测量路径：Cu(II)配位可与结构变化及Aβ聚集效应联系 [32]，tau26–44则提供短神经活性肽的细胞和生物物理证据 [33]。Curli实验显示细菌淀粉样暴露可改变模型生物中的聚集表型 [34]。这些是实验模板，而不是类比证明。</w:t>
      </w:r>
    </w:p>
    <w:p>
      <w:pPr>
        <w:pStyle w:val="Normal"/>
      </w:pPr>
      <w:r>
        <w:t>最低限度的金属验证应以光谱和量热比较Cu(II)、Fe(II/III)和Zn(II)，估计化学计量和亲和力，并在肽单独、金属单独、打乱序列、组成匹配以及阳性/阴性对照下测量金属依赖ROS和脂质过氧化。效应需在独立合成批次中重复并呈浓度依赖。“促氧化”标签应要求在明确定义的金属条件下氧化增加，而不是仅依赖CHEL高/FRS低预测。</w:t>
      </w:r>
    </w:p>
    <w:p>
      <w:pPr>
        <w:pStyle w:val="Heading4"/>
        <w:keepNext/>
      </w:pPr>
      <w:r>
        <w:t>4.5 牙周炎–AD解释仍属于假设生成</w:t>
      </w:r>
    </w:p>
    <w:p>
      <w:pPr>
        <w:pStyle w:val="Normal"/>
      </w:pPr>
      <w:r>
        <w:t>流行病学记录可提供动机，但不能证明该通路 [35–43]。牙周炎可能与年龄、吸烟、糖尿病、社会经济状况、口腔护理、药物、虚弱和认知下降导致的反向因果相关。近期遗传因果分析是对强机制叙事的重要制衡 [41,42]。特定牙龈卟啉单胞菌研究支持牙龈蛋白酶、炎症、囊泡或感染路径的合理性 [44–50]，但不能转移给未归属的群落序列。</w:t>
      </w:r>
    </w:p>
    <w:p>
      <w:pPr>
        <w:pStyle w:val="Normal"/>
      </w:pPr>
      <w:r>
        <w:t>因此，本研究不声称12条肽是牙周炎特异、牙龈卟啉单胞菌来源、存在于血液或脑，或与AD存在因果关系。唯一队列相关陈述是：主要流程通过标注为牙周炎的分支对它们进行优选。分类归属和队列流行度需要序列—组装—样本映射及合适的受试者层面统计。</w:t>
      </w:r>
    </w:p>
    <w:p>
      <w:pPr>
        <w:pStyle w:val="Heading4"/>
        <w:keepNext/>
      </w:pPr>
      <w:r>
        <w:t>4.6 为什么汇总候选计数不支持推断性组间检验</w:t>
      </w:r>
    </w:p>
    <w:p>
      <w:pPr>
        <w:pStyle w:val="Normal"/>
      </w:pPr>
      <w:r>
        <w:t>外部v0.4草稿使用了肽层面的2×2检验，本研究未保留。来自同一参与者的数百万smORF、跨参与者同源序列、同一组装的候选以及重复精确匹配彼此相关。把每条序列当作独立单位会夸大有效样本量，并可能为微小差异生成很小的p值。适当单位应是参与者或样本，并在处理聚类、重复序列、测序深度、口腔位点和协变量后汇总或建模候选结果。</w:t>
      </w:r>
    </w:p>
    <w:p>
      <w:pPr>
        <w:pStyle w:val="Normal"/>
      </w:pPr>
      <w:r>
        <w:t>有效的健康—牙周炎比较需要参与者×候选或参与者×特征矩阵、预先指定终点、一致分母、重复/同源处理，以及在参与者层面运行的混合模型或置换模型。目前不存在这些行，因此描述性比例是可辩护分析的上限。</w:t>
      </w:r>
    </w:p>
    <w:p>
      <w:pPr>
        <w:pStyle w:val="Heading4"/>
        <w:keepNext/>
      </w:pPr>
      <w:r>
        <w:t>4.7 可重复性优先事项</w:t>
      </w:r>
    </w:p>
    <w:p>
      <w:pPr>
        <w:pStyle w:val="Normal"/>
      </w:pPr>
      <w:r>
        <w:t>最高优先级是重建统一的候选层面表格，包含：序列；稳定ID；基因组坐标；组装；参与者/样本；分组；分类；序列/蛋白质组证据及谱图层面统计；每个预测器的版本、分数、阈值决策和适用性标记；CHEL/FRS值；主集合/严格集合成员；以及与每个对接配体的链接。筛选流程应包含数据库快照、精确命令、锁定环境和校验和。</w:t>
      </w:r>
    </w:p>
    <w:p>
      <w:pPr>
        <w:pStyle w:val="Normal"/>
      </w:pPr>
      <w:r>
        <w:t>对接发布应增加受体登录号和链、缺失残基处理、质子化、端基、电荷、水/辅因子、配体构象、PDBQT、盒中心与大小、exhaustiveness、mode数、energy range、种子、原始日志、所有构象、聚类和相互作用分析代码。外部记录的失败MD叙述在缺少模拟包时无法评估，不应作为投稿结果。只有对接可复现且结构缺口被前瞻处理后，才应启动新的模拟。</w:t>
      </w:r>
    </w:p>
    <w:p>
      <w:pPr>
        <w:pStyle w:val="Heading4"/>
        <w:keepNext/>
      </w:pPr>
      <w:r>
        <w:t>4.8 实验验证路线与停止规则</w:t>
      </w:r>
    </w:p>
    <w:p>
      <w:pPr>
        <w:pStyle w:val="Normal"/>
      </w:pPr>
      <w:r>
        <w:t>分阶段计划可降低成本，并防止下游叙事弥补上游不确定性：</w:t>
      </w:r>
    </w:p>
    <w:p>
      <w:pPr>
        <w:pStyle w:val="Reference"/>
        <w:ind w:left="360" w:hanging="360"/>
      </w:pPr>
      <w:r>
        <w:rPr>
          <w:sz w:val="18"/>
          <w:szCs w:val="18"/>
        </w:rPr>
        <w:t xml:space="preserve">1. </w:t>
      </w:r>
      <w:r>
        <w:rPr>
          <w:b/>
          <w:sz w:val="18"/>
          <w:szCs w:val="18"/>
        </w:rPr>
        <w:t>链路与计算复现：</w:t>
      </w:r>
      <w:r>
        <w:rPr>
          <w:sz w:val="18"/>
          <w:szCs w:val="18"/>
        </w:rPr>
        <w:t xml:space="preserve"> 核实12行，恢复8/12子集，重跑预测器和对接，并测试替代肽构象/流程。</w:t>
      </w:r>
    </w:p>
    <w:p>
      <w:pPr>
        <w:pStyle w:val="Reference"/>
        <w:ind w:left="360" w:hanging="360"/>
      </w:pPr>
      <w:r>
        <w:rPr>
          <w:sz w:val="18"/>
          <w:szCs w:val="18"/>
        </w:rPr>
        <w:t xml:space="preserve">2. </w:t>
      </w:r>
      <w:r>
        <w:rPr>
          <w:b/>
          <w:sz w:val="18"/>
          <w:szCs w:val="18"/>
        </w:rPr>
        <w:t>翻译/表达：</w:t>
      </w:r>
      <w:r>
        <w:rPr>
          <w:sz w:val="18"/>
          <w:szCs w:val="18"/>
        </w:rPr>
        <w:t xml:space="preserve"> 采用队列匹配宏转录组、可行时核糖体测序，或具有肽层面错误发现率控制和分类唯一性的靶向宏蛋白质组。</w:t>
      </w:r>
    </w:p>
    <w:p>
      <w:pPr>
        <w:pStyle w:val="Reference"/>
        <w:ind w:left="360" w:hanging="360"/>
      </w:pPr>
      <w:r>
        <w:rPr>
          <w:sz w:val="18"/>
          <w:szCs w:val="18"/>
        </w:rPr>
        <w:t xml:space="preserve">3. </w:t>
      </w:r>
      <w:r>
        <w:rPr>
          <w:b/>
          <w:sz w:val="18"/>
          <w:szCs w:val="18"/>
        </w:rPr>
        <w:t>化学身份与稳定性：</w:t>
      </w:r>
      <w:r>
        <w:rPr>
          <w:sz w:val="18"/>
          <w:szCs w:val="18"/>
        </w:rPr>
        <w:t xml:space="preserve"> 合成肽并确认纯度/质量；测量血清/蛋白酶稳定性、溶解度、聚集和非特异膜破坏。</w:t>
      </w:r>
    </w:p>
    <w:p>
      <w:pPr>
        <w:pStyle w:val="Reference"/>
        <w:ind w:left="360" w:hanging="360"/>
      </w:pPr>
      <w:r>
        <w:rPr>
          <w:sz w:val="18"/>
          <w:szCs w:val="18"/>
        </w:rPr>
        <w:t xml:space="preserve">4. </w:t>
      </w:r>
      <w:r>
        <w:rPr>
          <w:b/>
          <w:sz w:val="18"/>
          <w:szCs w:val="18"/>
        </w:rPr>
        <w:t>BBB与毒理：</w:t>
      </w:r>
      <w:r>
        <w:rPr>
          <w:sz w:val="18"/>
          <w:szCs w:val="18"/>
        </w:rPr>
        <w:t xml:space="preserve"> 使用通透/转运模型，再实施神经元与非神经元存活、膜完整性及剂量—反应测定；分别评估预测BBB和NTx标签。</w:t>
      </w:r>
    </w:p>
    <w:p>
      <w:pPr>
        <w:pStyle w:val="Reference"/>
        <w:ind w:left="360" w:hanging="360"/>
      </w:pPr>
      <w:r>
        <w:rPr>
          <w:sz w:val="18"/>
          <w:szCs w:val="18"/>
        </w:rPr>
        <w:t xml:space="preserve">5. </w:t>
      </w:r>
      <w:r>
        <w:rPr>
          <w:b/>
          <w:sz w:val="18"/>
          <w:szCs w:val="18"/>
        </w:rPr>
        <w:t>金属化学：</w:t>
      </w:r>
      <w:r>
        <w:rPr>
          <w:sz w:val="18"/>
          <w:szCs w:val="18"/>
        </w:rPr>
        <w:t xml:space="preserve"> 定量Cu/Fe/Zn结合，并在受控化学计量和氧化态下测量金属依赖ROS/脂质过氧化。</w:t>
      </w:r>
    </w:p>
    <w:p>
      <w:pPr>
        <w:pStyle w:val="Reference"/>
        <w:ind w:left="360" w:hanging="360"/>
      </w:pPr>
      <w:r>
        <w:rPr>
          <w:sz w:val="18"/>
          <w:szCs w:val="18"/>
        </w:rPr>
        <w:t xml:space="preserve">6. </w:t>
      </w:r>
      <w:r>
        <w:rPr>
          <w:b/>
          <w:sz w:val="18"/>
          <w:szCs w:val="18"/>
        </w:rPr>
        <w:t>AChE/Aβ测试：</w:t>
      </w:r>
      <w:r>
        <w:rPr>
          <w:sz w:val="18"/>
          <w:szCs w:val="18"/>
        </w:rPr>
        <w:t xml:space="preserve"> 测量AChE/BChE活性、必要时直接结合，以及肽单独和金属条件下Aβ聚集。对接只能指导实验，不能替代实验。</w:t>
      </w:r>
    </w:p>
    <w:p>
      <w:pPr>
        <w:pStyle w:val="Reference"/>
        <w:ind w:left="360" w:hanging="360"/>
      </w:pPr>
      <w:r>
        <w:rPr>
          <w:sz w:val="18"/>
          <w:szCs w:val="18"/>
        </w:rPr>
        <w:t xml:space="preserve">7. </w:t>
      </w:r>
      <w:r>
        <w:rPr>
          <w:b/>
          <w:sz w:val="18"/>
          <w:szCs w:val="18"/>
        </w:rPr>
        <w:t>疾病相关性：</w:t>
      </w:r>
      <w:r>
        <w:rPr>
          <w:sz w:val="18"/>
          <w:szCs w:val="18"/>
        </w:rPr>
        <w:t xml:space="preserve"> 只有身份、暴露、可重复生化活性和生物学重复表型均得到验证的候选，才能进入复杂疾病模型。</w:t>
      </w:r>
    </w:p>
    <w:p>
      <w:pPr>
        <w:pStyle w:val="Normal"/>
      </w:pPr>
      <w:r>
        <w:t>停止规则不可缺少。无法追溯的序列不应进入机制解释；缺少表达证据的肽可保留为合成假设，但不能作为队列生物标志物；无论对接分数如何，未通过可复现金属依赖或毒理学实验的肽均不应被描述为神经毒机制。</w:t>
      </w:r>
    </w:p>
    <w:p>
      <w:pPr>
        <w:pStyle w:val="Heading4"/>
        <w:keepNext/>
      </w:pPr>
      <w:r>
        <w:t>4.9 优势与局限</w:t>
      </w:r>
    </w:p>
    <w:p>
      <w:pPr>
        <w:pStyle w:val="Normal"/>
      </w:pPr>
      <w:r>
        <w:t>优势包括明确分离的证据架构、完整汇总算术、显式分母、拒绝伪重复推断检验、整合具体序列清单、独立序列组成审计、透明对接来源、53条文献的机制背景，以及可复现图件/文档构建。本稿还保留负面边界，而不隐藏材料缺失。</w:t>
      </w:r>
    </w:p>
    <w:p>
      <w:pPr>
        <w:pStyle w:val="Normal"/>
      </w:pPr>
      <w:r>
        <w:t>局限仍具有决定性。主要来源缺少逐行数据和代码；外部序列清单无法审计连接到主要来源12行或更严格8条；对接汇总缺少原始产物且未复现；候选分类、翻译、队列表达、BBB转运、毒性、金属化学、AChE结合/功能、Aβ效应和疾病关联均未测量；一个BioProject仍未解析；主要来源PDF被保留，但未独立逐页解析。增加文字或文献不能消除这些局限。</w:t>
      </w:r>
    </w:p>
    <w:p>
      <w:pPr>
        <w:pStyle w:val="Heading2"/>
        <w:keepNext/>
        <w:pageBreakBefore/>
      </w:pPr>
      <w:r>
        <w:t>5. Conclusions / 5 结论</w:t>
      </w:r>
    </w:p>
    <w:p>
      <w:pPr>
        <w:pStyle w:val="Heading3"/>
        <w:keepNext/>
      </w:pPr>
      <w:r>
        <w:t>English</w:t>
      </w:r>
    </w:p>
    <w:p>
      <w:pPr>
        <w:pStyle w:val="Normal"/>
      </w:pPr>
      <w:r>
        <w:t>A provenance-aware reconstruction can make an aggregate-only study more scientifically useful without overstating it. The principal record supports an auditable numerical funnel ending in 12 main and 8 stricter candidate counts. The user-designated external v0.4 report adds twelve explicit 7–9-aa sequences and a source-reported AChE Vina ranking; sequence composition and score ordering are reproducible, but screening lineage and docking execution are not. The result is an expanded, actionable hypothesis package rather than a validated peptide mechanism.</w:t>
      </w:r>
    </w:p>
    <w:p>
      <w:pPr>
        <w:pStyle w:val="Normal"/>
      </w:pPr>
      <w:r>
        <w:t>The immediate deliverable is suitable for accountable-author review and a candid pre-submission enquiry. Formal submission still requires author/declaration completion and an editorial decision about the disclosed reproducibility gap. Scientifically, the next non-negotiable step is release or reconstruction of row-level screening and docking artefacts, followed by expression, transport, toxicology, metal, and AChE/Aβ experiments. Until then, no disease-specific, target-binding, or causal claim is warranted.</w:t>
      </w:r>
    </w:p>
    <w:p>
      <w:pPr>
        <w:pStyle w:val="Heading3"/>
        <w:keepNext/>
      </w:pPr>
      <w:r>
        <w:t>中文</w:t>
      </w:r>
    </w:p>
    <w:p>
      <w:pPr>
        <w:pStyle w:val="Normal"/>
      </w:pPr>
      <w:r>
        <w:t>保留来源边界的重建可在不夸大的前提下提高汇总研究的科学用途。主要记录支持一条可审计算术漏斗，终点为12条主集合和8条严格集合计数。用户指定外部v0.4记录增加了12条明确的7–9 aa序列及其AChE Vina报告排序；序列组成和分数排序可复现，但筛选链路与对接执行不可复现。因此，当前结果是一套扩展、可操作的假设包，而不是经验证的肽机制。</w:t>
      </w:r>
    </w:p>
    <w:p>
      <w:pPr>
        <w:pStyle w:val="Normal"/>
      </w:pPr>
      <w:r>
        <w:t>该交付物可用于责任作者审核和坦诚的投稿前询问。正式投稿仍需完成作者/声明信息，并由编辑判断披露的可重复性缺口是否可接受。科学上下一项不可协商的工作是发布或重建逐行筛选和对接产物，继而开展表达、转运、毒理、金属和AChE/Aβ实验。在此之前，不应提出疾病特异性、靶标结合或因果结论。</w:t>
      </w:r>
    </w:p>
    <w:p>
      <w:pPr>
        <w:pStyle w:val="Heading2"/>
        <w:keepNext/>
        <w:pageBreakBefore/>
      </w:pPr>
      <w:r>
        <w:t>Declarations / 声明</w:t>
      </w:r>
    </w:p>
    <w:p>
      <w:pPr>
        <w:pStyle w:val="Heading3"/>
        <w:keepNext/>
      </w:pPr>
      <w:r>
        <w:t>English</w:t>
      </w:r>
    </w:p>
    <w:p>
      <w:pPr>
        <w:pStyle w:val="Heading4"/>
        <w:keepNext/>
      </w:pPr>
      <w:r>
        <w:t>Ethics approval and consent to participate</w:t>
      </w:r>
    </w:p>
    <w:p>
      <w:pPr>
        <w:pStyle w:val="Normal"/>
      </w:pPr>
      <w:r>
        <w:t>The available materials describe aggregate secondary computational analyses of public-data-derived sequences and contain no identifiable participant data. No new recruitment, intervention, or specimen collection was conducted for this reconstruction. The accountable authors and their institution must confirm whether the original data use and proposed submission require ethics approval or exemption; no approval identifier is inferred.</w:t>
      </w:r>
    </w:p>
    <w:p>
      <w:pPr>
        <w:pStyle w:val="Heading4"/>
        <w:keepNext/>
      </w:pPr>
      <w:r>
        <w:t>Consent for publication</w:t>
      </w:r>
    </w:p>
    <w:p>
      <w:pPr>
        <w:pStyle w:val="Normal"/>
      </w:pPr>
      <w:r>
        <w:t>No identifiable individual material is included. Any journal-specific consent statement must be confirmed by the accountable authors.</w:t>
      </w:r>
    </w:p>
    <w:p>
      <w:pPr>
        <w:pStyle w:val="Heading4"/>
        <w:keepNext/>
      </w:pPr>
      <w:r>
        <w:t>Data availability</w:t>
      </w:r>
    </w:p>
    <w:p>
      <w:pPr>
        <w:pStyle w:val="Normal"/>
      </w:pPr>
      <w:r>
        <w:t>The principal record names PRJNA678453, PRJEB65451, PXD003151, PXD004319, PXD026727, and HOMD/eHOMD. PRJEB65451 remains unresolved in this drafting environment. The external v0.4 report supplies the twelve sequences reproduced in Table 3, but not their stable IDs, subject/sample mapping, spectra, taxonomy, predictor rows, strict-subset labels, or principal-source linkage. PDB 4EY6 is public [27]. Raw docking inputs, runs, logs, and poses were unavailable. Final wording requires accountable-author verification.</w:t>
      </w:r>
    </w:p>
    <w:p>
      <w:pPr>
        <w:pStyle w:val="Heading4"/>
        <w:keepNext/>
      </w:pPr>
      <w:r>
        <w:t>Code availability</w:t>
      </w:r>
    </w:p>
    <w:p>
      <w:pPr>
        <w:pStyle w:val="Normal"/>
      </w:pPr>
      <w:r>
        <w:t>This repository contains code for document extraction, aggregate arithmetic, sequence-composition checks, figures, bilingual assembly, DOCX packaging, and quality audits. It does not contain the original smORF discovery/prediction pipeline or an executable reproduction of the external docking. The code must not be represented as reproducing analyses for which inputs and execution artefacts are missing.</w:t>
      </w:r>
    </w:p>
    <w:p>
      <w:pPr>
        <w:pStyle w:val="Heading4"/>
        <w:keepNext/>
      </w:pPr>
      <w:r>
        <w:t>Funding</w:t>
      </w:r>
    </w:p>
    <w:p>
      <w:pPr>
        <w:pStyle w:val="Normal"/>
      </w:pPr>
      <w:r>
        <w:t>Funding information was not supplied. The accountable authors must provide and verify the final statement.</w:t>
      </w:r>
    </w:p>
    <w:p>
      <w:pPr>
        <w:pStyle w:val="Heading4"/>
        <w:keepNext/>
      </w:pPr>
      <w:r>
        <w:t>Competing interests</w:t>
      </w:r>
    </w:p>
    <w:p>
      <w:pPr>
        <w:pStyle w:val="Normal"/>
      </w:pPr>
      <w:r>
        <w:t>No author-approved competing-interest declaration was supplied. Every named author must complete the target journal’s declaration.</w:t>
      </w:r>
    </w:p>
    <w:p>
      <w:pPr>
        <w:pStyle w:val="Heading4"/>
        <w:keepNext/>
      </w:pPr>
      <w:r>
        <w:t>Author contributions</w:t>
      </w:r>
    </w:p>
    <w:p>
      <w:pPr>
        <w:pStyle w:val="Normal"/>
      </w:pPr>
      <w:r>
        <w:t>Author identities and contributions were not supplied. CRediT roles, accountability, and final approval must be completed by named human authors; authorship cannot be inferred from file provenance.</w:t>
      </w:r>
    </w:p>
    <w:p>
      <w:pPr>
        <w:pStyle w:val="Heading4"/>
        <w:keepNext/>
      </w:pPr>
      <w:r>
        <w:t>Generative artificial intelligence use</w:t>
      </w:r>
    </w:p>
    <w:p>
      <w:pPr>
        <w:pStyle w:val="Normal"/>
      </w:pPr>
      <w:r>
        <w:t>A generative-AI assistant supported source organization, bilingual drafting, deterministic checks, figure scripting, and language editing. It did not generate new biological observations or independently reproduce the missing screening/docking analyses. Human authors must verify every datum, sequence, citation, interpretation, translation, and declaration and adapt this disclosure to journal policy.</w:t>
      </w:r>
    </w:p>
    <w:p>
      <w:pPr>
        <w:pStyle w:val="Heading3"/>
        <w:keepNext/>
      </w:pPr>
      <w:r>
        <w:t>中文</w:t>
      </w:r>
    </w:p>
    <w:p>
      <w:pPr>
        <w:pStyle w:val="Heading4"/>
        <w:keepNext/>
      </w:pPr>
      <w:r>
        <w:t>伦理批准与参与同意</w:t>
      </w:r>
    </w:p>
    <w:p>
      <w:pPr>
        <w:pStyle w:val="Normal"/>
      </w:pPr>
      <w:r>
        <w:t>现有材料描述公共数据衍生序列的汇总二次计算分析，不含可识别参与者信息。本次重建未进行新招募、干预或标本采集。责任作者及其机构须确认原始数据使用和拟投稿是否需要伦理批准或豁免；本文不推断批准编号。</w:t>
      </w:r>
    </w:p>
    <w:p>
      <w:pPr>
        <w:pStyle w:val="Heading4"/>
        <w:keepNext/>
      </w:pPr>
      <w:r>
        <w:t>出版同意</w:t>
      </w:r>
    </w:p>
    <w:p>
      <w:pPr>
        <w:pStyle w:val="Normal"/>
      </w:pPr>
      <w:r>
        <w:t>本文不含可识别个体材料。任何期刊特定同意声明均须由责任作者确认。</w:t>
      </w:r>
    </w:p>
    <w:p>
      <w:pPr>
        <w:pStyle w:val="Heading4"/>
        <w:keepNext/>
      </w:pPr>
      <w:r>
        <w:t>数据可用性</w:t>
      </w:r>
    </w:p>
    <w:p>
      <w:pPr>
        <w:pStyle w:val="Normal"/>
      </w:pPr>
      <w:r>
        <w:t>主要记录列出PRJNA678453、PRJEB65451、PXD003151、PXD004319、PXD026727及HOMD/eHOMD。当前起草环境仍无法解析PRJEB65451。外部v0.4记录提供表3的12条序列，但不含稳定ID、受试者/样本映射、谱图、分类、预测器逐行输出、严格子集标签或主要来源链路。PDB 4EY6为公共结构 [27]。原始对接输入、运行、日志和构象不可用。最终表述需责任作者核实。</w:t>
      </w:r>
    </w:p>
    <w:p>
      <w:pPr>
        <w:pStyle w:val="Heading4"/>
        <w:keepNext/>
      </w:pPr>
      <w:r>
        <w:t>代码可用性</w:t>
      </w:r>
    </w:p>
    <w:p>
      <w:pPr>
        <w:pStyle w:val="Normal"/>
      </w:pPr>
      <w:r>
        <w:t>本仓库含文档提取、汇总算术、序列组成检查、图件、双语组装、DOCX打包和质量审计代码；不含原始smORF发现/预测管线，也不含外部对接的可执行复现。不得将现有代码表述为已复现缺少输入和执行产物的分析。</w:t>
      </w:r>
    </w:p>
    <w:p>
      <w:pPr>
        <w:pStyle w:val="Heading4"/>
        <w:keepNext/>
      </w:pPr>
      <w:r>
        <w:t>经费</w:t>
      </w:r>
    </w:p>
    <w:p>
      <w:pPr>
        <w:pStyle w:val="Normal"/>
      </w:pPr>
      <w:r>
        <w:t>未提供经费信息，最终声明须由责任作者补充并核实。</w:t>
      </w:r>
    </w:p>
    <w:p>
      <w:pPr>
        <w:pStyle w:val="Heading4"/>
        <w:keepNext/>
      </w:pPr>
      <w:r>
        <w:t>利益冲突</w:t>
      </w:r>
    </w:p>
    <w:p>
      <w:pPr>
        <w:pStyle w:val="Normal"/>
      </w:pPr>
      <w:r>
        <w:t>未提供经作者批准的利益冲突声明。每位署名作者均须完成目标期刊要求的声明。</w:t>
      </w:r>
    </w:p>
    <w:p>
      <w:pPr>
        <w:pStyle w:val="Heading4"/>
        <w:keepNext/>
      </w:pPr>
      <w:r>
        <w:t>作者贡献</w:t>
      </w:r>
    </w:p>
    <w:p>
      <w:pPr>
        <w:pStyle w:val="Normal"/>
      </w:pPr>
      <w:r>
        <w:t>未提供作者身份和贡献。CRediT角色、责任承担和最终批准必须由具名人类作者完成，不能从文件来源推断作者资格。</w:t>
      </w:r>
    </w:p>
    <w:p>
      <w:pPr>
        <w:pStyle w:val="Heading4"/>
        <w:keepNext/>
      </w:pPr>
      <w:r>
        <w:t>生成式人工智能使用</w:t>
      </w:r>
    </w:p>
    <w:p>
      <w:pPr>
        <w:pStyle w:val="Normal"/>
      </w:pPr>
      <w:r>
        <w:t>生成式AI助手用于来源组织、双语起草、确定性检查、图件脚本和语言编辑；未生成新生物学观察，也未独立复现缺失的筛选/对接分析。人类作者必须核实每项数据、序列、引文、解释、翻译和声明，并按期刊政策调整披露。</w:t>
      </w:r>
    </w:p>
    <w:p>
      <w:pPr>
        <w:pStyle w:val="Heading2"/>
        <w:keepNext/>
        <w:pageBreakBefore/>
      </w:pPr>
      <w:r>
        <w:t>References / 参考文献</w:t>
      </w:r>
    </w:p>
    <w:p>
      <w:pPr>
        <w:pStyle w:val="Reference"/>
        <w:ind w:left="360" w:hanging="360"/>
      </w:pPr>
      <w:r>
        <w:rPr>
          <w:sz w:val="18"/>
          <w:szCs w:val="18"/>
        </w:rPr>
        <w:t xml:space="preserve">1. Sberro H, Fremin BJ, Zlitni S, et al. Large-scale analyses of human microbiomes reveal thousands of small, novel genes. </w:t>
      </w:r>
      <w:r>
        <w:rPr>
          <w:i/>
          <w:sz w:val="18"/>
          <w:szCs w:val="18"/>
        </w:rPr>
        <w:t>Cell</w:t>
      </w:r>
      <w:r>
        <w:rPr>
          <w:sz w:val="18"/>
          <w:szCs w:val="18"/>
        </w:rPr>
        <w:t>. 2019;178(5):1245–1259.e14. doi:10.1016/j.cell.2019.07.016.</w:t>
      </w:r>
    </w:p>
    <w:p>
      <w:pPr>
        <w:pStyle w:val="Reference"/>
        <w:ind w:left="360" w:hanging="360"/>
      </w:pPr>
      <w:r>
        <w:rPr>
          <w:sz w:val="18"/>
          <w:szCs w:val="18"/>
        </w:rPr>
        <w:t xml:space="preserve">2. Durrant MG, Bhatt AS. Automated prediction and annotation of small open reading frames in microbial genomes. </w:t>
      </w:r>
      <w:r>
        <w:rPr>
          <w:i/>
          <w:sz w:val="18"/>
          <w:szCs w:val="18"/>
        </w:rPr>
        <w:t>Cell Host Microbe</w:t>
      </w:r>
      <w:r>
        <w:rPr>
          <w:sz w:val="18"/>
          <w:szCs w:val="18"/>
        </w:rPr>
        <w:t>. 2021;29(1):121–131.e4. doi:10.1016/j.chom.2020.11.002.</w:t>
      </w:r>
    </w:p>
    <w:p>
      <w:pPr>
        <w:pStyle w:val="Reference"/>
        <w:ind w:left="360" w:hanging="360"/>
      </w:pPr>
      <w:r>
        <w:rPr>
          <w:sz w:val="18"/>
          <w:szCs w:val="18"/>
        </w:rPr>
        <w:t xml:space="preserve">3. Davin ME, Ortís Sunyer J, Delgado LF, et al. High-resolution multi-omics enhances prediction and detection of smORF-encoded proteins in the human gut microbiome. </w:t>
      </w:r>
      <w:r>
        <w:rPr>
          <w:i/>
          <w:sz w:val="18"/>
          <w:szCs w:val="18"/>
        </w:rPr>
        <w:t>Nat Commun</w:t>
      </w:r>
      <w:r>
        <w:rPr>
          <w:sz w:val="18"/>
          <w:szCs w:val="18"/>
        </w:rPr>
        <w:t>. 2026. doi:10.1038/s41467-026-72762-5.</w:t>
      </w:r>
    </w:p>
    <w:p>
      <w:pPr>
        <w:pStyle w:val="Reference"/>
        <w:ind w:left="360" w:hanging="360"/>
      </w:pPr>
      <w:r>
        <w:rPr>
          <w:sz w:val="18"/>
          <w:szCs w:val="18"/>
        </w:rPr>
        <w:t xml:space="preserve">4. Couso JP, Patra P. Short ORFs: finding gems in hidden places. </w:t>
      </w:r>
      <w:r>
        <w:rPr>
          <w:i/>
          <w:sz w:val="18"/>
          <w:szCs w:val="18"/>
        </w:rPr>
        <w:t>Curr Opin Genet Dev</w:t>
      </w:r>
      <w:r>
        <w:rPr>
          <w:sz w:val="18"/>
          <w:szCs w:val="18"/>
        </w:rPr>
        <w:t>. 2017;45:14–21. doi:10.1016/j.gde.2017.04.002.</w:t>
      </w:r>
    </w:p>
    <w:p>
      <w:pPr>
        <w:pStyle w:val="Reference"/>
        <w:ind w:left="360" w:hanging="360"/>
      </w:pPr>
      <w:r>
        <w:rPr>
          <w:sz w:val="18"/>
          <w:szCs w:val="18"/>
        </w:rPr>
        <w:t xml:space="preserve">5. van Heesch S, Wit F, Botter J, et al. The translational landscape of the human heart. </w:t>
      </w:r>
      <w:r>
        <w:rPr>
          <w:i/>
          <w:sz w:val="18"/>
          <w:szCs w:val="18"/>
        </w:rPr>
        <w:t>Cell</w:t>
      </w:r>
      <w:r>
        <w:rPr>
          <w:sz w:val="18"/>
          <w:szCs w:val="18"/>
        </w:rPr>
        <w:t>. 2019;178(1):236–251.e24. doi:10.1016/j.cell.2019.05.010.</w:t>
      </w:r>
    </w:p>
    <w:p>
      <w:pPr>
        <w:pStyle w:val="Reference"/>
        <w:ind w:left="360" w:hanging="360"/>
      </w:pPr>
      <w:r>
        <w:rPr>
          <w:sz w:val="18"/>
          <w:szCs w:val="18"/>
        </w:rPr>
        <w:t xml:space="preserve">6. Belstrøm D, Constancias F, Drautz-Moses DI, et al. Periodontitis associates with species-specific gene expression of the oral microbiota. </w:t>
      </w:r>
      <w:r>
        <w:rPr>
          <w:i/>
          <w:sz w:val="18"/>
          <w:szCs w:val="18"/>
        </w:rPr>
        <w:t>npj Biofilms Microbiomes</w:t>
      </w:r>
      <w:r>
        <w:rPr>
          <w:sz w:val="18"/>
          <w:szCs w:val="18"/>
        </w:rPr>
        <w:t>. 2021;7:76. doi:10.1038/s41522-021-00247-y.</w:t>
      </w:r>
    </w:p>
    <w:p>
      <w:pPr>
        <w:pStyle w:val="Reference"/>
        <w:ind w:left="360" w:hanging="360"/>
      </w:pPr>
      <w:r>
        <w:rPr>
          <w:sz w:val="18"/>
          <w:szCs w:val="18"/>
        </w:rPr>
        <w:t xml:space="preserve">7. Ovsepian A, Kardaras FS, Skoulakis A, Hatzigeorgiou AG. Microbial signatures in human periodontal disease: a metatranscriptome meta-analysis. </w:t>
      </w:r>
      <w:r>
        <w:rPr>
          <w:i/>
          <w:sz w:val="18"/>
          <w:szCs w:val="18"/>
        </w:rPr>
        <w:t>Front Microbiol</w:t>
      </w:r>
      <w:r>
        <w:rPr>
          <w:sz w:val="18"/>
          <w:szCs w:val="18"/>
        </w:rPr>
        <w:t>. 2024;15:1383404. doi:10.3389/fmicb.2024.1383404.</w:t>
      </w:r>
    </w:p>
    <w:p>
      <w:pPr>
        <w:pStyle w:val="Reference"/>
        <w:ind w:left="360" w:hanging="360"/>
      </w:pPr>
      <w:r>
        <w:rPr>
          <w:sz w:val="18"/>
          <w:szCs w:val="18"/>
        </w:rPr>
        <w:t xml:space="preserve">8. Chen T, Yu WH, Izard J, et al. The Human Oral Microbiome Database: a web accessible resource for investigating oral microbe taxonomic and genomic information. </w:t>
      </w:r>
      <w:r>
        <w:rPr>
          <w:i/>
          <w:sz w:val="18"/>
          <w:szCs w:val="18"/>
        </w:rPr>
        <w:t>Database (Oxford)</w:t>
      </w:r>
      <w:r>
        <w:rPr>
          <w:sz w:val="18"/>
          <w:szCs w:val="18"/>
        </w:rPr>
        <w:t>. 2010;2010:baq013. doi:10.1093/database/baq013.</w:t>
      </w:r>
    </w:p>
    <w:p>
      <w:pPr>
        <w:pStyle w:val="Reference"/>
        <w:ind w:left="360" w:hanging="360"/>
      </w:pPr>
      <w:r>
        <w:rPr>
          <w:sz w:val="18"/>
          <w:szCs w:val="18"/>
        </w:rPr>
        <w:t xml:space="preserve">9. Escapa IF, Chen T, Huang Y, et al. New insights into human nostril microbiome from the expanded Human Oral Microbiome Database. </w:t>
      </w:r>
      <w:r>
        <w:rPr>
          <w:i/>
          <w:sz w:val="18"/>
          <w:szCs w:val="18"/>
        </w:rPr>
        <w:t>mSystems</w:t>
      </w:r>
      <w:r>
        <w:rPr>
          <w:sz w:val="18"/>
          <w:szCs w:val="18"/>
        </w:rPr>
        <w:t>. 2018;3(6):e00187-18. doi:10.1128/mSystems.00187-18.</w:t>
      </w:r>
    </w:p>
    <w:p>
      <w:pPr>
        <w:pStyle w:val="Reference"/>
        <w:ind w:left="360" w:hanging="360"/>
      </w:pPr>
      <w:r>
        <w:rPr>
          <w:sz w:val="18"/>
          <w:szCs w:val="18"/>
        </w:rPr>
        <w:t xml:space="preserve">10. Belstrøm D, Jersie-Christensen RR, Lyon D, et al. Metaproteomics of saliva identifies human protein markers specific for individuals with periodontitis and dental caries compared to orally healthy controls. </w:t>
      </w:r>
      <w:r>
        <w:rPr>
          <w:i/>
          <w:sz w:val="18"/>
          <w:szCs w:val="18"/>
        </w:rPr>
        <w:t>PeerJ</w:t>
      </w:r>
      <w:r>
        <w:rPr>
          <w:sz w:val="18"/>
          <w:szCs w:val="18"/>
        </w:rPr>
        <w:t>. 2016;4:e2433. doi:10.7717/peerj.2433.</w:t>
      </w:r>
    </w:p>
    <w:p>
      <w:pPr>
        <w:pStyle w:val="Reference"/>
        <w:ind w:left="360" w:hanging="360"/>
      </w:pPr>
      <w:r>
        <w:rPr>
          <w:sz w:val="18"/>
          <w:szCs w:val="18"/>
        </w:rPr>
        <w:t xml:space="preserve">11. Jiang X, Zhang Y, Wang H, et al. In-depth metaproteomics analysis of oral microbiome for lung cancer. </w:t>
      </w:r>
      <w:r>
        <w:rPr>
          <w:i/>
          <w:sz w:val="18"/>
          <w:szCs w:val="18"/>
        </w:rPr>
        <w:t>Research</w:t>
      </w:r>
      <w:r>
        <w:rPr>
          <w:sz w:val="18"/>
          <w:szCs w:val="18"/>
        </w:rPr>
        <w:t>. 2022;2022:9781578. doi:10.34133/2022/9781578.</w:t>
      </w:r>
    </w:p>
    <w:p>
      <w:pPr>
        <w:pStyle w:val="Reference"/>
        <w:ind w:left="360" w:hanging="360"/>
      </w:pPr>
      <w:r>
        <w:rPr>
          <w:sz w:val="18"/>
          <w:szCs w:val="18"/>
        </w:rPr>
        <w:t xml:space="preserve">12. Yuan J, Sun B, Li M, et al. OSaMPle workflow for salivary metaproteomics analysis reveals dysbiosis in inflammatory bowel disease patients. </w:t>
      </w:r>
      <w:r>
        <w:rPr>
          <w:i/>
          <w:sz w:val="18"/>
          <w:szCs w:val="18"/>
        </w:rPr>
        <w:t>npj Biofilms Microbiomes</w:t>
      </w:r>
      <w:r>
        <w:rPr>
          <w:sz w:val="18"/>
          <w:szCs w:val="18"/>
        </w:rPr>
        <w:t>. 2025;11:63. doi:10.1038/s41522-025-00692-z.</w:t>
      </w:r>
    </w:p>
    <w:p>
      <w:pPr>
        <w:pStyle w:val="Reference"/>
        <w:ind w:left="360" w:hanging="360"/>
      </w:pPr>
      <w:r>
        <w:rPr>
          <w:sz w:val="18"/>
          <w:szCs w:val="18"/>
        </w:rPr>
        <w:t xml:space="preserve">13. Du Z, Ding X, Xu Y, Li Y. UniDL4BioPep: a universal deep learning architecture for binary classification in peptide bioactivity. </w:t>
      </w:r>
      <w:r>
        <w:rPr>
          <w:i/>
          <w:sz w:val="18"/>
          <w:szCs w:val="18"/>
        </w:rPr>
        <w:t>Brief Bioinform</w:t>
      </w:r>
      <w:r>
        <w:rPr>
          <w:sz w:val="18"/>
          <w:szCs w:val="18"/>
        </w:rPr>
        <w:t>. 2023;24(3):bbad135. doi:10.1093/bib/bbad135.</w:t>
      </w:r>
    </w:p>
    <w:p>
      <w:pPr>
        <w:pStyle w:val="Reference"/>
        <w:ind w:left="360" w:hanging="360"/>
      </w:pPr>
      <w:r>
        <w:rPr>
          <w:sz w:val="18"/>
          <w:szCs w:val="18"/>
        </w:rPr>
        <w:t xml:space="preserve">14. Gu ZF, Hao YD, Wang TY, et al. Prediction of blood-brain barrier penetrating peptides based on data augmentation with Augur. </w:t>
      </w:r>
      <w:r>
        <w:rPr>
          <w:i/>
          <w:sz w:val="18"/>
          <w:szCs w:val="18"/>
        </w:rPr>
        <w:t>BMC Biol</w:t>
      </w:r>
      <w:r>
        <w:rPr>
          <w:sz w:val="18"/>
          <w:szCs w:val="18"/>
        </w:rPr>
        <w:t>. 2024;22:86. doi:10.1186/s12915-024-01883-4.</w:t>
      </w:r>
    </w:p>
    <w:p>
      <w:pPr>
        <w:pStyle w:val="Reference"/>
        <w:ind w:left="360" w:hanging="360"/>
      </w:pPr>
      <w:r>
        <w:rPr>
          <w:sz w:val="18"/>
          <w:szCs w:val="18"/>
        </w:rPr>
        <w:t xml:space="preserve">15. Liu X, Zhao Z, Guan J, et al. Prediction of blood-brain barrier-penetrating peptides using B3BPFN. </w:t>
      </w:r>
      <w:r>
        <w:rPr>
          <w:i/>
          <w:sz w:val="18"/>
          <w:szCs w:val="18"/>
        </w:rPr>
        <w:t>Front Mol Biosci</w:t>
      </w:r>
      <w:r>
        <w:rPr>
          <w:sz w:val="18"/>
          <w:szCs w:val="18"/>
        </w:rPr>
        <w:t>. 2026;13:1858506. doi:10.3389/fmolb.2026.1858506.</w:t>
      </w:r>
    </w:p>
    <w:p>
      <w:pPr>
        <w:pStyle w:val="Reference"/>
        <w:ind w:left="360" w:hanging="360"/>
      </w:pPr>
      <w:r>
        <w:rPr>
          <w:sz w:val="18"/>
          <w:szCs w:val="18"/>
        </w:rPr>
        <w:t xml:space="preserve">16. Rathore AS, Jain S, Choudhury S, Raghava GPS. A large language model for predicting neurotoxic peptides and neurotoxins. </w:t>
      </w:r>
      <w:r>
        <w:rPr>
          <w:i/>
          <w:sz w:val="18"/>
          <w:szCs w:val="18"/>
        </w:rPr>
        <w:t>Protein Sci</w:t>
      </w:r>
      <w:r>
        <w:rPr>
          <w:sz w:val="18"/>
          <w:szCs w:val="18"/>
        </w:rPr>
        <w:t>. 2025;34(8):e70200. doi:10.1002/pro.70200.</w:t>
      </w:r>
    </w:p>
    <w:p>
      <w:pPr>
        <w:pStyle w:val="Reference"/>
        <w:ind w:left="360" w:hanging="360"/>
      </w:pPr>
      <w:r>
        <w:rPr>
          <w:sz w:val="18"/>
          <w:szCs w:val="18"/>
        </w:rPr>
        <w:t xml:space="preserve">17. Aptekmann AA, Buongiorno J, Giovannelli D, et al. mebipred: identifying metal-binding potential in protein sequence. </w:t>
      </w:r>
      <w:r>
        <w:rPr>
          <w:i/>
          <w:sz w:val="18"/>
          <w:szCs w:val="18"/>
        </w:rPr>
        <w:t>Bioinformatics</w:t>
      </w:r>
      <w:r>
        <w:rPr>
          <w:sz w:val="18"/>
          <w:szCs w:val="18"/>
        </w:rPr>
        <w:t>. 2022;38(14):3532–3540. doi:10.1093/bioinformatics/btac358.</w:t>
      </w:r>
    </w:p>
    <w:p>
      <w:pPr>
        <w:pStyle w:val="Reference"/>
        <w:ind w:left="360" w:hanging="360"/>
      </w:pPr>
      <w:r>
        <w:rPr>
          <w:sz w:val="18"/>
          <w:szCs w:val="18"/>
        </w:rPr>
        <w:t xml:space="preserve">18. Olsen TH, Yesiltas B, Marin FI, et al. AnOxPePred: using deep learning for the prediction of antioxidative properties of peptides. </w:t>
      </w:r>
      <w:r>
        <w:rPr>
          <w:i/>
          <w:sz w:val="18"/>
          <w:szCs w:val="18"/>
        </w:rPr>
        <w:t>Sci Rep</w:t>
      </w:r>
      <w:r>
        <w:rPr>
          <w:sz w:val="18"/>
          <w:szCs w:val="18"/>
        </w:rPr>
        <w:t>. 2020;10:21471. doi:10.1038/s41598-020-78319-w.</w:t>
      </w:r>
    </w:p>
    <w:p>
      <w:pPr>
        <w:pStyle w:val="Reference"/>
        <w:ind w:left="360" w:hanging="360"/>
      </w:pPr>
      <w:r>
        <w:rPr>
          <w:sz w:val="18"/>
          <w:szCs w:val="18"/>
        </w:rPr>
        <w:t xml:space="preserve">19. Torres MDT, Brooks EF, Cesaro A, et al. Mining human microbiomes reveals an untapped source of peptide antibiotics. </w:t>
      </w:r>
      <w:r>
        <w:rPr>
          <w:i/>
          <w:sz w:val="18"/>
          <w:szCs w:val="18"/>
        </w:rPr>
        <w:t>Cell</w:t>
      </w:r>
      <w:r>
        <w:rPr>
          <w:sz w:val="18"/>
          <w:szCs w:val="18"/>
        </w:rPr>
        <w:t>. 2024;187(19):5453–5467.e15. doi:10.1016/j.cell.2024.07.027.</w:t>
      </w:r>
    </w:p>
    <w:p>
      <w:pPr>
        <w:pStyle w:val="Reference"/>
        <w:ind w:left="360" w:hanging="360"/>
      </w:pPr>
      <w:r>
        <w:rPr>
          <w:sz w:val="18"/>
          <w:szCs w:val="18"/>
        </w:rPr>
        <w:t xml:space="preserve">20. Scheltens P, De Strooper B, Kivipelto M, et al. Alzheimer’s disease. </w:t>
      </w:r>
      <w:r>
        <w:rPr>
          <w:i/>
          <w:sz w:val="18"/>
          <w:szCs w:val="18"/>
        </w:rPr>
        <w:t>Lancet</w:t>
      </w:r>
      <w:r>
        <w:rPr>
          <w:sz w:val="18"/>
          <w:szCs w:val="18"/>
        </w:rPr>
        <w:t>. 2021;397(10284):1577–1590. doi:10.1016/S0140-6736(20)32205-4.</w:t>
      </w:r>
    </w:p>
    <w:p>
      <w:pPr>
        <w:pStyle w:val="Reference"/>
        <w:ind w:left="360" w:hanging="360"/>
      </w:pPr>
      <w:r>
        <w:rPr>
          <w:sz w:val="18"/>
          <w:szCs w:val="18"/>
        </w:rPr>
        <w:t xml:space="preserve">21. Selkoe DJ, Hardy J. The amyloid hypothesis of Alzheimer’s disease at 25 years. </w:t>
      </w:r>
      <w:r>
        <w:rPr>
          <w:i/>
          <w:sz w:val="18"/>
          <w:szCs w:val="18"/>
        </w:rPr>
        <w:t>EMBO Mol Med</w:t>
      </w:r>
      <w:r>
        <w:rPr>
          <w:sz w:val="18"/>
          <w:szCs w:val="18"/>
        </w:rPr>
        <w:t>. 2016;8(6):595–608. doi:10.15252/emmm.201606210.</w:t>
      </w:r>
    </w:p>
    <w:p>
      <w:pPr>
        <w:pStyle w:val="Reference"/>
        <w:ind w:left="360" w:hanging="360"/>
      </w:pPr>
      <w:r>
        <w:rPr>
          <w:sz w:val="18"/>
          <w:szCs w:val="18"/>
        </w:rPr>
        <w:t xml:space="preserve">22. Hampel H, Mesulam MM, Cuello AC, et al. The cholinergic system in the pathophysiology and treatment of Alzheimer’s disease. </w:t>
      </w:r>
      <w:r>
        <w:rPr>
          <w:i/>
          <w:sz w:val="18"/>
          <w:szCs w:val="18"/>
        </w:rPr>
        <w:t>Brain</w:t>
      </w:r>
      <w:r>
        <w:rPr>
          <w:sz w:val="18"/>
          <w:szCs w:val="18"/>
        </w:rPr>
        <w:t>. 2018;141(7):1917–1933. doi:10.1093/brain/awy132.</w:t>
      </w:r>
    </w:p>
    <w:p>
      <w:pPr>
        <w:pStyle w:val="Reference"/>
        <w:ind w:left="360" w:hanging="360"/>
      </w:pPr>
      <w:r>
        <w:rPr>
          <w:sz w:val="18"/>
          <w:szCs w:val="18"/>
        </w:rPr>
        <w:t xml:space="preserve">23. Inestrosa NC, Alvarez A, Pérez CA, et al. Acetylcholinesterase accelerates assembly of amyloid-β-peptides into Alzheimer’s fibrils. </w:t>
      </w:r>
      <w:r>
        <w:rPr>
          <w:i/>
          <w:sz w:val="18"/>
          <w:szCs w:val="18"/>
        </w:rPr>
        <w:t>Neuron</w:t>
      </w:r>
      <w:r>
        <w:rPr>
          <w:sz w:val="18"/>
          <w:szCs w:val="18"/>
        </w:rPr>
        <w:t>. 1996;16(4):881–891. doi:10.1016/s0896-6273(00)80108-7.</w:t>
      </w:r>
    </w:p>
    <w:p>
      <w:pPr>
        <w:pStyle w:val="Reference"/>
        <w:ind w:left="360" w:hanging="360"/>
      </w:pPr>
      <w:r>
        <w:rPr>
          <w:sz w:val="18"/>
          <w:szCs w:val="18"/>
        </w:rPr>
        <w:t xml:space="preserve">24. De Ferrari GV, Canales MA, Shin I, et al. A structural motif of acetylcholinesterase that promotes amyloid β-peptide fibril formation. </w:t>
      </w:r>
      <w:r>
        <w:rPr>
          <w:i/>
          <w:sz w:val="18"/>
          <w:szCs w:val="18"/>
        </w:rPr>
        <w:t>Biochemistry</w:t>
      </w:r>
      <w:r>
        <w:rPr>
          <w:sz w:val="18"/>
          <w:szCs w:val="18"/>
        </w:rPr>
        <w:t>. 2001;40(35):10447–10457. doi:10.1021/bi0101392.</w:t>
      </w:r>
    </w:p>
    <w:p>
      <w:pPr>
        <w:pStyle w:val="Reference"/>
        <w:ind w:left="360" w:hanging="360"/>
      </w:pPr>
      <w:r>
        <w:rPr>
          <w:sz w:val="18"/>
          <w:szCs w:val="18"/>
        </w:rPr>
        <w:t xml:space="preserve">25. Bartolini M, Bertucci C, Cavrini V, Andrisano V. β-Amyloid aggregation induced by human acetylcholinesterase: inhibition studies. </w:t>
      </w:r>
      <w:r>
        <w:rPr>
          <w:i/>
          <w:sz w:val="18"/>
          <w:szCs w:val="18"/>
        </w:rPr>
        <w:t>Biochem Pharmacol</w:t>
      </w:r>
      <w:r>
        <w:rPr>
          <w:sz w:val="18"/>
          <w:szCs w:val="18"/>
        </w:rPr>
        <w:t>. 2003;65(3):407–416. doi:10.1016/s0006-2952(02)01514-9.</w:t>
      </w:r>
    </w:p>
    <w:p>
      <w:pPr>
        <w:pStyle w:val="Reference"/>
        <w:ind w:left="360" w:hanging="360"/>
      </w:pPr>
      <w:r>
        <w:rPr>
          <w:sz w:val="18"/>
          <w:szCs w:val="18"/>
        </w:rPr>
        <w:t xml:space="preserve">26. Kryger G, Silman I, Sussman JL. Structure of acetylcholinesterase complexed with E2020 (Aricept). </w:t>
      </w:r>
      <w:r>
        <w:rPr>
          <w:i/>
          <w:sz w:val="18"/>
          <w:szCs w:val="18"/>
        </w:rPr>
        <w:t>Structure</w:t>
      </w:r>
      <w:r>
        <w:rPr>
          <w:sz w:val="18"/>
          <w:szCs w:val="18"/>
        </w:rPr>
        <w:t>. 1999;7(3):297–307. doi:10.1016/s0969-2126(99)80040-9.</w:t>
      </w:r>
    </w:p>
    <w:p>
      <w:pPr>
        <w:pStyle w:val="Reference"/>
        <w:ind w:left="360" w:hanging="360"/>
      </w:pPr>
      <w:r>
        <w:rPr>
          <w:sz w:val="18"/>
          <w:szCs w:val="18"/>
        </w:rPr>
        <w:t xml:space="preserve">27. Cheung J, Rudolph MJ, Burshteyn F, et al. Structures of human acetylcholinesterase in complex with pharmacologically important ligands. </w:t>
      </w:r>
      <w:r>
        <w:rPr>
          <w:i/>
          <w:sz w:val="18"/>
          <w:szCs w:val="18"/>
        </w:rPr>
        <w:t>J Med Chem</w:t>
      </w:r>
      <w:r>
        <w:rPr>
          <w:sz w:val="18"/>
          <w:szCs w:val="18"/>
        </w:rPr>
        <w:t>. 2012;55(23):10282–10286. doi:10.1021/jm300871x.</w:t>
      </w:r>
    </w:p>
    <w:p>
      <w:pPr>
        <w:pStyle w:val="Reference"/>
        <w:ind w:left="360" w:hanging="360"/>
      </w:pPr>
      <w:r>
        <w:rPr>
          <w:sz w:val="18"/>
          <w:szCs w:val="18"/>
        </w:rPr>
        <w:t xml:space="preserve">28. Atanasova M, Dimitrov I, Ivanov S. Molecular dynamics simulations of acetylcholinesterase–beta-amyloid peptide complex. </w:t>
      </w:r>
      <w:r>
        <w:rPr>
          <w:i/>
          <w:sz w:val="18"/>
          <w:szCs w:val="18"/>
        </w:rPr>
        <w:t>Cybern Inf Technol</w:t>
      </w:r>
      <w:r>
        <w:rPr>
          <w:sz w:val="18"/>
          <w:szCs w:val="18"/>
        </w:rPr>
        <w:t>. 2020;20(6):140–154. doi:10.2478/cait-2020-0068.</w:t>
      </w:r>
    </w:p>
    <w:p>
      <w:pPr>
        <w:pStyle w:val="Reference"/>
        <w:ind w:left="360" w:hanging="360"/>
      </w:pPr>
      <w:r>
        <w:rPr>
          <w:sz w:val="18"/>
          <w:szCs w:val="18"/>
        </w:rPr>
        <w:t xml:space="preserve">29. Lushchekina SV, Kots ED, Novichkova DA, et al. Role of acetylcholinesterase in β-amyloid aggregation studied by accelerated molecular dynamics. </w:t>
      </w:r>
      <w:r>
        <w:rPr>
          <w:i/>
          <w:sz w:val="18"/>
          <w:szCs w:val="18"/>
        </w:rPr>
        <w:t>BioNanoScience</w:t>
      </w:r>
      <w:r>
        <w:rPr>
          <w:sz w:val="18"/>
          <w:szCs w:val="18"/>
        </w:rPr>
        <w:t>. 2017;7:396–402. doi:10.1007/s12668-016-0375-x.</w:t>
      </w:r>
    </w:p>
    <w:p>
      <w:pPr>
        <w:pStyle w:val="Reference"/>
        <w:ind w:left="360" w:hanging="360"/>
      </w:pPr>
      <w:r>
        <w:rPr>
          <w:sz w:val="18"/>
          <w:szCs w:val="18"/>
        </w:rPr>
        <w:t xml:space="preserve">30. Bush AI. The metal theory of Alzheimer’s disease. </w:t>
      </w:r>
      <w:r>
        <w:rPr>
          <w:i/>
          <w:sz w:val="18"/>
          <w:szCs w:val="18"/>
        </w:rPr>
        <w:t>J Alzheimers Dis</w:t>
      </w:r>
      <w:r>
        <w:rPr>
          <w:sz w:val="18"/>
          <w:szCs w:val="18"/>
        </w:rPr>
        <w:t>. 2013;33 Suppl 1:S277–S281. doi:10.3233/JAD-2012-129011.</w:t>
      </w:r>
    </w:p>
    <w:p>
      <w:pPr>
        <w:pStyle w:val="Reference"/>
        <w:ind w:left="360" w:hanging="360"/>
      </w:pPr>
      <w:r>
        <w:rPr>
          <w:sz w:val="18"/>
          <w:szCs w:val="18"/>
        </w:rPr>
        <w:t xml:space="preserve">31. Lei P, Ayton S, Bush AI. The essential elements of Alzheimer’s disease. </w:t>
      </w:r>
      <w:r>
        <w:rPr>
          <w:i/>
          <w:sz w:val="18"/>
          <w:szCs w:val="18"/>
        </w:rPr>
        <w:t>J Biol Chem</w:t>
      </w:r>
      <w:r>
        <w:rPr>
          <w:sz w:val="18"/>
          <w:szCs w:val="18"/>
        </w:rPr>
        <w:t>. 2021;296:100105. doi:10.1074/jbc.REV120.008207.</w:t>
      </w:r>
    </w:p>
    <w:p>
      <w:pPr>
        <w:pStyle w:val="Reference"/>
        <w:ind w:left="360" w:hanging="360"/>
      </w:pPr>
      <w:r>
        <w:rPr>
          <w:sz w:val="18"/>
          <w:szCs w:val="18"/>
        </w:rPr>
        <w:t xml:space="preserve">32. Di Natale G, Bellia F, Sciacca MFM, et al. Tau-peptide fragments and their copper(II) complexes: effects on amyloid-β aggregation. </w:t>
      </w:r>
      <w:r>
        <w:rPr>
          <w:i/>
          <w:sz w:val="18"/>
          <w:szCs w:val="18"/>
        </w:rPr>
        <w:t>Inorg Chim Acta</w:t>
      </w:r>
      <w:r>
        <w:rPr>
          <w:sz w:val="18"/>
          <w:szCs w:val="18"/>
        </w:rPr>
        <w:t>. 2018;472:82–92. doi:10.1016/j.ica.2017.09.061.</w:t>
      </w:r>
    </w:p>
    <w:p>
      <w:pPr>
        <w:pStyle w:val="Reference"/>
        <w:ind w:left="360" w:hanging="360"/>
      </w:pPr>
      <w:r>
        <w:rPr>
          <w:sz w:val="18"/>
          <w:szCs w:val="18"/>
        </w:rPr>
        <w:t xml:space="preserve">33. Perini G, Ciasca G, Minelli E, et al. Dynamic structural determinants underlie the neurotoxicity of the N-terminal tau 26–44 peptide. </w:t>
      </w:r>
      <w:r>
        <w:rPr>
          <w:i/>
          <w:sz w:val="18"/>
          <w:szCs w:val="18"/>
        </w:rPr>
        <w:t>Int J Biol Macromol</w:t>
      </w:r>
      <w:r>
        <w:rPr>
          <w:sz w:val="18"/>
          <w:szCs w:val="18"/>
        </w:rPr>
        <w:t>. 2019;141:278–289. doi:10.1016/j.ijbiomac.2019.08.220.</w:t>
      </w:r>
    </w:p>
    <w:p>
      <w:pPr>
        <w:pStyle w:val="Reference"/>
        <w:ind w:left="360" w:hanging="360"/>
      </w:pPr>
      <w:r>
        <w:rPr>
          <w:sz w:val="18"/>
          <w:szCs w:val="18"/>
        </w:rPr>
        <w:t xml:space="preserve">34. Chen SG, Stribinskis V, Rane MJ, et al. Exposure to the functional bacterial amyloid protein curli enhances alpha-synuclein aggregation. </w:t>
      </w:r>
      <w:r>
        <w:rPr>
          <w:i/>
          <w:sz w:val="18"/>
          <w:szCs w:val="18"/>
        </w:rPr>
        <w:t>Sci Rep</w:t>
      </w:r>
      <w:r>
        <w:rPr>
          <w:sz w:val="18"/>
          <w:szCs w:val="18"/>
        </w:rPr>
        <w:t>. 2016;6:34477. doi:10.1038/srep34477.</w:t>
      </w:r>
    </w:p>
    <w:p>
      <w:pPr>
        <w:pStyle w:val="Reference"/>
        <w:ind w:left="360" w:hanging="360"/>
      </w:pPr>
      <w:r>
        <w:rPr>
          <w:sz w:val="18"/>
          <w:szCs w:val="18"/>
        </w:rPr>
        <w:t xml:space="preserve">35. Larvin H, Gao C, Kang J, et al. The impact of study factors in the association of periodontal disease and cognitive disorders. </w:t>
      </w:r>
      <w:r>
        <w:rPr>
          <w:i/>
          <w:sz w:val="18"/>
          <w:szCs w:val="18"/>
        </w:rPr>
        <w:t>Age Ageing</w:t>
      </w:r>
      <w:r>
        <w:rPr>
          <w:sz w:val="18"/>
          <w:szCs w:val="18"/>
        </w:rPr>
        <w:t>. 2023;52(2):afad015. doi:10.1093/ageing/afad015.</w:t>
      </w:r>
    </w:p>
    <w:p>
      <w:pPr>
        <w:pStyle w:val="Reference"/>
        <w:ind w:left="360" w:hanging="360"/>
      </w:pPr>
      <w:r>
        <w:rPr>
          <w:sz w:val="18"/>
          <w:szCs w:val="18"/>
        </w:rPr>
        <w:t xml:space="preserve">36. Kaliamoorthy S, Nagarajan M, Sethuraman V, et al. Association of Alzheimer’s disease and periodontitis. </w:t>
      </w:r>
      <w:r>
        <w:rPr>
          <w:i/>
          <w:sz w:val="18"/>
          <w:szCs w:val="18"/>
        </w:rPr>
        <w:t>Med Pharm Rep</w:t>
      </w:r>
      <w:r>
        <w:rPr>
          <w:sz w:val="18"/>
          <w:szCs w:val="18"/>
        </w:rPr>
        <w:t>. 2022;95(2):144–151. doi:10.15386/mpr-2278.</w:t>
      </w:r>
    </w:p>
    <w:p>
      <w:pPr>
        <w:pStyle w:val="Reference"/>
        <w:ind w:left="360" w:hanging="360"/>
      </w:pPr>
      <w:r>
        <w:rPr>
          <w:sz w:val="18"/>
          <w:szCs w:val="18"/>
        </w:rPr>
        <w:t xml:space="preserve">37. Liu S, Dashper SG, Zhao R. Association between oral bacteria and Alzheimer’s disease. </w:t>
      </w:r>
      <w:r>
        <w:rPr>
          <w:i/>
          <w:sz w:val="18"/>
          <w:szCs w:val="18"/>
        </w:rPr>
        <w:t>J Alzheimers Dis</w:t>
      </w:r>
      <w:r>
        <w:rPr>
          <w:sz w:val="18"/>
          <w:szCs w:val="18"/>
        </w:rPr>
        <w:t>. 2023;91(1):129–150. doi:10.3233/JAD-220627.</w:t>
      </w:r>
    </w:p>
    <w:p>
      <w:pPr>
        <w:pStyle w:val="Reference"/>
        <w:ind w:left="360" w:hanging="360"/>
      </w:pPr>
      <w:r>
        <w:rPr>
          <w:sz w:val="18"/>
          <w:szCs w:val="18"/>
        </w:rPr>
        <w:t xml:space="preserve">38. Kim J, Han DH. Periodontitis as a risk factor for dementia. </w:t>
      </w:r>
      <w:r>
        <w:rPr>
          <w:i/>
          <w:sz w:val="18"/>
          <w:szCs w:val="18"/>
        </w:rPr>
        <w:t>J Evid Based Dent Pract</w:t>
      </w:r>
      <w:r>
        <w:rPr>
          <w:sz w:val="18"/>
          <w:szCs w:val="18"/>
        </w:rPr>
        <w:t>. 2025;25:102094. doi:10.1016/j.jebdp.2025.102094.</w:t>
      </w:r>
    </w:p>
    <w:p>
      <w:pPr>
        <w:pStyle w:val="Reference"/>
        <w:ind w:left="360" w:hanging="360"/>
      </w:pPr>
      <w:r>
        <w:rPr>
          <w:sz w:val="18"/>
          <w:szCs w:val="18"/>
        </w:rPr>
        <w:t xml:space="preserve">39. Ide M, Harris M, Stevens A, et al. Periodontitis and cognitive decline in Alzheimer’s disease. </w:t>
      </w:r>
      <w:r>
        <w:rPr>
          <w:i/>
          <w:sz w:val="18"/>
          <w:szCs w:val="18"/>
        </w:rPr>
        <w:t>PLoS One</w:t>
      </w:r>
      <w:r>
        <w:rPr>
          <w:sz w:val="18"/>
          <w:szCs w:val="18"/>
        </w:rPr>
        <w:t>. 2016;11(3):e0151081. doi:10.1371/journal.pone.0151081.</w:t>
      </w:r>
    </w:p>
    <w:p>
      <w:pPr>
        <w:pStyle w:val="Reference"/>
        <w:ind w:left="360" w:hanging="360"/>
      </w:pPr>
      <w:r>
        <w:rPr>
          <w:sz w:val="18"/>
          <w:szCs w:val="18"/>
        </w:rPr>
        <w:t xml:space="preserve">40. Jiang Z, Shi Y, Zhao W, et al. Association between chronic periodontitis and the risk of Alzheimer’s disease. </w:t>
      </w:r>
      <w:r>
        <w:rPr>
          <w:i/>
          <w:sz w:val="18"/>
          <w:szCs w:val="18"/>
        </w:rPr>
        <w:t>BMC Oral Health</w:t>
      </w:r>
      <w:r>
        <w:rPr>
          <w:sz w:val="18"/>
          <w:szCs w:val="18"/>
        </w:rPr>
        <w:t>. 2021;21:466. doi:10.1186/s12903-021-01827-2.</w:t>
      </w:r>
    </w:p>
    <w:p>
      <w:pPr>
        <w:pStyle w:val="Reference"/>
        <w:ind w:left="360" w:hanging="360"/>
      </w:pPr>
      <w:r>
        <w:rPr>
          <w:sz w:val="18"/>
          <w:szCs w:val="18"/>
        </w:rPr>
        <w:t xml:space="preserve">41. Hu C, Li H, Huang L, et al. Periodontal disease and risk of Alzheimer’s disease: a two-sample Mendelian randomization. </w:t>
      </w:r>
      <w:r>
        <w:rPr>
          <w:i/>
          <w:sz w:val="18"/>
          <w:szCs w:val="18"/>
        </w:rPr>
        <w:t>Brain Behav</w:t>
      </w:r>
      <w:r>
        <w:rPr>
          <w:sz w:val="18"/>
          <w:szCs w:val="18"/>
        </w:rPr>
        <w:t>. 2024;14(4):e3486. doi:10.1002/brb3.3486.</w:t>
      </w:r>
    </w:p>
    <w:p>
      <w:pPr>
        <w:pStyle w:val="Reference"/>
        <w:ind w:left="360" w:hanging="360"/>
      </w:pPr>
      <w:r>
        <w:rPr>
          <w:sz w:val="18"/>
          <w:szCs w:val="18"/>
        </w:rPr>
        <w:t xml:space="preserve">42. Zhao Y, Zhang C, Chang X, et al. Causal association between periodontitis and systemic diseases: a systematic review and meta-analysis of Mendelian randomization studies. </w:t>
      </w:r>
      <w:r>
        <w:rPr>
          <w:i/>
          <w:sz w:val="18"/>
          <w:szCs w:val="18"/>
        </w:rPr>
        <w:t>BMC Oral Health</w:t>
      </w:r>
      <w:r>
        <w:rPr>
          <w:sz w:val="18"/>
          <w:szCs w:val="18"/>
        </w:rPr>
        <w:t>. 2026;26:383. doi:10.1186/s12903-026-07725-9.</w:t>
      </w:r>
    </w:p>
    <w:p>
      <w:pPr>
        <w:pStyle w:val="Reference"/>
        <w:ind w:left="360" w:hanging="360"/>
      </w:pPr>
      <w:r>
        <w:rPr>
          <w:sz w:val="18"/>
          <w:szCs w:val="18"/>
        </w:rPr>
        <w:t xml:space="preserve">43. Chalmers JC, Hernandez-Kapila YL. The role of the oral microbiome, host response, and periodontal disease treatment in Alzheimer’s disease: a primer. </w:t>
      </w:r>
      <w:r>
        <w:rPr>
          <w:i/>
          <w:sz w:val="18"/>
          <w:szCs w:val="18"/>
        </w:rPr>
        <w:t>Periodontol 2000</w:t>
      </w:r>
      <w:r>
        <w:rPr>
          <w:sz w:val="18"/>
          <w:szCs w:val="18"/>
        </w:rPr>
        <w:t>. 2025;98(1):220–227. doi:10.1111/prd.12631.</w:t>
      </w:r>
    </w:p>
    <w:p>
      <w:pPr>
        <w:pStyle w:val="Reference"/>
        <w:ind w:left="360" w:hanging="360"/>
      </w:pPr>
      <w:r>
        <w:rPr>
          <w:sz w:val="18"/>
          <w:szCs w:val="18"/>
        </w:rPr>
        <w:t xml:space="preserve">44. Dominy SS, Lynch C, Ermini F, et al. </w:t>
      </w:r>
      <w:r>
        <w:rPr>
          <w:i/>
          <w:sz w:val="18"/>
          <w:szCs w:val="18"/>
        </w:rPr>
        <w:t>Porphyromonas gingivalis</w:t>
      </w:r>
      <w:r>
        <w:rPr>
          <w:sz w:val="18"/>
          <w:szCs w:val="18"/>
        </w:rPr>
        <w:t xml:space="preserve"> in Alzheimer’s disease brains. </w:t>
      </w:r>
      <w:r>
        <w:rPr>
          <w:i/>
          <w:sz w:val="18"/>
          <w:szCs w:val="18"/>
        </w:rPr>
        <w:t>Sci Adv</w:t>
      </w:r>
      <w:r>
        <w:rPr>
          <w:sz w:val="18"/>
          <w:szCs w:val="18"/>
        </w:rPr>
        <w:t>. 2019;5(1):eaau3333. doi:10.1126/sciadv.aau3333.</w:t>
      </w:r>
    </w:p>
    <w:p>
      <w:pPr>
        <w:pStyle w:val="Reference"/>
        <w:ind w:left="360" w:hanging="360"/>
      </w:pPr>
      <w:r>
        <w:rPr>
          <w:sz w:val="18"/>
          <w:szCs w:val="18"/>
        </w:rPr>
        <w:t xml:space="preserve">45. Poole S, Singhrao SK, Kesavalu L, et al. Determining the presence of </w:t>
      </w:r>
      <w:r>
        <w:rPr>
          <w:i/>
          <w:sz w:val="18"/>
          <w:szCs w:val="18"/>
        </w:rPr>
        <w:t>Porphyromonas gingivalis</w:t>
      </w:r>
      <w:r>
        <w:rPr>
          <w:sz w:val="18"/>
          <w:szCs w:val="18"/>
        </w:rPr>
        <w:t xml:space="preserve"> in Alzheimer’s disease brain. </w:t>
      </w:r>
      <w:r>
        <w:rPr>
          <w:i/>
          <w:sz w:val="18"/>
          <w:szCs w:val="18"/>
        </w:rPr>
        <w:t>J Alzheimers Dis</w:t>
      </w:r>
      <w:r>
        <w:rPr>
          <w:sz w:val="18"/>
          <w:szCs w:val="18"/>
        </w:rPr>
        <w:t>. 2013;33(3):665–678. doi:10.3233/JAD-2012-121149.</w:t>
      </w:r>
    </w:p>
    <w:p>
      <w:pPr>
        <w:pStyle w:val="Reference"/>
        <w:ind w:left="360" w:hanging="360"/>
      </w:pPr>
      <w:r>
        <w:rPr>
          <w:sz w:val="18"/>
          <w:szCs w:val="18"/>
        </w:rPr>
        <w:t xml:space="preserve">46. Ilievski V, Zuchowska PK, Green SJ, et al. Chronic oral application of a periodontal pathogen results in brain inflammation, neurodegeneration and amyloid beta production in wild type mice. </w:t>
      </w:r>
      <w:r>
        <w:rPr>
          <w:i/>
          <w:sz w:val="18"/>
          <w:szCs w:val="18"/>
        </w:rPr>
        <w:t>PLoS One</w:t>
      </w:r>
      <w:r>
        <w:rPr>
          <w:sz w:val="18"/>
          <w:szCs w:val="18"/>
        </w:rPr>
        <w:t>. 2018;13(10):e0204941. doi:10.1371/journal.pone.0204941.</w:t>
      </w:r>
    </w:p>
    <w:p>
      <w:pPr>
        <w:pStyle w:val="Reference"/>
        <w:ind w:left="360" w:hanging="360"/>
      </w:pPr>
      <w:r>
        <w:rPr>
          <w:sz w:val="18"/>
          <w:szCs w:val="18"/>
        </w:rPr>
        <w:t xml:space="preserve">47. Ho MH, Chen CH, Goodwin JS, et al. Functional advantages of </w:t>
      </w:r>
      <w:r>
        <w:rPr>
          <w:i/>
          <w:sz w:val="18"/>
          <w:szCs w:val="18"/>
        </w:rPr>
        <w:t>Porphyromonas gingivalis</w:t>
      </w:r>
      <w:r>
        <w:rPr>
          <w:sz w:val="18"/>
          <w:szCs w:val="18"/>
        </w:rPr>
        <w:t xml:space="preserve"> vesicles. </w:t>
      </w:r>
      <w:r>
        <w:rPr>
          <w:i/>
          <w:sz w:val="18"/>
          <w:szCs w:val="18"/>
        </w:rPr>
        <w:t>PLoS One</w:t>
      </w:r>
      <w:r>
        <w:rPr>
          <w:sz w:val="18"/>
          <w:szCs w:val="18"/>
        </w:rPr>
        <w:t>. 2015;10(4):e0123448. doi:10.1371/journal.pone.0123448.</w:t>
      </w:r>
    </w:p>
    <w:p>
      <w:pPr>
        <w:pStyle w:val="Reference"/>
        <w:ind w:left="360" w:hanging="360"/>
      </w:pPr>
      <w:r>
        <w:rPr>
          <w:sz w:val="18"/>
          <w:szCs w:val="18"/>
        </w:rPr>
        <w:t xml:space="preserve">48. Guo Y, Nguyen KA, Potempa J. Dichotomy of gingipains action as virulence factors. </w:t>
      </w:r>
      <w:r>
        <w:rPr>
          <w:i/>
          <w:sz w:val="18"/>
          <w:szCs w:val="18"/>
        </w:rPr>
        <w:t>Periodontol 2000</w:t>
      </w:r>
      <w:r>
        <w:rPr>
          <w:sz w:val="18"/>
          <w:szCs w:val="18"/>
        </w:rPr>
        <w:t>. 2010;54(1):15–44. doi:10.1111/j.1600-0757.2010.00377.x.</w:t>
      </w:r>
    </w:p>
    <w:p>
      <w:pPr>
        <w:pStyle w:val="Reference"/>
        <w:ind w:left="360" w:hanging="360"/>
      </w:pPr>
      <w:r>
        <w:rPr>
          <w:sz w:val="18"/>
          <w:szCs w:val="18"/>
        </w:rPr>
        <w:t xml:space="preserve">49. Haditsch U, Roth T, Rodriguez L, et al. Alzheimer’s disease-like neurodegeneration in </w:t>
      </w:r>
      <w:r>
        <w:rPr>
          <w:i/>
          <w:sz w:val="18"/>
          <w:szCs w:val="18"/>
        </w:rPr>
        <w:t>Porphyromonas gingivalis</w:t>
      </w:r>
      <w:r>
        <w:rPr>
          <w:sz w:val="18"/>
          <w:szCs w:val="18"/>
        </w:rPr>
        <w:t xml:space="preserve"> infected neurons with persistent expression of active gingipains. </w:t>
      </w:r>
      <w:r>
        <w:rPr>
          <w:i/>
          <w:sz w:val="18"/>
          <w:szCs w:val="18"/>
        </w:rPr>
        <w:t>J Alzheimers Dis</w:t>
      </w:r>
      <w:r>
        <w:rPr>
          <w:sz w:val="18"/>
          <w:szCs w:val="18"/>
        </w:rPr>
        <w:t>. 2020;75(4):1361–1376. doi:10.3233/JAD-200393.</w:t>
      </w:r>
    </w:p>
    <w:p>
      <w:pPr>
        <w:pStyle w:val="Reference"/>
        <w:ind w:left="360" w:hanging="360"/>
      </w:pPr>
      <w:r>
        <w:rPr>
          <w:sz w:val="18"/>
          <w:szCs w:val="18"/>
        </w:rPr>
        <w:t xml:space="preserve">50. Nara PL, Sindelar D, Penn MS, et al. </w:t>
      </w:r>
      <w:r>
        <w:rPr>
          <w:i/>
          <w:sz w:val="18"/>
          <w:szCs w:val="18"/>
        </w:rPr>
        <w:t>Porphyromonas gingivalis</w:t>
      </w:r>
      <w:r>
        <w:rPr>
          <w:sz w:val="18"/>
          <w:szCs w:val="18"/>
        </w:rPr>
        <w:t xml:space="preserve"> outer membrane vesicles as the major driver of and explanation for neuropathogenesis. </w:t>
      </w:r>
      <w:r>
        <w:rPr>
          <w:i/>
          <w:sz w:val="18"/>
          <w:szCs w:val="18"/>
        </w:rPr>
        <w:t>J Alzheimers Dis</w:t>
      </w:r>
      <w:r>
        <w:rPr>
          <w:sz w:val="18"/>
          <w:szCs w:val="18"/>
        </w:rPr>
        <w:t>. 2021;82(4):1417–1450. doi:10.3233/JAD-210448.</w:t>
      </w:r>
    </w:p>
    <w:p>
      <w:pPr>
        <w:pStyle w:val="Reference"/>
        <w:ind w:left="360" w:hanging="360"/>
      </w:pPr>
      <w:r>
        <w:rPr>
          <w:sz w:val="18"/>
          <w:szCs w:val="18"/>
        </w:rPr>
        <w:t xml:space="preserve">51. Trott O, Olson AJ. AutoDock Vina: improving the speed and accuracy of docking with a new scoring function. </w:t>
      </w:r>
      <w:r>
        <w:rPr>
          <w:i/>
          <w:sz w:val="18"/>
          <w:szCs w:val="18"/>
        </w:rPr>
        <w:t>J Comput Chem</w:t>
      </w:r>
      <w:r>
        <w:rPr>
          <w:sz w:val="18"/>
          <w:szCs w:val="18"/>
        </w:rPr>
        <w:t>. 2010;31(2):455–461. doi:10.1002/jcc.21334.</w:t>
      </w:r>
    </w:p>
    <w:p>
      <w:pPr>
        <w:pStyle w:val="Reference"/>
        <w:ind w:left="360" w:hanging="360"/>
      </w:pPr>
      <w:r>
        <w:rPr>
          <w:sz w:val="18"/>
          <w:szCs w:val="18"/>
        </w:rPr>
        <w:t xml:space="preserve">52. Eberhardt J, Santos-Martins D, Tillack AF, Forli S. AutoDock Vina 1.2.0: new docking methods, expanded force field, and Python bindings. </w:t>
      </w:r>
      <w:r>
        <w:rPr>
          <w:i/>
          <w:sz w:val="18"/>
          <w:szCs w:val="18"/>
        </w:rPr>
        <w:t>J Chem Inf Model</w:t>
      </w:r>
      <w:r>
        <w:rPr>
          <w:sz w:val="18"/>
          <w:szCs w:val="18"/>
        </w:rPr>
        <w:t>. 2021;61(8):3891–3898. doi:10.1021/acs.jcim.1c00203.</w:t>
      </w:r>
    </w:p>
    <w:p>
      <w:pPr>
        <w:pStyle w:val="Reference"/>
        <w:ind w:left="360" w:hanging="360"/>
      </w:pPr>
      <w:r>
        <w:rPr>
          <w:sz w:val="18"/>
          <w:szCs w:val="18"/>
        </w:rPr>
        <w:t xml:space="preserve">53. London N, Raveh B, Cohen E, et al. Rosetta FlexPepDock web server—high resolution modeling of peptide–protein interactions. </w:t>
      </w:r>
      <w:r>
        <w:rPr>
          <w:i/>
          <w:sz w:val="18"/>
          <w:szCs w:val="18"/>
        </w:rPr>
        <w:t>Nucleic Acids Res</w:t>
      </w:r>
      <w:r>
        <w:rPr>
          <w:sz w:val="18"/>
          <w:szCs w:val="18"/>
        </w:rPr>
        <w:t>. 2011;39:W249–W253. doi:10.1093/nar/gkr326.</w:t>
      </w:r>
    </w:p>
    <w:p>
      <w:pPr>
        <w:pStyle w:val="Normal"/>
      </w:pPr>
      <w:r>
        <w:rPr>
          <w:i/>
        </w:rPr>
        <w:t>The reference list is shared by both language versions. / 中英文版本共用同一参考文献表。</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r>
      <w:rPr>
        <w:sz w:val="18"/>
        <w:szCs w:val="18"/>
        <w:color w:val="60758A"/>
      </w:rPr>
      <w:t xml:space="preserve">Page </w:t>
    </w:r>
    <w:fldSimple w:instr="PAGE">
      <w:r>
        <w:rPr>
          <w:sz w:val="18"/>
          <w:color w:val="60758A"/>
        </w:rPr>
        <w:t>1</w:t>
      </w:r>
    </w:fldSimple>
  </w:p>
</w:ftr>
</file>

<file path=word/header1.xml><?xml version="1.0" encoding="utf-8"?>
<w:hdr xmlns:w="http://schemas.openxmlformats.org/wordprocessingml/2006/main">
  <w:p>
    <w:pPr>
      <w:jc w:val="right"/>
      <w:pBdr>
        <w:bottom w:val="single" w:sz="4" w:space="4" w:color="B7C9E2"/>
      </w:pBdr>
    </w:pPr>
    <w:r>
      <w:rPr>
        <w:sz w:val="17"/>
        <w:szCs w:val="17"/>
        <w:color w:val="60758A"/>
      </w:rPr>
      <w:t>Bilingual scientific-content draft | 中英文科学内容草案 | 2026-08-12</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Provenance-Aware Multi-Model Prioritization / 基于来源边界的口腔微肽多模型优选</dc:title>
  <dc:subject>Original research scientific-content draft</dc:subject>
  <dc:creator>Accountable authors to be supplied</dc:creator>
  <cp:lastModifiedBy>Arena.ai drafting workflow</cp:lastModifiedBy>
  <dcterms:created xsi:type="dcterms:W3CDTF">2026-08-12T07:27:11Z</dcterms:created>
  <dcterms:modified xsi:type="dcterms:W3CDTF">2026-08-12T07:27:11Z</dcterms:modified>
</cp:coreProperties>
</file>