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2"/>
        <w:keepNext/>
      </w:pPr>
      <w:r>
        <w:t>分析方法</w:t>
      </w:r>
    </w:p>
    <w:p>
      <w:pPr>
        <w:pStyle w:val="BodyText"/>
      </w:pPr>
      <w:r>
        <w:t>12 条牙周炎来源的 7–9 个氨基酸微肽以 AutoDock Vina（exhaustiveness = 32；三次独立成功运行）对接到人源 AChE（PDB 4EY6）。网格以外周阴离子位点（PAS：Tyr72、Asp74、Thr75、Trp286、His287、Tyr341）为中心，并覆盖峡部颈部与催化三联体（Ser203、His447、Glu334）。最优单次打分、三次运行均值±SD、氢键与 PAS 接触取自本地汇总表及各配体单一最优构象。PDBQT 文件未归档。</w:t>
      </w:r>
    </w:p>
    <w:p>
      <w:pPr>
        <w:pStyle w:val="BodyText"/>
      </w:pPr>
      <w:r>
        <w:t>四个 GROMACS 体系（apo AChE 以及 ALLLHRC、FLLHTTR、YLSLLQR 复合物）以 Amber99SB-ILDN、TIP3P 水、0.15 M NaCl、LINCS 和粒子网格Ewald 静电，在 300 K、1.0 bar 下模拟 100 ns。图4–6 对应指标为骨架 RMSD、逐残基 RMSF、SASA、回转半径（Rg）、DSSP 占有率和分子间氢键。报告值为最后 20 ns 的均值±SD。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最优单次打分介于 -8.25 至 -9.60 kcal/mol，三次运行均值介于 -8.07 ± 0.16 至 -9.44 ± 0.09 kcal/mol（表1，图1）。外周阴离子位点（PAS）接触残基均取自各配体最优构象。FLLHTTR 最优构象最强（-9.60 kcal/mol），但 SD 最大（-8.77 ± 1.41 kcal/mol）。YLSLLQR 三次均值最强（-9.44 ± 0.09 kcal/mol）；ALLLHRC 均值居次（-9.18 ± 0.11 kcal/mol），但其最优构象位于催化口袋而非外侧 PAS。各最优构象形成 3–10 个氢键（图2、图3；图S1）。</w:t>
      </w:r>
    </w:p>
    <w:p>
      <w:pPr>
        <w:pStyle w:val="Caption"/>
      </w:pPr>
      <w:r>
        <w:rPr>
          <w:b/>
        </w:rPr>
        <w:t>表1. 12条微肽对人源AChE（PDB 4EY6）的本地三次AutoDock Vina打分。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最优构象PAS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否（Ser203峡部颈部）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是（Thr75、Tyr341）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是（Asp74、Tyr72、His287）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是（Tyr72、Phe346）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是（Thr75）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邻近（Val340）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是（Trp286/Tyr341至His447）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否（Trp86口袋）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是（Tyr72、Thr75、Ser203）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蓝色圆点为三次均值，误差棒为标准差，橙色菱形为最优单次打分。横轴顺序与最优单次打分排序一致。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最优构象A–F（ALLLHRC至HVLLLRQCA）。</w:t>
      </w:r>
      <w:r>
        <w:t xml:space="preserve"> 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最优构象G–L。</w:t>
      </w:r>
      <w:r>
        <w:t xml:space="preserve"> LLHPLRL（I面板）从PAS跨越至His447；YLSLLQR（L面板）桥接PAS与催化入口。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A–L面板总览。</w:t>
      </w:r>
    </w:p>
    <w:p>
      <w:pPr>
        <w:pStyle w:val="Heading3"/>
        <w:keepNext/>
      </w:pPr>
      <w:r>
        <w:t>100 ns全原子分子动力学模拟</w:t>
      </w:r>
    </w:p>
    <w:p>
      <w:pPr>
        <w:pStyle w:val="BodyText"/>
      </w:pPr>
      <w:r>
        <w:t xml:space="preserve">apo AChE 与三种复合物在 100 ns 内保持球状折叠（表2，图4–6）。各图采用源文件 </w:t>
      </w:r>
      <w:r>
        <w:rPr>
          <w:rFonts w:ascii="Consolas" w:hAnsi="Consolas" w:eastAsia="等线"/>
          <w:shd w:val="clear" w:color="auto" w:fill="F2F4F7"/>
        </w:rPr>
        <w:t>fig_compare.png</w:t>
      </w:r>
      <w:r>
        <w:t xml:space="preserve"> 的六面板布局：RMSD（A）、RMSF（B）、SASA（C）、Rg（D）、最后 20 ns 的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AChE与AChE–ALLLHRC。</w:t>
      </w:r>
      <w:r>
        <w:t xml:space="preserve"> 复合物RMSD（A）平台约 0.19 nm；氢键（F）持续存在。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AChE与AChE–FLLHTTR。</w:t>
      </w:r>
      <w:r>
        <w:t xml:space="preserve"> 三条肽中 RMSD（A）与 Rg（D）升幅最大。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AChE与AChE–YLSLLQR。</w:t>
      </w:r>
      <w:r>
        <w:t xml:space="preserve"> SASA（C）低于 apo；氢键计数（F）最密。</w:t>
      </w:r>
    </w:p>
    <w:p>
      <w:pPr>
        <w:pStyle w:val="Caption"/>
      </w:pPr>
      <w:r>
        <w:rPr>
          <w:b/>
        </w:rPr>
        <w:t>表2. 与图4–6面板对齐的最后20 ns指标（均值±SD）。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图面板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骨架RMSD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0.1562 ± 0.0093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0.2102 ± 0.0087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0.2064 ± 0.0136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RMSF均值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0.0783 ± 0.0524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0.0901 ± 0.0644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0.0813 ± 0.0574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212.41 ± 2.36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216.34 ± 2.55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210.37 ± 2.91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2.3163 ± 0.0059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2.3004 ± 0.0051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33.59 / 17.18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33.87 / 17.11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17.08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E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2.80 ± 0.99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4.23 ± 1.24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</w:t>
            </w:r>
          </w:p>
        </w:tc>
      </w:tr>
    </w:tbl>
    <w:p>
      <w:pPr>
        <w:spacing w:after="40"/>
      </w:pPr>
    </w:p>
    <w:p>
      <w:pPr>
        <w:pStyle w:val="BodyText"/>
      </w:pPr>
      <w:r>
        <w:t>复合物 RMSD 均低于 0.22 nm。YLSLLQR 是唯一 SASA 相对 apo 收缩的复合物，与图6C一致，其氢键网络也最密（4.23 ± 1.24）。各图 E 面板中螺旋（约 33–34%）与折叠（约 17%）与 apo 柱形重叠。三个复合物均保留 7 对持续性接触。</w:t>
      </w:r>
    </w:p>
    <w:p>
      <w:pPr>
        <w:pStyle w:val="Heading3"/>
        <w:keepNext/>
      </w:pPr>
      <w:r>
        <w:t>证据边界</w:t>
      </w:r>
    </w:p>
    <w:p>
      <w:pPr>
        <w:pStyle w:val="Caption"/>
      </w:pPr>
      <w:r>
        <w:rPr>
          <w:b/>
        </w:rPr>
        <w:t>表3. 图件与表格所支持及不支持的解释。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支持</w:t>
            </w:r>
          </w:p>
        </w:tc>
        <w:tc>
          <w:tcPr>
            <w:tcW w:w="312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不支持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FLLHTTR、YLSLLQR、LLHPLRL最优构象接触PAS残基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Vina打分不是实验Kd或Ki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100 ns复合物保持折叠（RMSD &lt; 0.22 nm；DSSP守恒）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RMSD微增不是解折叠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后20 ns氢键2.19–4.23个在F面板持续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单条100 ns轨迹不是不可逆结合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FLLHTTR最优-9.60 kcal/mol而均值为-8.77 ± 1.41 kcal/mol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最优构象不是收敛亲和力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BodyText"/>
      </w:pPr>
      <w:r>
        <w:t xml:space="preserve">在牙周炎导致血脑屏障通透性增加的假说下，候选微肽可占据 AChE 的 PAS。最优构象对接与 100 ns 表面驻留为峡部封堵（胆碱能功能受损）以及 PAS 介导的 Aβ 病理性伴侣作用提供结构假说，并与 Atanasova 等、Inestrosa 等、Silman 与 Sussman 以及 Dominy 等关于脑内 </w:t>
      </w:r>
      <w:r>
        <w:rPr>
          <w:i/>
        </w:rPr>
        <w:t>P. gingivalis</w:t>
      </w:r>
      <w:r>
        <w:t xml:space="preserve"> 的发现相一致。上述内容仍为计算假说。各体系目前为单条 100 ns 轨迹；计划验证包括等温滴定量热、表面等离子共振和 Ellman 抑制实验。</w:t>
      </w:r>
    </w:p>
    <w:p>
      <w:pPr>
        <w:pStyle w:val="Heading3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Atanasova, M., Dimitrov, I., &amp; Ivanov, S. (2020). Molecular dynamics simulations of acetylcholinesterase – beta-amyloid peptide complex. </w:t>
      </w:r>
      <w:r>
        <w:rPr>
          <w:i/>
          <w:sz w:val="24"/>
          <w:szCs w:val="24"/>
        </w:rPr>
        <w:t>Cybernetics and Information Technologies</w:t>
      </w:r>
      <w:r>
        <w:rPr>
          <w:sz w:val="24"/>
          <w:szCs w:val="24"/>
        </w:rPr>
        <w:t>, 20(6), 140–154. https://doi.org/10.2478/cait-2020-0068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Dominy, S. S., Lynch, C., Ermini, F., Benedyk, M., Marczyk, A., Forbes, A., Haditsch, M., et al. (2019).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Alzheimer's disease brains: Evidence for disease causation and treatment with small-molecule inhibitors. </w:t>
      </w:r>
      <w:r>
        <w:rPr>
          <w:i/>
          <w:sz w:val="24"/>
          <w:szCs w:val="24"/>
        </w:rPr>
        <w:t>Science Advances</w:t>
      </w:r>
      <w:r>
        <w:rPr>
          <w:sz w:val="24"/>
          <w:szCs w:val="24"/>
        </w:rPr>
        <w:t>, 5(1), eaau3333. https://doi.org/10.1126/sciadv.aau3333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Silman, I., &amp; Sussman, J. L. (2005). Acetylcholinesterase: ‘classical’ and ‘non-classical’ functions and pharmacology. </w:t>
      </w:r>
      <w:r>
        <w:rPr>
          <w:i/>
          <w:sz w:val="24"/>
          <w:szCs w:val="24"/>
        </w:rPr>
        <w:t>Current Opinion in Pharmacology</w:t>
      </w:r>
      <w:r>
        <w:rPr>
          <w:sz w:val="24"/>
          <w:szCs w:val="24"/>
        </w:rPr>
        <w:t>, 5(3), 293–302. https://doi.org/10.1016/j.coph.2005.01.014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Inestrosa, N. C., Alvarez, A., Pérez, C. A., Moreno, R. D., Vicente, M., Link, C. A., Dayoub, O. I., et al. (1996). Acetylcholinesterase accelerates assembly of amyloid-β-peptides into Alzheimer's fibrils: possible role of the peripheral site of the enzyme.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, 16(4), 881–891. https://doi.org/10.1016/S0896-6273(00)80108-7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Inestrosa, N. C., Dinamarca, M. C., &amp; Alvarez, A. (2008). Amyloid-cholinesterase interactions. Implications for Alzheimer's disease. </w:t>
      </w:r>
      <w:r>
        <w:rPr>
          <w:i/>
          <w:sz w:val="24"/>
          <w:szCs w:val="24"/>
        </w:rPr>
        <w:t>Molecular Neurobiology</w:t>
      </w:r>
      <w:r>
        <w:rPr>
          <w:sz w:val="24"/>
          <w:szCs w:val="24"/>
        </w:rPr>
        <w:t>, 38(3), 262–273. https://doi.org/10.1007/s12035-008-8043-6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Hampel, H., Mesulam, M. M., Cuello, A. C., Farlow, M. R., Giacobini, E., Grossberg, G. T., Khachaturian, A. S., et al. (2018). The cholinergic system in the pathophysiology and treatment of Alzheimer's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, 141(7), 1917–1933. https://doi.org/10.1093/brain/awy132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Bartus, R. T., Dean, R. L., Beer, B., &amp; Lippa, A. S. (1982). The cholinergic hypothesis of geriatric memory dysfunction. </w:t>
      </w:r>
      <w:r>
        <w:rPr>
          <w:i/>
          <w:sz w:val="24"/>
          <w:szCs w:val="24"/>
        </w:rPr>
        <w:t>Science</w:t>
      </w:r>
      <w:r>
        <w:rPr>
          <w:sz w:val="24"/>
          <w:szCs w:val="24"/>
        </w:rPr>
        <w:t>, 217(4558), 408–414. https://doi.org/10.1126/science.7046051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