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  <w:keepNext/>
      </w:pPr>
      <w:r>
        <w:t>Analysis methods</w:t>
      </w:r>
    </w:p>
    <w:p>
      <w:pPr>
        <w:pStyle w:val="BodyText"/>
      </w:pPr>
      <w:r>
        <w:t>Twelve periodontitis-derived 7–9-aa micropeptides were docked with AutoDock Vina (exhaustiveness = 32; three independent successful runs) into human AChE (PDB 4EY6). The grid was centered on the peripheral anionic site (PAS: Tyr72, Asp74, Thr75, Trp286, His287, Tyr341) and included the gorge neck and catalytic triad (Ser203, His447, Glu334). Best-run affinity, three-run mean ± SD, hydrogen bonds, and PAS contacts were taken from the local summary and each ligand’s single best pose. PDBQT files are not archived.</w:t>
      </w:r>
    </w:p>
    <w:p>
      <w:pPr>
        <w:pStyle w:val="BodyText"/>
      </w:pPr>
      <w:r>
        <w:t>Four GROMACS systems (apo AChE and the ALLLHRC, FLLHTTR, and YLSLLQR complexes) were simulated for 100 ns with Amber99SB-ILDN, TIP3P water, 0.15 M NaCl, LINCS, and Particle Mesh Ewald electrostatics at 300 K and 1.0 bar. Metrics in Figures 4–6 are backbone RMSD, per-residue RMSF, SASA, radius of gyration (Rg), DSSP occupancy, and intermolecular hydrogen bonds. Reported values are mean ± SD over the last 20 ns.</w:t>
      </w:r>
    </w:p>
    <w:p>
      <w:pPr>
        <w:pStyle w:val="Heading2"/>
        <w:keepNext/>
      </w:pPr>
      <w:r>
        <w:t>Results</w:t>
      </w:r>
    </w:p>
    <w:p>
      <w:pPr>
        <w:pStyle w:val="Heading3"/>
        <w:keepNext/>
      </w:pPr>
      <w:r>
        <w:t>Docking</w:t>
      </w:r>
    </w:p>
    <w:p>
      <w:pPr>
        <w:pStyle w:val="BodyText"/>
      </w:pPr>
      <w:r>
        <w:t>Best-run scores ranged from -8.25 to -9.60 kcal/mol and three-run means from -8.07 ± 0.16 to -9.44 ± 0.09 kcal/mol (Table 1, Figure 1). Residue contacts at the Peripheral Anionic Site (PAS) are taken from each best pose. FLLHTTR had the strongest best pose (-9.60 kcal/mol) but the largest SD (-8.77 ± 1.41 kcal/mol). YLSLLQR had the strongest mean (-9.44 ± 0.09 kcal/mol); ALLLHRC was second by mean (-9.18 ± 0.11 kcal/mol) despite a catalytic-pocket rather than outer-PAS pose. Best poses formed 3–10 hydrogen bonds (Figures 2 and 3; Figure S1).</w:t>
      </w:r>
    </w:p>
    <w:p>
      <w:pPr>
        <w:pStyle w:val="Caption"/>
      </w:pPr>
      <w:r>
        <w:rPr>
          <w:b/>
        </w:rPr>
        <w:t>Table 1. Local three-run AutoDock Vina scores against human AChE (PDB 4EY6).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No.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Peptide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HBonds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Best (kcal/mol)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Mean ± SD, n=3 (kcal/mol)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PAS in best pose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-9.29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-9.18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No (Ser203 gorge neck)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-9.27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-8.96 ± 0.48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Yes (Thr75, Tyr341)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-9.60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-8.77 ± 1.41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Yes (Asp74, Tyr72, His287)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-8.88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-8.69 ± 0.20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Yes (Tyr72, Phe346)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-8.35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-8.28 ± 0.07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-8.25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-8.07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Yes (Thr75)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-9.01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-8.89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Adjacent (Val340)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-8.78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-8.91 ± 0.05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Yes (Trp286/Tyr341 to His447)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-8.64 ± 0.26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-9.03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-8.62 ± 0.43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No (Trp86 pocket)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-9.49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-9.44 ± 0.09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Yes (Tyr72, Thr75, Ser203)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613125"/>
            <wp:effectExtent l="0" t="0" r="0" b="0"/>
            <wp:docPr id="1" name="Figure 1" descr="Figure 1. Local AutoDock Vina scores of twelve candidate micropeptides against human ACh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6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Figure 1. Local AutoDock Vina scores against human AChE (PDB 4EY6).</w:t>
      </w:r>
      <w:r>
        <w:t xml:space="preserve"> Blue circles: three-run mean; whiskers: SD; orange diamonds: best-run affinity. Horizontal order is best-run ranking.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2" name="Figure 2" descr="Figure 2. Best-scoring docking poses of ALLLHRC, FCLHLQLR, FLLHTTR, HLLTLKKHV, HLPLLHRCC, and HVLLLRQC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A_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Figure 2. Best poses A–F (ALLLHRC to HVLLLRQCA).</w:t>
      </w:r>
      <w:r>
        <w:t xml:space="preserve"> FLLHTTR (panel C) is the densest PAS pose.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3" name="Figure 3" descr="Figure 3. Best-scoring docking poses of LLHLPKRTT, LLHPLRC, LLHPLRL, WLLVHLKK, YHHLLCRR, and YLSLLQ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G_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Figure 3. Best poses G–L.</w:t>
      </w:r>
      <w:r>
        <w:t xml:space="preserve"> LLHPLRL (panel I) spans PAS to His447; YLSLLQR (panel L) bridges PAS and the catalytic entrance.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4694774"/>
            <wp:effectExtent l="0" t="0" r="0" b="0"/>
            <wp:docPr id="4" name="Figure 4" descr="Figure S1. Combined overview of all twelve best-scoring docking po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12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469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Figure S1. Combined overview of panels A–L.</w:t>
      </w:r>
    </w:p>
    <w:p>
      <w:pPr>
        <w:pStyle w:val="Heading3"/>
        <w:keepNext/>
      </w:pPr>
      <w:r>
        <w:t>100-ns molecular dynamics</w:t>
      </w:r>
    </w:p>
    <w:p>
      <w:pPr>
        <w:pStyle w:val="BodyText"/>
      </w:pPr>
      <w:r>
        <w:t xml:space="preserve">Apo AChE and the three complexes remained globular over 100 ns (Table 2, Figures 4–6). Each figure uses the same six-panel layout as the source </w:t>
      </w:r>
      <w:r>
        <w:rPr>
          <w:rFonts w:ascii="Consolas" w:hAnsi="Consolas" w:eastAsia="等线"/>
          <w:shd w:val="clear" w:color="auto" w:fill="F2F4F7"/>
        </w:rPr>
        <w:t>fig_compare.png</w:t>
      </w:r>
      <w:r>
        <w:t xml:space="preserve"> files: RMSD (A), RMSF (B), SASA (C), Rg (D), DSSP last 20 ns (E), and intermolecular hydrogen bonds (F).</w:t>
      </w:r>
    </w:p>
    <w:p>
      <w:r>
        <w:br w:type="page"/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5" name="Figure 5" descr="Figure 4. Apo AChE versus AChE–ALLLHRC 100-ns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alllhr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Figure 4. Apo AChE versus AChE–ALLLHRC.</w:t>
      </w:r>
      <w:r>
        <w:t xml:space="preserve"> Complex RMSD (A) plateaus near 0.19 nm; hydrogen bonds (F) persist.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6" name="Figure 6" descr="Figure 5. Apo AChE versus AChE–FLLHTTR 100-ns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fllht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Figure 5. Apo AChE versus AChE–FLLHTTR.</w:t>
      </w:r>
      <w:r>
        <w:t xml:space="preserve"> Largest RMSD (A) and Rg (D) elevations among the three peptides.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7" name="Figure 7" descr="Figure 6. Apo AChE versus AChE–YLSLLQR 100-ns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ylsll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Figure 6. Apo AChE versus AChE–YLSLLQR.</w:t>
      </w:r>
      <w:r>
        <w:t xml:space="preserve"> SASA (C) falls below apo; hydrogen-bond counts (F) are densest.</w:t>
      </w:r>
    </w:p>
    <w:p>
      <w:pPr>
        <w:pStyle w:val="Caption"/>
      </w:pPr>
      <w:r>
        <w:rPr>
          <w:b/>
        </w:rPr>
        <w:t>Table 2. Last-20-ns metrics matching Figure 4–6 panels (mean ± SD).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Metric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apo AChE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Figure panel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Backbone RMSD (nm)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0.1562 ± 0.0093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0.1916 ± 0.0092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0.2102 ± 0.0087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0.2064 ± 0.0136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RMSF mean (nm)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0.0783 ± 0.0524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0.0876 ± 0.0581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0.0901 ± 0.0644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0.0813 ± 0.0574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SASA (nm²)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212.41 ± 2.36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217.47 ± 2.49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216.34 ± 2.55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210.37 ± 2.91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Rg (nm)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2.2967 ± 0.0043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2.3107 ± 0.0052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2.3163 ± 0.0059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2.3004 ± 0.0051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DSSP α-helix / β-sheet (%)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33.59 / 17.18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33.66 / 16.76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33.87 / 17.11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32.92 / 17.08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E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Intermolecular H-bonds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2.19 ± 0.80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2.80 ± 0.99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4.23 ± 1.24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</w:t>
            </w:r>
          </w:p>
        </w:tc>
      </w:tr>
    </w:tbl>
    <w:p>
      <w:pPr>
        <w:spacing w:after="40"/>
      </w:pPr>
    </w:p>
    <w:p>
      <w:pPr>
        <w:pStyle w:val="BodyText"/>
      </w:pPr>
      <w:r>
        <w:t>Complex RMSD stays below 0.22 nm. YLSLLQR is the only complex whose SASA contracts versus apo, matching Figure 6C, and it forms the densest hydrogen-bond network (4.23 ± 1.24). Helix (~33–34%) and sheet (~17%) contents overlay the apo bars in every panel E. Each complex retains seven persistent contact pairs.</w:t>
      </w:r>
    </w:p>
    <w:p>
      <w:pPr>
        <w:pStyle w:val="Heading3"/>
        <w:keepNext/>
      </w:pPr>
      <w:r>
        <w:t>Evidence boundary</w:t>
      </w:r>
    </w:p>
    <w:p>
      <w:pPr>
        <w:pStyle w:val="Caption"/>
      </w:pPr>
      <w:r>
        <w:rPr>
          <w:b/>
        </w:rPr>
        <w:t>Table 3. What the figures and tables do and do not support.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No.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Supported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Not supported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Best poses of FLLHTTR, YLSLLQR, and LLHPLRL contact PAS residues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Vina scores are not experimental Kd or Ki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100-ns complexes remain folded (RMSD &lt; 0.22 nm; conserved DSSP)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Mild RMSD increase is not unfolding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Last-20-ns H-bonds 2.19–4.23 persist in panels F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Single 100-ns trajectories are not irreversible binding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 best-run -9.60 kcal/mol versus mean -8.77 ± 1.41 kcal/mol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 best pose is not a converged affinity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Discussion</w:t>
      </w:r>
    </w:p>
    <w:p>
      <w:pPr>
        <w:pStyle w:val="BodyText"/>
      </w:pPr>
      <w:r>
        <w:t xml:space="preserve">Candidate micropeptides can occupy the AChE PAS after hypothesized blood–brain barrier leakage in periodontitis. Best-pose docking and 100-ns residence at that surface provide a structural hypothesis for gorge occlusion (cholinergic deficit) and for PAS-centered pathological chaperone activity toward Aβ, following Atanasova et al., Inestrosa et al., Silman and Sussman, and the </w:t>
      </w:r>
      <w:r>
        <w:rPr>
          <w:i/>
        </w:rPr>
        <w:t>P. gingivalis</w:t>
      </w:r>
      <w:r>
        <w:t xml:space="preserve"> brain findings of Dominy et al. These remain computational hypotheses. Each system is a single 100-ns trajectory; planned checks include isothermal titration calorimetry, surface plasmon resonance, and Ellman inhibition.</w:t>
      </w:r>
    </w:p>
    <w:p>
      <w:pPr>
        <w:pStyle w:val="Heading3"/>
        <w:keepNext/>
      </w:pPr>
      <w:r>
        <w:t>References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1. Atanasova, M., Dimitrov, I., &amp; Ivanov, S. (2020). Molecular dynamics simulations of acetylcholinesterase – beta-amyloid peptide complex. </w:t>
      </w:r>
      <w:r>
        <w:rPr>
          <w:i/>
          <w:sz w:val="24"/>
          <w:szCs w:val="24"/>
        </w:rPr>
        <w:t>Cybernetics and Information Technologies</w:t>
      </w:r>
      <w:r>
        <w:rPr>
          <w:sz w:val="24"/>
          <w:szCs w:val="24"/>
        </w:rPr>
        <w:t>, 20(6), 140–154. https://doi.org/10.2478/cait-2020-0068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2. Dominy, S. S., Lynch, C., Ermini, F., Benedyk, M., Marczyk, A., Forbes, A., Haditsch, M., et al. (2019).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in Alzheimer's disease brains: Evidence for disease causation and treatment with small-molecule inhibitors. </w:t>
      </w:r>
      <w:r>
        <w:rPr>
          <w:i/>
          <w:sz w:val="24"/>
          <w:szCs w:val="24"/>
        </w:rPr>
        <w:t>Science Advances</w:t>
      </w:r>
      <w:r>
        <w:rPr>
          <w:sz w:val="24"/>
          <w:szCs w:val="24"/>
        </w:rPr>
        <w:t>, 5(1), eaau3333. https://doi.org/10.1126/sciadv.aau3333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Silman, I., &amp; Sussman, J. L. (2005). Acetylcholinesterase: ‘classical’ and ‘non-classical’ functions and pharmacology. </w:t>
      </w:r>
      <w:r>
        <w:rPr>
          <w:i/>
          <w:sz w:val="24"/>
          <w:szCs w:val="24"/>
        </w:rPr>
        <w:t>Current Opinion in Pharmacology</w:t>
      </w:r>
      <w:r>
        <w:rPr>
          <w:sz w:val="24"/>
          <w:szCs w:val="24"/>
        </w:rPr>
        <w:t>, 5(3), 293–302. https://doi.org/10.1016/j.coph.2005.01.014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4. Inestrosa, N. C., Alvarez, A., Pérez, C. A., Moreno, R. D., Vicente, M., Link, C. A., Dayoub, O. I., et al. (1996). Acetylcholinesterase accelerates assembly of amyloid-β-peptides into Alzheimer's fibrils: possible role of the peripheral site of the enzyme. </w:t>
      </w:r>
      <w:r>
        <w:rPr>
          <w:i/>
          <w:sz w:val="24"/>
          <w:szCs w:val="24"/>
        </w:rPr>
        <w:t>Neuron</w:t>
      </w:r>
      <w:r>
        <w:rPr>
          <w:sz w:val="24"/>
          <w:szCs w:val="24"/>
        </w:rPr>
        <w:t>, 16(4), 881–891. https://doi.org/10.1016/S0896-6273(00)80108-7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5. Inestrosa, N. C., Dinamarca, M. C., &amp; Alvarez, A. (2008). Amyloid-cholinesterase interactions. Implications for Alzheimer's disease. </w:t>
      </w:r>
      <w:r>
        <w:rPr>
          <w:i/>
          <w:sz w:val="24"/>
          <w:szCs w:val="24"/>
        </w:rPr>
        <w:t>Molecular Neurobiology</w:t>
      </w:r>
      <w:r>
        <w:rPr>
          <w:sz w:val="24"/>
          <w:szCs w:val="24"/>
        </w:rPr>
        <w:t>, 38(3), 262–273. https://doi.org/10.1007/s12035-008-8043-6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6. Hampel, H., Mesulam, M. M., Cuello, A. C., Farlow, M. R., Giacobini, E., Grossberg, G. T., Khachaturian, A. S., et al. (2018). The cholinergic system in the pathophysiology and treatment of Alzheimer's disease. </w:t>
      </w:r>
      <w:r>
        <w:rPr>
          <w:i/>
          <w:sz w:val="24"/>
          <w:szCs w:val="24"/>
        </w:rPr>
        <w:t>Brain</w:t>
      </w:r>
      <w:r>
        <w:rPr>
          <w:sz w:val="24"/>
          <w:szCs w:val="24"/>
        </w:rPr>
        <w:t>, 141(7), 1917–1933. https://doi.org/10.1093/brain/awy132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7. Bartus, R. T., Dean, R. L., Beer, B., &amp; Lippa, A. S. (1982). The cholinergic hypothesis of geriatric memory dysfunction. </w:t>
      </w:r>
      <w:r>
        <w:rPr>
          <w:i/>
          <w:sz w:val="24"/>
          <w:szCs w:val="24"/>
        </w:rPr>
        <w:t>Science</w:t>
      </w:r>
      <w:r>
        <w:rPr>
          <w:sz w:val="24"/>
          <w:szCs w:val="24"/>
        </w:rPr>
        <w:t>, 217(4558), 408–414. https://doi.org/10.1126/science.7046051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</dc:title>
  <dcterms:created xsi:type="dcterms:W3CDTF">2026-08-23T00:00:00Z</dcterms:created>
  <dcterms:modified xsi:type="dcterms:W3CDTF">2026-08-23T00:00:00Z</dcterms:modified>
</cp:coreProperties>
</file>