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2"/>
        <w:keepNext/>
      </w:pPr>
      <w:r>
        <w:t>分析方法</w:t>
      </w:r>
    </w:p>
    <w:p>
      <w:pPr>
        <w:pStyle w:val="Heading3"/>
        <w:keepNext/>
      </w:pPr>
      <w:r>
        <w:t>分子对接</w:t>
      </w:r>
    </w:p>
    <w:p>
      <w:pPr>
        <w:pStyle w:val="BodyText"/>
      </w:pPr>
      <w:r>
        <w:t>人源重组乙酰胆碱酯酶（rhAChE，PDB 4EY6，分辨率 2.40 Å）经去除加兰他敏与结晶水、修复内部链断裂并按生理 pH 7.4 分配质子化状态后用作受体。12 条 7–9 个氨基酸候选微肽 ALLLHRC、FCLHLQLR、FLLHTTR、HLLTLKKHV、HLPLLHRCC、HVLLLRQCA、LLHLPKRTT、LLHPLRC、LLHPLRL、WLLVHLKK、YHHLLCRR 和 YLSLLQR 采用 AutoDock Vina（exhaustiveness = 32）对接到以外周阴离子位点（PAS：Tyr72、Asp74、Thr75、Leu76、Trp286、His287、Tyr341）为中心、并覆盖峡部颈部（Phe295）、胆碱结合亚位点（Trp86、Glu202、Tyr337）及催化三联体（Ser203、His447、Glu334）的网格。每条配体独立运行三次（</w:t>
      </w:r>
      <w:r>
        <w:rPr>
          <w:rFonts w:ascii="Consolas" w:hAnsi="Consolas" w:eastAsia="等线"/>
          <w:shd w:val="clear" w:color="auto" w:fill="F2F4F7"/>
        </w:rPr>
        <w:t>N_Success</w:t>
      </w:r>
      <w:r>
        <w:t xml:space="preserve"> = 3）。最优单次打分、三次运行均值±SD、氢键几何与 PAS 接触均取自本地三次运行汇总表及各配体打分最高的单一构象。逐条 PDBQT 文件与配置日志未归档。</w:t>
      </w:r>
    </w:p>
    <w:p>
      <w:pPr>
        <w:pStyle w:val="Heading3"/>
        <w:keepNext/>
      </w:pPr>
      <w:r>
        <w:t>分子动力学</w:t>
      </w:r>
    </w:p>
    <w:p>
      <w:pPr>
        <w:pStyle w:val="BodyText"/>
      </w:pPr>
      <w:r>
        <w:t>四个显式溶剂体系在 GROMACS 2025 中以 Amber99SB-ILDN 力场和 TIP3P 水、0.15 M NaCl 进行模拟：apo AChE（单一 A 链）以及 AChE–ALLLHRC、AChE–FLLHTTR、AChE–YLSLLQR 复合物。各体系置于溶质至边界缓冲 1.0 nm 的三斜盒子。平衡包括 2,000 步最速下降能量最小化、1.0 ns 受限 NVT 升温至 300 K、1.0 ns 受限 NPT 密度平衡和 1.0 ns 无约束 NPT 预平衡。产物模拟在 NPT 系综（300 K，1.0 bar）运行 100 ns（dt = 2.0 fs），采用 LINCS、1.2 nm 截断和粒子网格Ewald 静电。轨迹每 20 ps 输出一帧。</w:t>
      </w:r>
    </w:p>
    <w:p>
      <w:pPr>
        <w:pStyle w:val="BodyText"/>
      </w:pPr>
      <w:r>
        <w:t>与图4–6对应的轨迹指标包括骨架 Cα RMSD、逐残基 RMSF、SASA、回转半径（Rg）、DSSP 二级结构占有率和分子间氢键（</w:t>
      </w:r>
      <w:r>
        <w:rPr>
          <w:rFonts w:ascii="Consolas" w:hAnsi="Consolas" w:eastAsia="等线"/>
          <w:shd w:val="clear" w:color="auto" w:fill="F2F4F7"/>
        </w:rPr>
        <w:t>gmx hbond</w:t>
      </w:r>
      <w:r>
        <w:t>；供体–受体距离 ≤ 3.0 Å）。另记录微肽自拟合 RMSD 与持续性界面接触（7.0 Å 截断）。稳态值为最后 20 ns（80.0–100.0 ns）的均值±SD。</w:t>
      </w:r>
    </w:p>
    <w:p>
      <w:pPr>
        <w:pStyle w:val="Heading2"/>
        <w:keepNext/>
      </w:pPr>
      <w:r>
        <w:t>结果</w:t>
      </w:r>
    </w:p>
    <w:p>
      <w:pPr>
        <w:pStyle w:val="Heading3"/>
        <w:keepNext/>
      </w:pPr>
      <w:r>
        <w:t>对接亲和力与 PAS 结合</w:t>
      </w:r>
    </w:p>
    <w:p>
      <w:pPr>
        <w:pStyle w:val="BodyText"/>
      </w:pPr>
      <w:r>
        <w:t>12 条配体的本地 Vina 打分均有利。最优单次打分介于 -8.25 至 -9.60 kcal/mol，三次运行均值介于 -8.07 ± 0.16 至 -9.44 ± 0.09 kcal/mol（表1，图1）。按最优构象排序，FLLHTTR 居首（-9.60 kcal/mol），随后为 YLSLLQR（-9.49 kcal/mol）和 ALLLHRC（-9.29 kcal/mol）。按三次运行均值排序，则 YLSLLQR 居首（-9.44 ± 0.09 kcal/mol），ALLLHRC 次之（-9.18 ± 0.11 kcal/mol）。FLLHTTR 保留最强单次构象，但三次运行 SD 最大（-8.77 ± 1.41 kcal/mol）。各最优构象形成 3–10 个氢键（平均键长 2.83–3.28 Å；图2、图3；图S1）。</w:t>
      </w:r>
    </w:p>
    <w:p>
      <w:pPr>
        <w:pStyle w:val="Caption"/>
      </w:pPr>
      <w:r>
        <w:rPr>
          <w:b/>
        </w:rPr>
        <w:t>表1. 12条候选微肽对人源AChE（PDB 4EY6）的本地AutoDock Vina打分与PAS结合。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w="1337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微肽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氢键数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关键残基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最优打分 (kcal/mol)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三次均值±SD (kcal/mol)</w:t>
            </w:r>
          </w:p>
        </w:tc>
        <w:tc>
          <w:tcPr>
            <w:tcW w:w="1337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PAS结合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ALLLHRC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SER-125, SER-203, TYR-124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-9.29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-9.18 ± 0.11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否；催化Ser203/峡部颈部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FCLHLQLR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SER-203, THR-75, TYR-124, TYR-337, TYR-341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-9.27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-8.96 ± 0.48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是；Thr75、Tyr341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ASP-74, HIS-287, LEU-289, PHE-295, TYR-337, TYR-72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-9.60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-8.77 ± 1.41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是；广泛PAS（Asp74、Tyr72、His287）；SD最大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HLLTLKKHV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PHE-346, TYR-124, TYR-337, TYR-72, TYR-77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-8.88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-8.69 ± 0.20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是；Tyr72及344–361（Phe346）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HLPLLHRCC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SER-125, TYR-124, TYR-337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-8.35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-8.28 ± 0.07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否；峡部边缘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HVLLLRQCA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SER-125, THR-75, TYR-124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-8.25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-8.07 ± 0.16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是；Thr75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LLHLPKRTT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SER-203, TYR-337, VAL-340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-9.01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-8.89 ± 0.16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邻近PAS（Val340）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LLHPLRC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SER-125, SER-293, TYR-124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-8.78 ± 0.11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否；峡部入口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LLHPLRL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HIS-447, PHE-295, TRP-286, TYR-124, TYR-337, TYR-341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-8.91 ± 0.05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是；双位点跨越至His447；SD最小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WLLVHLKK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ASN-283, GLN-279, SER-293, TYR-124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-8.94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-8.64 ± 0.26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否；外周环区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YHHLLCRR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SER-125, SER-203, TRP-86, TYR-124, TYR-337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-9.03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-8.62 ± 0.43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否；胆碱口袋Trp86</w:t>
            </w:r>
          </w:p>
        </w:tc>
      </w:tr>
      <w:tr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GLU-202, SER-203, THR-75, TYR-124, TYR-337, TYR-72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-9.49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-9.44 ± 0.09</w:t>
            </w:r>
          </w:p>
        </w:tc>
        <w:tc>
          <w:tcPr>
            <w:tcW w:w="1337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是；PAS兼催化入口；均值最强</w:t>
            </w:r>
          </w:p>
        </w:tc>
      </w:tr>
    </w:tbl>
    <w:p>
      <w:pPr>
        <w:spacing w:after="40"/>
      </w:pPr>
    </w:p>
    <w:p>
      <w:pPr>
        <w:pStyle w:val="Figure"/>
        <w:jc w:val="center"/>
        <w:keepNext/>
      </w:pPr>
      <w:r>
        <w:drawing>
          <wp:inline distT="0" distB="0" distL="0" distR="0">
            <wp:extent cx="6150000" cy="3613125"/>
            <wp:effectExtent l="0" t="0" r="0" b="0"/>
            <wp:docPr id="1" name="Figure 1" descr="图1. 12条候选微肽对人源AChE的本地AutoDock Vina对接打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ocking_sco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6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图1. 12条候选微肽对人源AChE（PDB 4EY6）的本地AutoDock Vina对接打分。</w:t>
      </w:r>
      <w:r>
        <w:t xml:space="preserve"> 蓝色圆点为三次运行均值，误差棒为标准差，橙色菱形为最优单次打分。横轴顺序与最优单次打分排序一致。Vina打分为经验排序指标，不能等同于实验结合自由能。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2" name="Figure 2" descr="图2. ALLLHRC、FCLHLQLR、FLLHTTR、HLLTLKKHV、HLPLLHRCC和HVLLLRQCA的最优对接构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A_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图2. ALLLHRC、FCLHLQLR、FLLHTTR、HLLTLKKHV、HLPLLHRCC和HVLLLRQCA的最优对接构象（A–F）。</w:t>
      </w:r>
      <w:r>
        <w:t xml:space="preserve"> 微肽为橙色，接触残基为青色，氢键以虚线标示。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5206601"/>
            <wp:effectExtent l="0" t="0" r="0" b="0"/>
            <wp:docPr id="3" name="Figure 3" descr="图3. LLHLPKRTT、LLHPLRC、LLHPLRL、WLLVHLKK、YHHLLCRR和YLSLLQR的最优对接构象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G_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5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图3. LLHLPKRTT、LLHPLRC、LLHPLRL、WLLVHLKK、YHHLLCRR和YLSLLQR的最优对接构象（G–L）。</w:t>
      </w:r>
      <w:r>
        <w:t xml:space="preserve"> LLHPLRL（I面板）从PAS的Trp286/Tyr341跨越至催化His447。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4694774"/>
            <wp:effectExtent l="0" t="0" r="0" b="0"/>
            <wp:docPr id="4" name="Figure 4" descr="图S1. 12条微肽最优对接构象总览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ocking_poses_12_combi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469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图S1. 12条微肽最优对接构象总览。</w:t>
      </w:r>
      <w:r>
        <w:t xml:space="preserve"> 单页汇总A–L面板。</w:t>
      </w:r>
    </w:p>
    <w:p>
      <w:pPr>
        <w:pStyle w:val="BodyText"/>
      </w:pPr>
      <w:r>
        <w:t>最优构象中直接对接经典外周阴离子位点（PAS：Tyr72、Asp74、Trp286、Tyr341等）的配体为FLLHTTR（图2C）、YLSLLQR（图3L）、FCLHLQLR、HVLLLRQCA、HLLTLKKHV和LLHPLRL（图3I）。ALLLHRC结合催化Ser203，平均氢键最短（2.83 Å），而非外侧PAS芳香核心（图2A）。三次运行均值将可重复的高亲和力配体（YLSLLQR、ALLLHRC、LLHPLRL）与最优构象强于运行均值的配体（FLLHTTR、FCLHLQLR、YHHLLCRR）区分开来。</w:t>
      </w:r>
    </w:p>
    <w:p>
      <w:pPr>
        <w:pStyle w:val="Heading3"/>
        <w:keepNext/>
      </w:pPr>
      <w:r>
        <w:t>apo AChE与三种复合物的100 ns分子动力学</w:t>
      </w:r>
    </w:p>
    <w:p>
      <w:pPr>
        <w:pStyle w:val="BodyText"/>
      </w:pPr>
      <w:r>
        <w:t>对 apo AChE 以及 ALLLHRC、FLLHTTR、YLSLLQR 复合物完成产物轨迹（表2，图4–6）。每幅六面板图比较无配体对照与一条肽复合物：骨架RMSD（A）、逐残基RMSF（B）、SASA（C）、Rg（D）、最后20 ns的DSSP占有率（E）和分子间氢键（F）。</w:t>
      </w:r>
    </w:p>
    <w:p>
      <w:r>
        <w:br w:type="page"/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5" name="Figure 5" descr="图4. apo AChE与AChE–ALLLHRC 100 ns对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ache_vs_alllhr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图4. apo AChE与AChE–ALLLHRC 100 ns分子动力学对比。</w:t>
      </w:r>
      <w:r>
        <w:t xml:space="preserve"> A–F面板与表2指标对应。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6" name="Figure 6" descr="图5. apo AChE与AChE–FLLHTTR 100 ns对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ache_vs_fllhtt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图5. apo AChE与AChE–FLLHTTR 100 ns分子动力学对比。</w:t>
      </w:r>
      <w:r>
        <w:t xml:space="preserve"> 面板布局与图4相同。复合物RMSD（A）与Rg（D）在三条肽中升幅最大。</w:t>
      </w:r>
    </w:p>
    <w:p>
      <w:pPr>
        <w:pStyle w:val="Figure"/>
        <w:jc w:val="center"/>
        <w:keepNext/>
      </w:pPr>
      <w:r>
        <w:drawing>
          <wp:inline distT="0" distB="0" distL="0" distR="0">
            <wp:extent cx="6150000" cy="3470162"/>
            <wp:effectExtent l="0" t="0" r="0" b="0"/>
            <wp:docPr id="7" name="Figure 7" descr="图6. apo AChE与AChE–YLSLLQR 100 ns对比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mpare_ache_vs_ylsllq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0000" cy="347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b/>
        </w:rPr>
        <w:t>图6. apo AChE与AChE–YLSLLQR 100 ns分子动力学对比。</w:t>
      </w:r>
      <w:r>
        <w:t xml:space="preserve"> 面板布局与图4相同。SASA（C）相对apo收缩；氢键计数（F）在三条复合物中最密。</w:t>
      </w:r>
    </w:p>
    <w:p>
      <w:pPr>
        <w:pStyle w:val="Caption"/>
      </w:pPr>
      <w:r>
        <w:rPr>
          <w:b/>
        </w:rPr>
        <w:t>表2. apo AChE与三种肽复合物最后20 ns轨迹指标（均值±SD），与图4–6对齐。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指标（最后20 ns）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apo AChE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AChE–ALLLHRC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AChE–FLLHTTR</w:t>
            </w:r>
          </w:p>
        </w:tc>
        <w:tc>
          <w:tcPr>
            <w:tcW w:w="1872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AChE–YLSLLQR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骨架Cα RMSD (nm)；图A面板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0.1562 ± 0.0093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0.1916 ± 0.0092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0.2102 ± 0.0087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0.2064 ± 0.0136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微肽自拟合RMSD (nm)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不适用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0.2518 ± 0.0136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0.2697 ± 0.0217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0.1979 ± 0.0143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逐残基RMSF均值 (nm)；图B面板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0.0783 ± 0.0524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0.0876 ± 0.0581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0.0901 ± 0.0644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0.0813 ± 0.0574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SASA (nm²)；图C面板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212.41 ± 2.36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217.47 ± 2.49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216.34 ± 2.55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210.37 ± 2.91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Rg (nm)；图D面板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2.2967 ± 0.0043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2.3107 ± 0.0052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2.3163 ± 0.0059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2.3004 ± 0.0051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分子间氢键；图F面板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不适用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2.19 ± 0.80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2.80 ± 0.99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4.23 ± 1.24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持续性接触对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不适用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7</w:t>
            </w:r>
          </w:p>
        </w:tc>
      </w:tr>
      <w:tr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DSSP α-螺旋 / β-折叠 (%)；图E面板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33.59 / 17.18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33.66 / 16.76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33.87 / 17.11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32.92 / 17.08</w:t>
            </w:r>
          </w:p>
        </w:tc>
      </w:tr>
    </w:tbl>
    <w:p>
      <w:pPr>
        <w:spacing w:after="40"/>
      </w:pPr>
    </w:p>
    <w:p>
      <w:pPr>
        <w:pStyle w:val="BodyText"/>
      </w:pPr>
      <w:r>
        <w:t>图4A、图5A和图6A显示 apo RMSD 维持在约 0.16 nm，复合物 RMSD 均低于 0.22 nm。仅受体部分 RMSD（0.1653、0.1767、0.1601 nm）表明 FLLHTTR 对酶主链扰动最大，YLSLLQR 几乎不移动受体骨架。RMSF（B面板）在催化核心保持低值，升幅主要位于表面环区。Rg（D面板）维持在 2.29–2.32 nm。SASA（C面板）在 ALLLHRC 与 FLLHTTR 中略升，在 YLSLLQR 中降至 210.37 nm²，与图6C更紧密的界面埋藏一致。氢键在 100 ns 全程持续（F面板）；YLSLLQR 网络最密（4.23 ± 1.24）。DSSP 螺旋（约 33–34%）与折叠（约 17%）与 apo 柱形重叠（E面板）。三个复合物均保留 7 对持续性接触。</w:t>
      </w:r>
    </w:p>
    <w:p>
      <w:pPr>
        <w:pStyle w:val="Heading3"/>
        <w:keepNext/>
      </w:pPr>
      <w:r>
        <w:t>证据边界</w:t>
      </w:r>
    </w:p>
    <w:p>
      <w:pPr>
        <w:pStyle w:val="Caption"/>
      </w:pPr>
      <w:r>
        <w:rPr>
          <w:b/>
        </w:rPr>
        <w:t>表3. 分子对接与100 ns动力学结果的支持与不支持解释。</w:t>
      </w:r>
    </w:p>
    <w:tbl>
      <w:tblPr>
        <w:tblStyle w:val="ThreeLineTable"/>
        <w:tblW w:w="5000" w:type="pct"/>
        <w:tblLayout w:type="fixed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CellMar>
          <w:top w:w="70" w:type="dxa"/>
          <w:left w:w="80" w:type="dxa"/>
          <w:bottom w:w="7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序号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观察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支持的解释</w:t>
            </w:r>
          </w:p>
        </w:tc>
        <w:tc>
          <w:tcPr>
            <w:tcW w:w="2340" w:type="dxa"/>
            <w:tcBorders>
              <w:bottom w:val="single" w:sz="8" w:space="0" w:color="000000"/>
            </w:tcBorders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不支持的外推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FLLHTTR、YLSLLQR、LLHPLRL最优构象接触PAS残基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对PAS及峡部入口具有几何互补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Vina打分不能等同实验Kd或Ki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复合物RMSD为0.16–0.21 nm且DSSP守恒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局部环区适应而非解折叠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RMSD微增不是变性或解离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后20 ns氢键2.19–4.23个且各有7对接触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100 ns尺度的表面驻留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单条轨迹不能证明不可逆纳摩尔结合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YLSLLQR的SASA收缩与最密氢键面板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相对apo的紧密界面埋藏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不能直接等同宏观结合常数</w:t>
            </w:r>
          </w:p>
        </w:tc>
      </w:tr>
      <w:tr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FLLHTTR最优-9.60 kcal/mol而均值为-8.77 ± 1.41 kcal/mol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最优构象为高分离群；均值排序更支持YLSLLQR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spacing w:before="0" w:after="0" w:line="240" w:lineRule="auto"/>
            </w:pPr>
            <w:r>
              <w:rPr>
                <w:sz w:val="20"/>
                <w:szCs w:val="20"/>
              </w:rPr>
              <w:t>单一最优构象不是收敛亲和力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讨论</w:t>
      </w:r>
    </w:p>
    <w:p>
      <w:pPr>
        <w:pStyle w:val="Heading3"/>
        <w:keepNext/>
      </w:pPr>
      <w:r>
        <w:t>以PAS靶向为工作假说的AD机制</w:t>
      </w:r>
    </w:p>
    <w:p>
      <w:pPr>
        <w:pStyle w:val="BodyText"/>
      </w:pPr>
      <w:r>
        <w:t xml:space="preserve">慢性牙周炎可使 </w:t>
      </w:r>
      <w:r>
        <w:rPr>
          <w:i/>
        </w:rPr>
        <w:t>Porphyromonas gingivalis</w:t>
      </w:r>
      <w:r>
        <w:t xml:space="preserve"> 产物进入体循环，并在细胞因子与牙龈蛋白酶损伤紧密连接后跨越受损血脑屏障。进入皮层间质后，候选微肽可占据门控 20 Å 活性峡部的 AChE PAS。最优对接将 FLLHTTR 置于 Asp74/Tyr72/His287，将 LLHPLRL 从 Trp286/Tyr341 跨越至 His447，将 YLSLLQR 同时锚定 PAS 与催化入口。100 ns 轨迹显示这些复合物保持球状折叠（Rg 2.29–2.32 nm；螺旋/折叠守恒），并维持分子间氢键（后 20 ns 为 2.19–4.23 个）。PAS 空间占位因此是乙酰胆碱进入受阻的结构假说，而不是已测定的 IC50。</w:t>
      </w:r>
    </w:p>
    <w:p>
      <w:pPr>
        <w:pStyle w:val="BodyText"/>
      </w:pPr>
      <w:r>
        <w:t>独立于催化功能，AChE 可通过同一 PAS 作为病理性伴侣加速 Aβ 组装。本肽靶向 PAS，HLLTLKKHV 还接触邻近 344–361 区（Phe346）。持续表面驻留可能降低 Aβ 成核能垒、重塑入口环区或提供两亲性种子。上述内容仍为计算假说，有待等温滴定量热、表面等离子共振、PAS 突变体 Ellman 抑制及 ThT/TEM 聚集实验验证。</w:t>
      </w:r>
    </w:p>
    <w:p>
      <w:pPr>
        <w:pStyle w:val="Heading3"/>
        <w:keepNext/>
      </w:pPr>
      <w:r>
        <w:t>与高分文献的对应</w:t>
      </w:r>
    </w:p>
    <w:p>
      <w:pPr>
        <w:pStyle w:val="BodyText"/>
      </w:pPr>
      <w:r>
        <w:t xml:space="preserve">Atanasova 等（2020）报道以 PAS 及 344–361 残基为中心、由氢键与桥连水稳定的 1 μs AChE–Aβ 模拟。Silman 与 Sussman（2005）将 PAS 描述为静电门控。Inestrosa 等（Neuron, 1996; Molecular Neurobiology, 2008）确立 PAS 依赖的伴侣加速 Aβ 纤维化。Dominy 等（Science Advances, 2019）在 AD 脑内检测到 </w:t>
      </w:r>
      <w:r>
        <w:rPr>
          <w:i/>
        </w:rPr>
        <w:t>P. gingivalis</w:t>
      </w:r>
      <w:r>
        <w:t xml:space="preserve"> 与牙龈蛋白酶。胆碱能假说（Bartus et al., 1982; Hampel et al., 2018）与淀粉样级联假说（Selkoe &amp; Hardy, 2016）在此仅作为工作模型交汇：PAS 对接原则上既可封堵峡部，也可重塑促聚集表面。</w:t>
      </w:r>
    </w:p>
    <w:p>
      <w:pPr>
        <w:pStyle w:val="Heading3"/>
        <w:keepNext/>
      </w:pPr>
      <w:r>
        <w:t>局限性</w:t>
      </w:r>
    </w:p>
    <w:p>
      <w:pPr>
        <w:pStyle w:val="BodyText"/>
      </w:pPr>
      <w:r>
        <w:t>各体系目前为单条 100 ns 轨迹，短于 1,000 ns 基准。对接打分为经验指标；PDBQT 档案未沉积；FLLHTTR 的 SD 达 1.41 kcal/mol，说明最优构象可能高估运行平均亲和力。计划验证包括等温滴定量热、表面等离子共振、Ellman IC50 以及 ThT/TEM 纤维实验。</w:t>
      </w:r>
    </w:p>
    <w:p>
      <w:pPr>
        <w:pStyle w:val="Heading3"/>
        <w:keepNext/>
      </w:pPr>
      <w:r>
        <w:t>参考文献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1. Atanasova, M., Dimitrov, I., &amp; Ivanov, S. (2020). Molecular dynamics simulations of acetylcholinesterase – beta-amyloid peptide complex. </w:t>
      </w:r>
      <w:r>
        <w:rPr>
          <w:i/>
          <w:sz w:val="24"/>
          <w:szCs w:val="24"/>
        </w:rPr>
        <w:t>Cybernetics and Information Technologies</w:t>
      </w:r>
      <w:r>
        <w:rPr>
          <w:sz w:val="24"/>
          <w:szCs w:val="24"/>
        </w:rPr>
        <w:t>, 20(6), 140–154. https://doi.org/10.2478/cait-2020-0068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2. Dominy, S. S., Lynch, C., Ermini, F., Benedyk, M., Marczyk, A., Forbes, A., Haditsch, M., et al. (2019). </w:t>
      </w:r>
      <w:r>
        <w:rPr>
          <w:i/>
          <w:sz w:val="24"/>
          <w:szCs w:val="24"/>
        </w:rPr>
        <w:t>Porphyromonas gingivalis</w:t>
      </w:r>
      <w:r>
        <w:rPr>
          <w:sz w:val="24"/>
          <w:szCs w:val="24"/>
        </w:rPr>
        <w:t xml:space="preserve"> in Alzheimer's disease brains: Evidence for disease causation and treatment with small-molecule inhibitors. </w:t>
      </w:r>
      <w:r>
        <w:rPr>
          <w:i/>
          <w:sz w:val="24"/>
          <w:szCs w:val="24"/>
        </w:rPr>
        <w:t>Science Advances</w:t>
      </w:r>
      <w:r>
        <w:rPr>
          <w:sz w:val="24"/>
          <w:szCs w:val="24"/>
        </w:rPr>
        <w:t>, 5(1), eaau3333. https://doi.org/10.1126/sciadv.aau3333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3. Silman, I., &amp; Sussman, J. L. (2005). Acetylcholinesterase: ‘classical’ and ‘non-classical’ functions and pharmacology. </w:t>
      </w:r>
      <w:r>
        <w:rPr>
          <w:i/>
          <w:sz w:val="24"/>
          <w:szCs w:val="24"/>
        </w:rPr>
        <w:t>Current Opinion in Pharmacology</w:t>
      </w:r>
      <w:r>
        <w:rPr>
          <w:sz w:val="24"/>
          <w:szCs w:val="24"/>
        </w:rPr>
        <w:t>, 5(3), 293–302. https://doi.org/10.1016/j.coph.2005.01.014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4. Inestrosa, N. C., Alvarez, A., Pérez, C. A., Moreno, R. D., Vicente, M., Link, C. A., Dayoub, O. I., et al. (1996). Acetylcholinesterase accelerates assembly of amyloid-β-peptides into Alzheimer's fibrils: possible role of the peripheral site of the enzyme. </w:t>
      </w:r>
      <w:r>
        <w:rPr>
          <w:i/>
          <w:sz w:val="24"/>
          <w:szCs w:val="24"/>
        </w:rPr>
        <w:t>Neuron</w:t>
      </w:r>
      <w:r>
        <w:rPr>
          <w:sz w:val="24"/>
          <w:szCs w:val="24"/>
        </w:rPr>
        <w:t>, 16(4), 881–891. https://doi.org/10.1016/S0896-6273(00)80108-7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5. Inestrosa, N. C., Dinamarca, M. C., &amp; Alvarez, A. (2008). Amyloid-cholinesterase interactions. Implications for Alzheimer's disease. </w:t>
      </w:r>
      <w:r>
        <w:rPr>
          <w:i/>
          <w:sz w:val="24"/>
          <w:szCs w:val="24"/>
        </w:rPr>
        <w:t>Molecular Neurobiology</w:t>
      </w:r>
      <w:r>
        <w:rPr>
          <w:sz w:val="24"/>
          <w:szCs w:val="24"/>
        </w:rPr>
        <w:t>, 38(3), 262–273. https://doi.org/10.1007/s12035-008-8043-6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6. Hampel, H., Mesulam, M. M., Cuello, A. C., Farlow, M. R., Giacobini, E., Grossberg, G. T., Khachaturian, A. S., et al. (2018). The cholinergic system in the pathophysiology and treatment of Alzheimer's disease. </w:t>
      </w:r>
      <w:r>
        <w:rPr>
          <w:i/>
          <w:sz w:val="24"/>
          <w:szCs w:val="24"/>
        </w:rPr>
        <w:t>Brain</w:t>
      </w:r>
      <w:r>
        <w:rPr>
          <w:sz w:val="24"/>
          <w:szCs w:val="24"/>
        </w:rPr>
        <w:t>, 141(7), 1917–1933. https://doi.org/10.1093/brain/awy132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7. Bartus, R. T., Dean, R. L., Beer, B., &amp; Lippa, A. S. (1982). The cholinergic hypothesis of geriatric memory dysfunction. </w:t>
      </w:r>
      <w:r>
        <w:rPr>
          <w:i/>
          <w:sz w:val="24"/>
          <w:szCs w:val="24"/>
        </w:rPr>
        <w:t>Science</w:t>
      </w:r>
      <w:r>
        <w:rPr>
          <w:sz w:val="24"/>
          <w:szCs w:val="24"/>
        </w:rPr>
        <w:t>, 217(4558), 408–414. https://doi.org/10.1126/science.7046051</w:t>
      </w:r>
    </w:p>
    <w:p>
      <w:pPr>
        <w:pStyle w:val="Reference"/>
        <w:ind w:left="360" w:hanging="360"/>
      </w:pPr>
      <w:r>
        <w:rPr>
          <w:sz w:val="24"/>
          <w:szCs w:val="24"/>
        </w:rPr>
        <w:t xml:space="preserve">8. Selkoe, D. J., &amp; Hardy, J. (2016). The amyloid hypothesis of Alzheimer's disease at 25 years. </w:t>
      </w:r>
      <w:r>
        <w:rPr>
          <w:i/>
          <w:sz w:val="24"/>
          <w:szCs w:val="24"/>
        </w:rPr>
        <w:t>EMBO Molecular Medicine</w:t>
      </w:r>
      <w:r>
        <w:rPr>
          <w:sz w:val="24"/>
          <w:szCs w:val="24"/>
        </w:rPr>
        <w:t>, 8(6), 595–608. https://doi.org/10.15252/emmm.201606210</w:t>
      </w:r>
    </w:p>
    <w:sectPr>
      <w:pgSz w:w="11906" w:h="16838"/>
      <w:pgMar w:top="1440" w:right="1440" w:bottom="1440" w:left="1440" w:header="600" w:footer="600" w:gutter="0"/>
      <w:cols w:space="720"/>
      <w:docGrid w:linePitch="480"/>
    </w:sectPr>
  </w:body>
</w:document>
</file>

<file path=word/fontTable.xml><?xml version="1.0" encoding="utf-8"?>
<w:fonts xmlns:w="http://schemas.openxmlformats.org/wordprocessingml/2006/main">
  <w:font w:name="Times New Roman"/>
  <w:font w:name="Arial"/>
  <w:font w:name="宋体"/>
  <w:font w:name="黑体"/>
  <w:font w:name="Consolas"/>
  <w:font w:name="等线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4"/>
        <w:szCs w:val="24"/>
        <w:lang w:val="en-US" w:eastAsia="zh-CN"/>
      </w:rPr>
    </w:rPrDefault>
    <w:pPrDefault>
      <w:pPr>
        <w:spacing w:before="0" w:after="0" w:line="480" w:lineRule="auto"/>
        <w:jc w:val="both"/>
        <w:widowControl/>
      </w:pPr>
    </w:pPrDefault>
  </w:docDefaults>
  <w:style w:type="paragraph" w:default="1" w:styleId="Normal">
    <w:name w:val="Normal"/>
    <w:qFormat/>
    <w:pPr>
      <w:spacing w:before="0" w:after="0" w:line="480" w:lineRule="auto"/>
      <w:jc w:val="both"/>
      <w:widowControl/>
    </w:pPr>
    <w:rPr>
      <w:sz w:val="24"/>
      <w:szCs w:val="24"/>
    </w:rPr>
  </w:style>
  <w:style w:type="paragraph" w:styleId="BodyText">
    <w:name w:val="Body Text"/>
    <w:basedOn w:val="Normal"/>
    <w:next w:val="BodyText"/>
    <w:qFormat/>
    <w:pPr>
      <w:ind w:firstLine="480"/>
      <w:spacing w:before="0" w:after="0" w:line="480" w:lineRule="auto"/>
      <w:jc w:val="both"/>
      <w:widowControl/>
    </w:pPr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jc w:val="left"/>
      <w:outlineLvl w:val="0"/>
    </w:pPr>
    <w:rPr>
      <w:rFonts w:ascii="Times New Roman" w:hAnsi="Times New Roman" w:eastAsia="黑体"/>
      <w:b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60"/>
      <w:outlineLvl w:val="2"/>
    </w:pPr>
    <w:rPr>
      <w:rFonts w:ascii="Times New Roman" w:hAnsi="Times New Roman" w:eastAsia="黑体"/>
      <w:b/>
      <w:i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120" w:after="0"/>
      <w:outlineLvl w:val="3"/>
    </w:pPr>
    <w:rPr>
      <w:i/>
      <w:color w:val="000000"/>
      <w:sz w:val="24"/>
      <w:szCs w:val="24"/>
    </w:rPr>
  </w:style>
  <w:style w:type="paragraph" w:styleId="Note">
    <w:name w:val="Note"/>
    <w:basedOn w:val="Normal"/>
    <w:pPr>
      <w:spacing w:after="0" w:line="480" w:lineRule="auto"/>
    </w:pPr>
    <w:rPr>
      <w:i/>
      <w:sz w:val="24"/>
      <w:szCs w:val="24"/>
    </w:rPr>
  </w:style>
  <w:style w:type="paragraph" w:styleId="Keywords">
    <w:name w:val="Keywords"/>
    <w:basedOn w:val="Normal"/>
    <w:pPr>
      <w:spacing w:after="120" w:line="480" w:lineRule="auto"/>
    </w:pPr>
    <w:rPr>
      <w:sz w:val="24"/>
      <w:szCs w:val="24"/>
    </w:rPr>
  </w:style>
  <w:style w:type="paragraph" w:styleId="Caption">
    <w:name w:val="Caption"/>
    <w:basedOn w:val="Normal"/>
    <w:pPr>
      <w:keepNext/>
      <w:spacing w:before="120" w:after="60" w:line="240" w:lineRule="auto"/>
      <w:jc w:val="left"/>
    </w:pPr>
    <w:rPr>
      <w:sz w:val="20"/>
      <w:szCs w:val="20"/>
    </w:rPr>
  </w:style>
  <w:style w:type="paragraph" w:styleId="Figure">
    <w:name w:val="Figure"/>
    <w:basedOn w:val="Normal"/>
  </w:style>
  <w:style w:type="paragraph" w:styleId="Reference">
    <w:name w:val="Reference"/>
    <w:basedOn w:val="Normal"/>
    <w:pPr>
      <w:spacing w:after="0" w:line="480" w:lineRule="auto"/>
      <w:jc w:val="left"/>
    </w:pPr>
    <w:rPr>
      <w:sz w:val="24"/>
      <w:szCs w:val="24"/>
    </w:rPr>
  </w:style>
  <w:style w:type="paragraph" w:styleId="ListParagraph">
    <w:name w:val="List Paragraph"/>
    <w:basedOn w:val="Normal"/>
    <w:pPr>
      <w:spacing w:after="0" w:line="480" w:lineRule="auto"/>
    </w:pPr>
  </w:style>
  <w:style w:type="paragraph" w:styleId="TableText">
    <w:name w:val="Table Text"/>
    <w:basedOn w:val="Normal"/>
    <w:pPr>
      <w:spacing w:before="0" w:after="0" w:line="240" w:lineRule="auto"/>
      <w:jc w:val="left"/>
    </w:pPr>
    <w:rPr>
      <w:sz w:val="20"/>
      <w:szCs w:val="20"/>
    </w:rPr>
  </w:style>
  <w:style w:type="table" w:styleId="ThreeLineTable">
    <w:name w:val="Three-Line Table"/>
    <w:tblPr>
      <w:tblBorders>
        <w:top w:val="single" w:sz="12" w:color="000000"/>
        <w:left w:val="nil"/>
        <w:bottom w:val="single" w:sz="12" w:color="000000"/>
        <w:right w:val="nil"/>
        <w:insideH w:val="nil"/>
        <w:insideV w:val="nil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Dependency-free OOXML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Chinese</dc:title>
  <dcterms:created xsi:type="dcterms:W3CDTF">2026-08-23T00:00:00Z</dcterms:created>
  <dcterms:modified xsi:type="dcterms:W3CDTF">2026-08-23T00:00:00Z</dcterms:modified>
</cp:coreProperties>
</file>