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keepNext/>
      </w:pPr>
      <w:r>
        <w:t>牙周炎队列口腔微肽的汇总优选及来源报告乙酰胆碱酯酶对接随访</w:t>
      </w:r>
    </w:p>
    <w:p>
      <w:pPr>
        <w:pStyle w:val="Note"/>
      </w:pPr>
      <w:r>
        <w:rPr>
          <w:b/>
        </w:rPr>
        <w:t>文章类型：</w:t>
      </w:r>
      <w:r>
        <w:t xml:space="preserve"> 阶段性原创研究简稿</w:t>
      </w:r>
    </w:p>
    <w:p>
      <w:pPr>
        <w:pStyle w:val="Normal"/>
      </w:pPr>
      <w:r>
        <w:rPr>
          <w:b/>
        </w:rPr>
        <w:t>用途：</w:t>
      </w:r>
      <w:r>
        <w:t xml:space="preserve"> 供导师阶段性审阅；完整稿继续以已归档的v3.0.0版本维护。</w:t>
      </w:r>
    </w:p>
    <w:p>
      <w:pPr>
        <w:pStyle w:val="Heading2"/>
        <w:keepNext/>
      </w:pPr>
      <w:r>
        <w:t>摘要</w:t>
      </w:r>
    </w:p>
    <w:p>
      <w:pPr>
        <w:pStyle w:val="Normal"/>
      </w:pPr>
      <w:r>
        <w:rPr>
          <w:b/>
        </w:rPr>
        <w:t>背景：</w:t>
      </w:r>
      <w:r>
        <w:t xml:space="preserve"> 小开放阅读框（smORF）是口腔微生物组中尚未被充分刻画的组成部分。计算模型可用于候选肽优选，但不能证明翻译、血脑屏障（BBB）转运、毒性、靶标结合或疾病因果关系。</w:t>
      </w:r>
    </w:p>
    <w:p>
      <w:pPr>
        <w:pStyle w:val="Normal"/>
      </w:pPr>
      <w:r>
        <w:rPr>
          <w:b/>
        </w:rPr>
        <w:t>方法：</w:t>
      </w:r>
      <w:r>
        <w:t xml:space="preserve"> 本研究重建牙周炎队列口腔smORF筛选记录中的汇总计数。流程包括证据过滤、UniDL4BioPep BBB评分、NTxPred2、mebipred及AnOxPePred CHEL/FRS阈值，并独立重算比例。另一份外部v0.4记录提供12条肽序列及其针对人乙酰胆碱酯酶（AChE；PDB 4EY6）的AutoDock Vina均值±SD。研究核验了序列组成和分数排序；由于缺少原始输入、配置、日志和构象，未重跑对接。</w:t>
      </w:r>
    </w:p>
    <w:p>
      <w:pPr>
        <w:pStyle w:val="Normal"/>
      </w:pPr>
      <w:r>
        <w:rPr>
          <w:b/>
        </w:rPr>
        <w:t>结果：</w:t>
      </w:r>
      <w:r>
        <w:t xml:space="preserve"> 证据过滤后，健康分支保留31,510/11,269,961条smORF，牙周炎分支保留33,786/11,721,988条。牙周炎分支包含3,518条BBB高分候选；NTxPred2评估3,299条，其中923条为阳性。来源随后报告111条金属结合阳性候选，其中15条满足CHEL≥0.25，12条同时满足CHEL≥0.25和FRS&lt;0.50，8条满足FRS&lt;0.45。外部记录列出12条互不重复的7–9 aa序列；11条含组氨酸，6条含半胱氨酸，全部含Arg或Lys。报告Vina均值为−9.60至−8.25 kcal/mol。</w:t>
      </w:r>
    </w:p>
    <w:p>
      <w:pPr>
        <w:pStyle w:val="Normal"/>
      </w:pPr>
      <w:r>
        <w:rPr>
          <w:b/>
        </w:rPr>
        <w:t>结论：</w:t>
      </w:r>
      <w:r>
        <w:t xml:space="preserve"> 合并证据形成一套简短、可检验的候选集合，但不能证明牙周炎特异性、脑暴露、神经毒性、AChE结合或阿尔茨海默病机制。仍需逐行筛选链路、可复现对接产物和实验验证。</w:t>
      </w:r>
    </w:p>
    <w:p>
      <w:pPr>
        <w:pStyle w:val="Keywords"/>
      </w:pPr>
      <w:r>
        <w:rPr>
          <w:b/>
        </w:rPr>
        <w:t>关键词：</w:t>
      </w:r>
      <w:r>
        <w:t xml:space="preserve"> 口腔微生物组；smORF；微肽；牙周炎；乙酰胆碱酯酶；分子对接；计算优选</w:t>
      </w:r>
    </w:p>
    <w:p>
      <w:pPr>
        <w:pStyle w:val="Heading2"/>
        <w:keepNext/>
        <w:pageBreakBefore/>
      </w:pPr>
      <w:r>
        <w:t>1. 引言</w:t>
      </w:r>
    </w:p>
    <w:p>
      <w:pPr>
        <w:pStyle w:val="Normal"/>
      </w:pPr>
      <w:r>
        <w:t>微生物组smORF编码规模巨大但注释不完整的肽空间。大规模研究发现了数千个保守小基因，专用预测系统也提高了短编码序列的识别能力 [1,2]。然而，预测smORF不一定被翻译，被翻译的肽也不一定稳定或具有生物活性。</w:t>
      </w:r>
    </w:p>
    <w:p>
      <w:pPr>
        <w:pStyle w:val="Normal"/>
      </w:pPr>
      <w:r>
        <w:t>牙周炎与口腔微生物组成及基因表达变化相关 [3,4]。疾病相关解释仍需要参与者层面的映射、适当标准化，以及对重复或同源序列的处理。与口腔数据库或异质性蛋白质组数据精确匹配可以支持序列存在，但不能独立证明当前队列表达或牙周炎特异性。</w:t>
      </w:r>
    </w:p>
    <w:p>
      <w:pPr>
        <w:pStyle w:val="Normal"/>
      </w:pPr>
      <w:r>
        <w:t>肽预测器可用于实际筛选。UniDL4BioPep预测多类肽活性标签 [5]；BBB模型估计与穿透相关的序列模式 [6]；NTxPred2预测神经毒性肽标签 [7]；mebipred估计金属结合潜力 [8]；AnOxPePred预测螯合和自由基清除特征 [9]。这些输出属于优选标签，而不是实验观察。因此，有说服力的肽发现还需化学合成和功能测定 [10]。</w:t>
      </w:r>
    </w:p>
    <w:p>
      <w:pPr>
        <w:pStyle w:val="Normal"/>
      </w:pPr>
      <w:r>
        <w:t>AChE随访具有一定生物学意义，因为胆碱能功能障碍与阿尔茨海默病（AD）相关 [11]，AChE也可通过涉及外周阴离子位点（PAS）的区域加速淀粉样β装配 [12]。人AChE结构4EY6可用于生成结构假设 [13]。金属稳态失衡同样与AD相关聚集和氧化生物学有关 [14]。这些研究可提出实验问题，但不能证明口腔肽进入脑组织或改变AChE/Aβ过程。</w:t>
      </w:r>
    </w:p>
    <w:p>
      <w:pPr>
        <w:pStyle w:val="Normal"/>
      </w:pPr>
      <w:r>
        <w:t>本阶段研究仅回答一个有限问题：现有汇总筛选记录和独立报告的序列/对接汇总能够支持怎样的候选集合？目标是简要呈现数值漏斗、可用序列和后续验证步骤，而不是建立机制。</w:t>
      </w:r>
    </w:p>
    <w:p>
      <w:pPr>
        <w:pStyle w:val="Heading2"/>
        <w:keepNext/>
        <w:pageBreakBefore/>
      </w:pPr>
      <w:r>
        <w:t>2. 材料与方法</w:t>
      </w:r>
    </w:p>
    <w:p>
      <w:pPr>
        <w:pStyle w:val="Heading3"/>
        <w:keepNext/>
      </w:pPr>
      <w:r>
        <w:t>2.1 研究设计与证据来源</w:t>
      </w:r>
    </w:p>
    <w:p>
      <w:pPr>
        <w:pStyle w:val="Normal"/>
      </w:pPr>
      <w:r>
        <w:t>主要来源为健康和牙周炎口腔宏基因组分支的汇总计算记录，其中包含筛选计数、阈值和流程描述，但不含候选逐行数据、样本映射或可执行管线代码。用户指定的外部v0.4仓库另行提供12条序列字符串及Vina均值±SD。外部信息按作者报告汇总处理，不作为独立复现分析。</w:t>
      </w:r>
    </w:p>
    <w:p>
      <w:pPr>
        <w:pStyle w:val="Heading3"/>
        <w:keepNext/>
      </w:pPr>
      <w:r>
        <w:t>2.2 汇总筛选流程</w:t>
      </w:r>
    </w:p>
    <w:p>
      <w:pPr>
        <w:pStyle w:val="Normal"/>
      </w:pPr>
      <w:r>
        <w:t>据主要记录，4–50 aa翻译smORF经证据过滤和去冗余后，分为短肽（5–30 aa）和长肽（31–50 aa）分支。UniDL4BioPep BBB输出≥0.80定义为“BBB高分” [5]。牙周炎BBB高分集合在NTxPred2声明的7–50 aa范围内接受筛选 [7]，随后使用阈值0.50的mebipred [8]以及AnOxPePred CHEL/FRS阈值 [9]。主要终点为CHEL≥0.25且FRS&lt;0.50，更严格终点使用FRS&lt;0.45。</w:t>
      </w:r>
    </w:p>
    <w:p>
      <w:pPr>
        <w:pStyle w:val="Normal"/>
      </w:pPr>
      <w:r>
        <w:t>来源没有提供NTxPred2至mebipred的逐行交接。因此，111条仅保留为来源报告下游计数，不将111/923解释为经审计的转换率。</w:t>
      </w:r>
    </w:p>
    <w:p>
      <w:pPr>
        <w:pStyle w:val="Heading3"/>
        <w:keepNext/>
      </w:pPr>
      <w:r>
        <w:t>2.3 外部序列与对接汇总</w:t>
      </w:r>
    </w:p>
    <w:p>
      <w:pPr>
        <w:pStyle w:val="Normal"/>
      </w:pPr>
      <w:r>
        <w:t>研究检查12条外部序列的唯一性、标准氨基酸字符、长度、组氨酸、半胱氨酸、碱性残基（Arg+Lys）和芳香残基。外部记录称使用AutoDock Vina 1.2.5，将肽对接到人AChE PDB 4EY6的40×40×40 Å³ PAS中心盒 [13,18,19]。本研究转录均值和SD并检查排序及范围。</w:t>
      </w:r>
    </w:p>
    <w:p>
      <w:pPr>
        <w:pStyle w:val="Normal"/>
      </w:pPr>
      <w:r>
        <w:t>由于缺少受体/配体制备文件、精确网格中心、质子化和电荷设置、配置、exhaustiveness、种子、原始运行、日志及构象，本研究没有重跑对接。Vina分数不解释为结合亲和力或自由能 [18,19]。</w:t>
      </w:r>
    </w:p>
    <w:p>
      <w:pPr>
        <w:pStyle w:val="Heading3"/>
        <w:keepNext/>
      </w:pPr>
      <w:r>
        <w:t>2.4 统计方法</w:t>
      </w:r>
    </w:p>
    <w:p>
      <w:pPr>
        <w:pStyle w:val="Normal"/>
      </w:pPr>
      <w:r>
        <w:t>所有分析均为描述性分析，比例按100×n/N重算。由于缺少受试者/样本映射和聚类信息，候选肽不被视为独立生物学重复。因此，没有计算健康与牙周炎比较的p值或置信区间。</w:t>
      </w:r>
    </w:p>
    <w:p>
      <w:pPr>
        <w:pStyle w:val="Heading2"/>
        <w:keepNext/>
        <w:pageBreakBefore/>
      </w:pPr>
      <w:r>
        <w:t>3. 结果</w:t>
      </w:r>
    </w:p>
    <w:p>
      <w:pPr>
        <w:pStyle w:val="Heading3"/>
        <w:keepNext/>
      </w:pPr>
      <w:r>
        <w:t>3.1 汇总优选漏斗</w:t>
      </w:r>
    </w:p>
    <w:p>
      <w:pPr>
        <w:pStyle w:val="Normal"/>
      </w:pPr>
      <w:r>
        <w:t>证据过滤后，健康分支保留31,510/11,269,961条smORF（0.2796%），牙周炎分支保留33,786/11,721,988条（0.2882%）。短肽分支BBB高分分别为3,359/30,557（10.99%）和3,446/32,754（10.52%），长肽分支分别为40/953（4.20%）和72/1,032（6.98%）。</w:t>
      </w:r>
    </w:p>
    <w:p>
      <w:pPr>
        <w:pStyle w:val="Normal"/>
      </w:pPr>
      <w:r>
        <w:t>牙周炎分支共有3,518条BBB高分候选。NTxPred2评估3,299条（93.77%），219条低于声明输入范围；已评估候选中923/3,299（27.98%）为模型阳性。下游记录报告111条mebipred阳性、15条CHEL优选、12条主候选和8条更严格候选（表1）。</w:t>
      </w:r>
    </w:p>
    <w:p>
      <w:pPr>
        <w:pStyle w:val="Normal"/>
      </w:pPr>
      <w:r>
        <w:rPr>
          <w:b/>
        </w:rPr>
        <w:t>表1. 简化汇总筛选结果</w:t>
      </w:r>
    </w:p>
    <w:tbl>
      <w:tblPr>
        <w:tblStyle w:val="TableGrid"/>
        <w:tblW w:w="5000" w:type="pct"/>
        <w:tblLayout w:type="fixed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阶段</w:t>
            </w:r>
          </w:p>
        </w:tc>
        <w:tc>
          <w:tcPr>
            <w:tcW w:w="234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规则/状态</w:t>
            </w:r>
          </w:p>
        </w:tc>
        <w:tc>
          <w:tcPr>
            <w:tcW w:w="234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牙周炎分支，n</w:t>
            </w:r>
          </w:p>
        </w:tc>
        <w:tc>
          <w:tcPr>
            <w:tcW w:w="234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解释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证据过滤后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精确匹配过滤及去冗余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33,786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计算保留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BBB高分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UniDL4BioPep输出≥0.80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3,518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预测标签，不是实测BBB转运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NTxPred2已评估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声明范围7–50 aa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3,299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219条未评估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NTxPred2阳性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模型阳性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923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不是实验神经毒性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金属结合阳性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mebipred≥0.50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来源报告下游计数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CHEL优选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CHEL≥0.25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操作性过滤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主集合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CHEL≥0.25；FRS&lt;0.50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候选计数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更严格集合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CHEL≥0.25；FRS&lt;0.45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成员未知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3.2 外部报告的12条序列</w:t>
      </w:r>
    </w:p>
    <w:p>
      <w:pPr>
        <w:pStyle w:val="Normal"/>
      </w:pPr>
      <w:r>
        <w:t>外部记录列出12条互不重复的7–9 aa序列（表2）。11条含组氨酸，6条含半胱氨酸，每条至少含一个Arg或Lys。该集合较短、带正电且富亮氨酸，但组成不能证明金属结合、膜转运、毒性或分类归属。</w:t>
      </w:r>
    </w:p>
    <w:p>
      <w:pPr>
        <w:pStyle w:val="Normal"/>
      </w:pPr>
      <w:r>
        <w:rPr>
          <w:b/>
        </w:rPr>
        <w:t>表2. 外部序列及来源报告Vina汇总</w:t>
      </w:r>
    </w:p>
    <w:tbl>
      <w:tblPr>
        <w:tblStyle w:val="TableGrid"/>
        <w:tblW w:w="5000" w:type="pct"/>
        <w:tblLayout w:type="fixed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序列</w:t>
            </w:r>
          </w:p>
        </w:tc>
        <w:tc>
          <w:tcPr>
            <w:tcW w:w="1872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长度</w:t>
            </w:r>
          </w:p>
        </w:tc>
        <w:tc>
          <w:tcPr>
            <w:tcW w:w="1872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His</w:t>
            </w:r>
          </w:p>
        </w:tc>
        <w:tc>
          <w:tcPr>
            <w:tcW w:w="1872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Cys</w:t>
            </w:r>
          </w:p>
        </w:tc>
        <w:tc>
          <w:tcPr>
            <w:tcW w:w="1872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报告Vina均值±SD（kcal/mol）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FLLHTTR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−9.60±0.08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YLSLLQR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−9.49±0.05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ALLLHRC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−9.29±0.11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FCLHLQLR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−9.27±0.09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YHHLLCRR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−9.03±0.07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LLHLPKRTT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−9.01±0.06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LLHPLRL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−8.94±0.10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WLLVHLKK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−8.94±0.04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LLHPLRC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−8.91±0.08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HLLTLKKHV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−8.88±0.05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HLPLLHRCC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−8.35±0.12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HVLLLRQCA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−8.25±0.09</w:t>
            </w:r>
          </w:p>
        </w:tc>
      </w:tr>
    </w:tbl>
    <w:p>
      <w:pPr>
        <w:spacing w:after="40"/>
      </w:pPr>
    </w:p>
    <w:p>
      <w:pPr>
        <w:pStyle w:val="Figure"/>
        <w:jc w:val="center"/>
        <w:keepNext/>
      </w:pPr>
      <w:r>
        <w:drawing>
          <wp:inline distT="0" distB="0" distL="0" distR="0">
            <wp:extent cx="6150000" cy="3613125"/>
            <wp:effectExtent l="0" t="0" r="0" b="0"/>
            <wp:docPr id="1" name="Figure 1" descr="图1. 来源报告对接分数汇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ocking_sc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6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>
          <w:b/>
        </w:rPr>
        <w:t>图1.</w:t>
      </w:r>
      <w:r>
        <w:t xml:space="preserve"> 针对人AChE PDB 4EY6的来源报告AutoDock Vina均值±SD。数值未被独立复现；运行定义和构象不可用。</w:t>
      </w:r>
    </w:p>
    <w:p>
      <w:pPr>
        <w:pStyle w:val="Heading3"/>
        <w:keepNext/>
      </w:pPr>
      <w:r>
        <w:t>3.3 当前证据边界</w:t>
      </w:r>
    </w:p>
    <w:p>
      <w:pPr>
        <w:pStyle w:val="Normal"/>
      </w:pPr>
      <w:r>
        <w:t>外部序列清单使合成规划成为可能，但不能说明哪些主要来源行对应这12条字符串，也不能确定更严格8条的成员。对接汇总同样只提供报告的集合内排序。翻译、BBB转运、毒性、金属依赖效应、AChE功能和疾病相关性均未测试。</w:t>
      </w:r>
    </w:p>
    <w:p>
      <w:pPr>
        <w:pStyle w:val="Heading2"/>
        <w:keepNext/>
        <w:pageBreakBefore/>
      </w:pPr>
      <w:r>
        <w:t>4. 讨论</w:t>
      </w:r>
    </w:p>
    <w:p>
      <w:pPr>
        <w:pStyle w:val="Normal"/>
      </w:pPr>
      <w:r>
        <w:t>本阶段重建在保留来源局限的同时，形成了一套具体的12条序列假设集合。汇总漏斗内部算术一致，展示了串联模型如何从数百万条smORF逐步缩小范围。然而，逐行来源几乎完全缺失，因此无法进行受试者层面的组间分析，也不能独立复现候选选择。</w:t>
      </w:r>
    </w:p>
    <w:p>
      <w:pPr>
        <w:pStyle w:val="Normal"/>
      </w:pPr>
      <w:r>
        <w:t>报告的对接排序增加了一个结构问题，而不是结合结果。Vina适合快速生成构象和分数 [18,19]，但短柔性肽具有大量构象，其排序可能受端基、质子化、初始构象、受体柔性、盒位置和搜索设置影响。完整输入和构象发布后，可采用柔性肽精修方法开展进一步分析 [20]。在此之前，不应对残基接触、PAS选择性或分数差异作机制解释。</w:t>
      </w:r>
    </w:p>
    <w:p>
      <w:pPr>
        <w:pStyle w:val="Normal"/>
      </w:pPr>
      <w:r>
        <w:t>生物学假设也仍处于初步阶段。观察性研究报告牙周炎与认知障碍相关，但结果受病例定义和研究设计影响 [15]。孟德尔随机化目前不支持强牙周病—AD因果效应 [16]，近期综述也继续强调不确定性 [17]。因此，应将这些候选描述为来自牙周炎队列分析分支，而不是疾病特异性介质。</w:t>
      </w:r>
    </w:p>
    <w:p>
      <w:pPr>
        <w:pStyle w:val="Normal"/>
      </w:pPr>
      <w:r>
        <w:t>下一阶段应首先恢复序列—样本和序列—模型链路。随后可合成12条肽，检查纯度、稳定性、非特异膜破坏、BBB转运、神经毒性和Cu/Fe/Zn结合。只有具备可重复生化和暴露证据的候选才进入AChE活性和Aβ聚集实验。实验需要打乱肽、组成匹配、肽单独和金属单独对照。</w:t>
      </w:r>
    </w:p>
    <w:p>
      <w:pPr>
        <w:pStyle w:val="Normal"/>
      </w:pPr>
      <w:r>
        <w:t>主要局限包括候选逐行数据缺失、严格子集成员未知、预测器执行记录缺失以及对接输入/构象不可用。本研究没有开展实验验证。因此，当前工作属于计算优选报告，而不是机制研究。</w:t>
      </w:r>
    </w:p>
    <w:p>
      <w:pPr>
        <w:pStyle w:val="Heading2"/>
        <w:keepNext/>
        <w:pageBreakBefore/>
      </w:pPr>
      <w:r>
        <w:t>5. 结论</w:t>
      </w:r>
    </w:p>
    <w:p>
      <w:pPr>
        <w:pStyle w:val="Normal"/>
      </w:pPr>
      <w:r>
        <w:t>现有记录支持一条汇总筛选漏斗，以及一套具有AChE对接分数排序的来源报告12序列清单，但不能建立靶标结合、生物活性、疾病特异性或因果关系。本阶段分析的主要价值是形成可管理的候选集合，并为下一步可重复计算和实验随访提供透明计划。</w:t>
      </w:r>
    </w:p>
    <w:p>
      <w:pPr>
        <w:pStyle w:val="Heading2"/>
        <w:keepNext/>
        <w:pageBreakBefore/>
      </w:pPr>
      <w:r>
        <w:t>参考文献</w:t>
      </w:r>
    </w:p>
    <w:p>
      <w:pPr>
        <w:pStyle w:val="Reference"/>
        <w:ind w:left="360" w:hanging="360"/>
      </w:pPr>
      <w:r>
        <w:rPr>
          <w:sz w:val="18"/>
          <w:szCs w:val="18"/>
        </w:rPr>
        <w:t xml:space="preserve">1. Sberro H, Fremin BJ, Zlitni S, et al. Large-scale analyses of human microbiomes reveal thousands of small, novel genes. </w:t>
      </w:r>
      <w:r>
        <w:rPr>
          <w:i/>
          <w:sz w:val="18"/>
          <w:szCs w:val="18"/>
        </w:rPr>
        <w:t>Cell</w:t>
      </w:r>
      <w:r>
        <w:rPr>
          <w:sz w:val="18"/>
          <w:szCs w:val="18"/>
        </w:rPr>
        <w:t>. 2019;178:1245–1259.e14. doi:10.1016/j.cell.2019.07.016.</w:t>
      </w:r>
    </w:p>
    <w:p>
      <w:pPr>
        <w:pStyle w:val="Reference"/>
        <w:ind w:left="360" w:hanging="360"/>
      </w:pPr>
      <w:r>
        <w:rPr>
          <w:sz w:val="18"/>
          <w:szCs w:val="18"/>
        </w:rPr>
        <w:t xml:space="preserve">2. Durrant MG, Bhatt AS. Automated prediction and annotation of small open reading frames in microbial genomes. </w:t>
      </w:r>
      <w:r>
        <w:rPr>
          <w:i/>
          <w:sz w:val="18"/>
          <w:szCs w:val="18"/>
        </w:rPr>
        <w:t>Cell Host Microbe</w:t>
      </w:r>
      <w:r>
        <w:rPr>
          <w:sz w:val="18"/>
          <w:szCs w:val="18"/>
        </w:rPr>
        <w:t>. 2021;29:121–131.e4. doi:10.1016/j.chom.2020.11.002.</w:t>
      </w:r>
    </w:p>
    <w:p>
      <w:pPr>
        <w:pStyle w:val="Reference"/>
        <w:ind w:left="360" w:hanging="360"/>
      </w:pPr>
      <w:r>
        <w:rPr>
          <w:sz w:val="18"/>
          <w:szCs w:val="18"/>
        </w:rPr>
        <w:t xml:space="preserve">3. Belstrøm D, Constancias F, Drautz-Moses DI, et al. Periodontitis associates with species-specific gene expression of the oral microbiota. </w:t>
      </w:r>
      <w:r>
        <w:rPr>
          <w:i/>
          <w:sz w:val="18"/>
          <w:szCs w:val="18"/>
        </w:rPr>
        <w:t>npj Biofilms Microbiomes</w:t>
      </w:r>
      <w:r>
        <w:rPr>
          <w:sz w:val="18"/>
          <w:szCs w:val="18"/>
        </w:rPr>
        <w:t>. 2021;7:76. doi:10.1038/s41522-021-00247-y.</w:t>
      </w:r>
    </w:p>
    <w:p>
      <w:pPr>
        <w:pStyle w:val="Reference"/>
        <w:ind w:left="360" w:hanging="360"/>
      </w:pPr>
      <w:r>
        <w:rPr>
          <w:sz w:val="18"/>
          <w:szCs w:val="18"/>
        </w:rPr>
        <w:t xml:space="preserve">4. Ovsepian A, Kardaras FS, Skoulakis A, Hatzigeorgiou AG. Microbial signatures in human periodontal disease: a metatranscriptome meta-analysis. </w:t>
      </w:r>
      <w:r>
        <w:rPr>
          <w:i/>
          <w:sz w:val="18"/>
          <w:szCs w:val="18"/>
        </w:rPr>
        <w:t>Front Microbiol</w:t>
      </w:r>
      <w:r>
        <w:rPr>
          <w:sz w:val="18"/>
          <w:szCs w:val="18"/>
        </w:rPr>
        <w:t>. 2024;15:1383404. doi:10.3389/fmicb.2024.1383404.</w:t>
      </w:r>
    </w:p>
    <w:p>
      <w:pPr>
        <w:pStyle w:val="Reference"/>
        <w:ind w:left="360" w:hanging="360"/>
      </w:pPr>
      <w:r>
        <w:rPr>
          <w:sz w:val="18"/>
          <w:szCs w:val="18"/>
        </w:rPr>
        <w:t xml:space="preserve">5. Du Z, Ding X, Xu Y, Li Y. UniDL4BioPep: a universal deep learning architecture for binary classification in peptide bioactivity. </w:t>
      </w:r>
      <w:r>
        <w:rPr>
          <w:i/>
          <w:sz w:val="18"/>
          <w:szCs w:val="18"/>
        </w:rPr>
        <w:t>Brief Bioinform</w:t>
      </w:r>
      <w:r>
        <w:rPr>
          <w:sz w:val="18"/>
          <w:szCs w:val="18"/>
        </w:rPr>
        <w:t>. 2023;24:bbad135. doi:10.1093/bib/bbad135.</w:t>
      </w:r>
    </w:p>
    <w:p>
      <w:pPr>
        <w:pStyle w:val="Reference"/>
        <w:ind w:left="360" w:hanging="360"/>
      </w:pPr>
      <w:r>
        <w:rPr>
          <w:sz w:val="18"/>
          <w:szCs w:val="18"/>
        </w:rPr>
        <w:t xml:space="preserve">6. Gu ZF, Hao YD, Wang TY, et al. Prediction of blood-brain barrier penetrating peptides based on data augmentation with Augur. </w:t>
      </w:r>
      <w:r>
        <w:rPr>
          <w:i/>
          <w:sz w:val="18"/>
          <w:szCs w:val="18"/>
        </w:rPr>
        <w:t>BMC Biol</w:t>
      </w:r>
      <w:r>
        <w:rPr>
          <w:sz w:val="18"/>
          <w:szCs w:val="18"/>
        </w:rPr>
        <w:t>. 2024;22:86. doi:10.1186/s12915-024-01883-4.</w:t>
      </w:r>
    </w:p>
    <w:p>
      <w:pPr>
        <w:pStyle w:val="Reference"/>
        <w:ind w:left="360" w:hanging="360"/>
      </w:pPr>
      <w:r>
        <w:rPr>
          <w:sz w:val="18"/>
          <w:szCs w:val="18"/>
        </w:rPr>
        <w:t xml:space="preserve">7. Rathore AS, Jain S, Choudhury S, Raghava GPS. A large language model for predicting neurotoxic peptides and neurotoxins. </w:t>
      </w:r>
      <w:r>
        <w:rPr>
          <w:i/>
          <w:sz w:val="18"/>
          <w:szCs w:val="18"/>
        </w:rPr>
        <w:t>Protein Sci</w:t>
      </w:r>
      <w:r>
        <w:rPr>
          <w:sz w:val="18"/>
          <w:szCs w:val="18"/>
        </w:rPr>
        <w:t>. 2025;34:e70200. doi:10.1002/pro.70200.</w:t>
      </w:r>
    </w:p>
    <w:p>
      <w:pPr>
        <w:pStyle w:val="Reference"/>
        <w:ind w:left="360" w:hanging="360"/>
      </w:pPr>
      <w:r>
        <w:rPr>
          <w:sz w:val="18"/>
          <w:szCs w:val="18"/>
        </w:rPr>
        <w:t xml:space="preserve">8. Aptekmann AA, Buongiorno J, Giovannelli D, et al. mebipred: identifying metal-binding potential in protein sequence. </w:t>
      </w:r>
      <w:r>
        <w:rPr>
          <w:i/>
          <w:sz w:val="18"/>
          <w:szCs w:val="18"/>
        </w:rPr>
        <w:t>Bioinformatics</w:t>
      </w:r>
      <w:r>
        <w:rPr>
          <w:sz w:val="18"/>
          <w:szCs w:val="18"/>
        </w:rPr>
        <w:t>. 2022;38:3532–3540. doi:10.1093/bioinformatics/btac358.</w:t>
      </w:r>
    </w:p>
    <w:p>
      <w:pPr>
        <w:pStyle w:val="Reference"/>
        <w:ind w:left="360" w:hanging="360"/>
      </w:pPr>
      <w:r>
        <w:rPr>
          <w:sz w:val="18"/>
          <w:szCs w:val="18"/>
        </w:rPr>
        <w:t xml:space="preserve">9. Olsen TH, Yesiltas B, Marin FI, et al. AnOxPePred: using deep learning for the prediction of antioxidative properties of peptides. </w:t>
      </w:r>
      <w:r>
        <w:rPr>
          <w:i/>
          <w:sz w:val="18"/>
          <w:szCs w:val="18"/>
        </w:rPr>
        <w:t>Sci Rep</w:t>
      </w:r>
      <w:r>
        <w:rPr>
          <w:sz w:val="18"/>
          <w:szCs w:val="18"/>
        </w:rPr>
        <w:t>. 2020;10:21471. doi:10.1038/s41598-020-78319-w.</w:t>
      </w:r>
    </w:p>
    <w:p>
      <w:pPr>
        <w:pStyle w:val="Reference"/>
        <w:ind w:left="360" w:hanging="360"/>
      </w:pPr>
      <w:r>
        <w:rPr>
          <w:sz w:val="18"/>
          <w:szCs w:val="18"/>
        </w:rPr>
        <w:t xml:space="preserve">10. Torres MDT, Brooks EF, Cesaro A, et al. Mining human microbiomes reveals an untapped source of peptide antibiotics. </w:t>
      </w:r>
      <w:r>
        <w:rPr>
          <w:i/>
          <w:sz w:val="18"/>
          <w:szCs w:val="18"/>
        </w:rPr>
        <w:t>Cell</w:t>
      </w:r>
      <w:r>
        <w:rPr>
          <w:sz w:val="18"/>
          <w:szCs w:val="18"/>
        </w:rPr>
        <w:t>. 2024;187:5453–5467.e15. doi:10.1016/j.cell.2024.07.027.</w:t>
      </w:r>
    </w:p>
    <w:p>
      <w:pPr>
        <w:pStyle w:val="Reference"/>
        <w:ind w:left="360" w:hanging="360"/>
      </w:pPr>
      <w:r>
        <w:rPr>
          <w:sz w:val="18"/>
          <w:szCs w:val="18"/>
        </w:rPr>
        <w:t xml:space="preserve">11. Scheltens P, De Strooper B, Kivipelto M, et al. Alzheimer’s disease. </w:t>
      </w:r>
      <w:r>
        <w:rPr>
          <w:i/>
          <w:sz w:val="18"/>
          <w:szCs w:val="18"/>
        </w:rPr>
        <w:t>Lancet</w:t>
      </w:r>
      <w:r>
        <w:rPr>
          <w:sz w:val="18"/>
          <w:szCs w:val="18"/>
        </w:rPr>
        <w:t>. 2021;397:1577–1590. doi:10.1016/S0140-6736(20)32205-4.</w:t>
      </w:r>
    </w:p>
    <w:p>
      <w:pPr>
        <w:pStyle w:val="Reference"/>
        <w:ind w:left="360" w:hanging="360"/>
      </w:pPr>
      <w:r>
        <w:rPr>
          <w:sz w:val="18"/>
          <w:szCs w:val="18"/>
        </w:rPr>
        <w:t xml:space="preserve">12. Inestrosa NC, Alvarez A, Pérez CA, et al. Acetylcholinesterase accelerates assembly of amyloid-β-peptides into Alzheimer’s fibrils. </w:t>
      </w:r>
      <w:r>
        <w:rPr>
          <w:i/>
          <w:sz w:val="18"/>
          <w:szCs w:val="18"/>
        </w:rPr>
        <w:t>Neuron</w:t>
      </w:r>
      <w:r>
        <w:rPr>
          <w:sz w:val="18"/>
          <w:szCs w:val="18"/>
        </w:rPr>
        <w:t>. 1996;16:881–891. doi:10.1016/s0896-6273(00)80108-7.</w:t>
      </w:r>
    </w:p>
    <w:p>
      <w:pPr>
        <w:pStyle w:val="Reference"/>
        <w:ind w:left="360" w:hanging="360"/>
      </w:pPr>
      <w:r>
        <w:rPr>
          <w:sz w:val="18"/>
          <w:szCs w:val="18"/>
        </w:rPr>
        <w:t xml:space="preserve">13. Cheung J, Rudolph MJ, Burshteyn F, et al. Structures of human acetylcholinesterase in complex with pharmacologically important ligands. </w:t>
      </w:r>
      <w:r>
        <w:rPr>
          <w:i/>
          <w:sz w:val="18"/>
          <w:szCs w:val="18"/>
        </w:rPr>
        <w:t>J Med Chem</w:t>
      </w:r>
      <w:r>
        <w:rPr>
          <w:sz w:val="18"/>
          <w:szCs w:val="18"/>
        </w:rPr>
        <w:t>. 2012;55:10282–10286. doi:10.1021/jm300871x.</w:t>
      </w:r>
    </w:p>
    <w:p>
      <w:pPr>
        <w:pStyle w:val="Reference"/>
        <w:ind w:left="360" w:hanging="360"/>
      </w:pPr>
      <w:r>
        <w:rPr>
          <w:sz w:val="18"/>
          <w:szCs w:val="18"/>
        </w:rPr>
        <w:t xml:space="preserve">14. Bush AI. The metal theory of Alzheimer’s disease. </w:t>
      </w:r>
      <w:r>
        <w:rPr>
          <w:i/>
          <w:sz w:val="18"/>
          <w:szCs w:val="18"/>
        </w:rPr>
        <w:t>J Alzheimers Dis</w:t>
      </w:r>
      <w:r>
        <w:rPr>
          <w:sz w:val="18"/>
          <w:szCs w:val="18"/>
        </w:rPr>
        <w:t>. 2013;33 Suppl 1:S277–S281. doi:10.3233/JAD-2012-129011.</w:t>
      </w:r>
    </w:p>
    <w:p>
      <w:pPr>
        <w:pStyle w:val="Reference"/>
        <w:ind w:left="360" w:hanging="360"/>
      </w:pPr>
      <w:r>
        <w:rPr>
          <w:sz w:val="18"/>
          <w:szCs w:val="18"/>
        </w:rPr>
        <w:t xml:space="preserve">15. Larvin H, Gao C, Kang J, et al. The impact of study factors in the association of periodontal disease and cognitive disorders. </w:t>
      </w:r>
      <w:r>
        <w:rPr>
          <w:i/>
          <w:sz w:val="18"/>
          <w:szCs w:val="18"/>
        </w:rPr>
        <w:t>Age Ageing</w:t>
      </w:r>
      <w:r>
        <w:rPr>
          <w:sz w:val="18"/>
          <w:szCs w:val="18"/>
        </w:rPr>
        <w:t>. 2023;52:afad015. doi:10.1093/ageing/afad015.</w:t>
      </w:r>
    </w:p>
    <w:p>
      <w:pPr>
        <w:pStyle w:val="Reference"/>
        <w:ind w:left="360" w:hanging="360"/>
      </w:pPr>
      <w:r>
        <w:rPr>
          <w:sz w:val="18"/>
          <w:szCs w:val="18"/>
        </w:rPr>
        <w:t xml:space="preserve">16. Hu C, Li H, Huang L, et al. Periodontal disease and risk of Alzheimer’s disease: a two-sample Mendelian randomization. </w:t>
      </w:r>
      <w:r>
        <w:rPr>
          <w:i/>
          <w:sz w:val="18"/>
          <w:szCs w:val="18"/>
        </w:rPr>
        <w:t>Brain Behav</w:t>
      </w:r>
      <w:r>
        <w:rPr>
          <w:sz w:val="18"/>
          <w:szCs w:val="18"/>
        </w:rPr>
        <w:t>. 2024;14:e3486. doi:10.1002/brb3.3486.</w:t>
      </w:r>
    </w:p>
    <w:p>
      <w:pPr>
        <w:pStyle w:val="Reference"/>
        <w:ind w:left="360" w:hanging="360"/>
      </w:pPr>
      <w:r>
        <w:rPr>
          <w:sz w:val="18"/>
          <w:szCs w:val="18"/>
        </w:rPr>
        <w:t xml:space="preserve">17. Chalmers JC, Hernandez-Kapila YL. The role of the oral microbiome, host response, and periodontal disease treatment in Alzheimer’s disease: a primer. </w:t>
      </w:r>
      <w:r>
        <w:rPr>
          <w:i/>
          <w:sz w:val="18"/>
          <w:szCs w:val="18"/>
        </w:rPr>
        <w:t>Periodontol 2000</w:t>
      </w:r>
      <w:r>
        <w:rPr>
          <w:sz w:val="18"/>
          <w:szCs w:val="18"/>
        </w:rPr>
        <w:t>. 2025;98:220–227. doi:10.1111/prd.12631.</w:t>
      </w:r>
    </w:p>
    <w:p>
      <w:pPr>
        <w:pStyle w:val="Reference"/>
        <w:ind w:left="360" w:hanging="360"/>
      </w:pPr>
      <w:r>
        <w:rPr>
          <w:sz w:val="18"/>
          <w:szCs w:val="18"/>
        </w:rPr>
        <w:t xml:space="preserve">18. Trott O, Olson AJ. AutoDock Vina: improving the speed and accuracy of docking with a new scoring function. </w:t>
      </w:r>
      <w:r>
        <w:rPr>
          <w:i/>
          <w:sz w:val="18"/>
          <w:szCs w:val="18"/>
        </w:rPr>
        <w:t>J Comput Chem</w:t>
      </w:r>
      <w:r>
        <w:rPr>
          <w:sz w:val="18"/>
          <w:szCs w:val="18"/>
        </w:rPr>
        <w:t>. 2010;31:455–461. doi:10.1002/jcc.21334.</w:t>
      </w:r>
    </w:p>
    <w:p>
      <w:pPr>
        <w:pStyle w:val="Reference"/>
        <w:ind w:left="360" w:hanging="360"/>
      </w:pPr>
      <w:r>
        <w:rPr>
          <w:sz w:val="18"/>
          <w:szCs w:val="18"/>
        </w:rPr>
        <w:t xml:space="preserve">19. Eberhardt J, Santos-Martins D, Tillack AF, Forli S. AutoDock Vina 1.2.0: new docking methods, expanded force field, and Python bindings. </w:t>
      </w:r>
      <w:r>
        <w:rPr>
          <w:i/>
          <w:sz w:val="18"/>
          <w:szCs w:val="18"/>
        </w:rPr>
        <w:t>J Chem Inf Model</w:t>
      </w:r>
      <w:r>
        <w:rPr>
          <w:sz w:val="18"/>
          <w:szCs w:val="18"/>
        </w:rPr>
        <w:t>. 2021;61:3891–3898. doi:10.1021/acs.jcim.1c00203.</w:t>
      </w:r>
    </w:p>
    <w:p>
      <w:pPr>
        <w:pStyle w:val="Reference"/>
        <w:ind w:left="360" w:hanging="360"/>
      </w:pPr>
      <w:r>
        <w:rPr>
          <w:sz w:val="18"/>
          <w:szCs w:val="18"/>
        </w:rPr>
        <w:t xml:space="preserve">20. London N, Raveh B, Cohen E, et al. Rosetta FlexPepDock web server—high resolution modeling of peptide–protein interactions. </w:t>
      </w:r>
      <w:r>
        <w:rPr>
          <w:i/>
          <w:sz w:val="18"/>
          <w:szCs w:val="18"/>
        </w:rPr>
        <w:t>Nucleic Acids Res</w:t>
      </w:r>
      <w:r>
        <w:rPr>
          <w:sz w:val="18"/>
          <w:szCs w:val="18"/>
        </w:rPr>
        <w:t>. 2011;39:W249–W253. doi:10.1093/nar/gkr326.</w:t>
      </w:r>
    </w:p>
    <w:sectPr>
      <w:headerReference w:type="default" r:id="rId4"/>
      <w:footerReference w:type="default" r:id="rId5"/>
      <w:pgSz w:w="11906" w:h="16838"/>
      <w:pgMar w:top="1134" w:right="1134" w:bottom="1134" w:left="1134" w:header="600" w:footer="600" w:gutter="0"/>
      <w:cols w:space="720"/>
      <w:docGrid w:linePitch="312"/>
    </w:sectPr>
  </w:body>
</w:document>
</file>

<file path=word/fontTable.xml><?xml version="1.0" encoding="utf-8"?>
<w:fonts xmlns:w="http://schemas.openxmlformats.org/wordprocessingml/2006/main">
  <w:font w:name="Times New Roman"/>
  <w:font w:name="Arial"/>
  <w:font w:name="宋体"/>
  <w:font w:name="黑体"/>
  <w:font w:name="Consolas"/>
  <w:font w:name="等线"/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szCs w:val="18"/>
        <w:color w:val="60758A"/>
      </w:rPr>
      <w:t xml:space="preserve">Page </w:t>
    </w:r>
    <w:fldSimple w:instr="PAGE">
      <w:r>
        <w:rPr>
          <w:sz w:val="18"/>
          <w:color w:val="60758A"/>
        </w:rPr>
        <w:t>1</w:t>
      </w:r>
    </w:fldSimple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4" w:color="B7C9E2"/>
      </w:pBdr>
    </w:pPr>
    <w:r>
      <w:rPr>
        <w:sz w:val="17"/>
        <w:szCs w:val="17"/>
        <w:color w:val="60758A"/>
      </w:rPr>
      <w:t>Bilingual scientific-content draft | 中英文科学内容草案 | 2026-08-12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2"/>
        <w:szCs w:val="22"/>
        <w:lang w:val="en-US" w:eastAsia="zh-CN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  <w:qFormat/>
    <w:pPr>
      <w:widowControl/>
    </w:pPr>
  </w:style>
  <w:style w:type="paragraph" w:styleId="Heading1">
    <w:name w:val="heading 1"/>
    <w:basedOn w:val="Normal"/>
    <w:next w:val="Normal"/>
    <w:qFormat/>
    <w:pPr>
      <w:keepNext/>
      <w:keepLines/>
      <w:spacing w:before="240" w:after="180"/>
      <w:jc w:val="center"/>
      <w:outlineLvl w:val="0"/>
    </w:pPr>
    <w:rPr>
      <w:rFonts w:ascii="Arial" w:hAnsi="Arial" w:eastAsia="黑体"/>
      <w:b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40"/>
      <w:outlineLvl w:val="1"/>
    </w:pPr>
    <w:rPr>
      <w:rFonts w:ascii="Arial" w:hAnsi="Arial" w:eastAsia="黑体"/>
      <w:b/>
      <w:color w:val="17365D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before="220" w:after="100"/>
      <w:outlineLvl w:val="2"/>
    </w:pPr>
    <w:rPr>
      <w:rFonts w:ascii="Arial" w:hAnsi="Arial" w:eastAsia="黑体"/>
      <w:b/>
      <w:color w:val="2F5597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80" w:after="80"/>
      <w:outlineLvl w:val="3"/>
    </w:pPr>
    <w:rPr>
      <w:rFonts w:ascii="Arial" w:hAnsi="Arial" w:eastAsia="黑体"/>
      <w:b/>
      <w:color w:val="365F91"/>
      <w:sz w:val="23"/>
      <w:szCs w:val="23"/>
    </w:rPr>
  </w:style>
  <w:style w:type="paragraph" w:styleId="Note">
    <w:name w:val="Draft Note"/>
    <w:basedOn w:val="Normal"/>
    <w:pPr>
      <w:spacing w:after="80"/>
      <w:jc w:val="left"/>
    </w:pPr>
    <w:rPr>
      <w:color w:val="5B6573"/>
      <w:i/>
      <w:sz w:val="19"/>
      <w:szCs w:val="19"/>
    </w:rPr>
  </w:style>
  <w:style w:type="paragraph" w:styleId="Keywords">
    <w:name w:val="Keywords"/>
    <w:basedOn w:val="Normal"/>
    <w:pPr>
      <w:spacing w:after="160"/>
    </w:pPr>
    <w:rPr>
      <w:sz w:val="20"/>
      <w:szCs w:val="20"/>
    </w:rPr>
  </w:style>
  <w:style w:type="paragraph" w:styleId="Caption">
    <w:name w:val="Caption"/>
    <w:basedOn w:val="Normal"/>
    <w:pPr>
      <w:keepNext/>
      <w:spacing w:before="60" w:after="120"/>
      <w:jc w:val="left"/>
    </w:pPr>
    <w:rPr>
      <w:i/>
      <w:sz w:val="18"/>
      <w:szCs w:val="18"/>
    </w:rPr>
  </w:style>
  <w:style w:type="paragraph" w:styleId="Figure">
    <w:name w:val="Figure"/>
    <w:basedOn w:val="Normal"/>
    <w:pPr>
      <w:spacing w:before="120" w:after="60"/>
      <w:jc w:val="center"/>
    </w:pPr>
  </w:style>
  <w:style w:type="paragraph" w:styleId="Reference">
    <w:name w:val="Reference"/>
    <w:basedOn w:val="Normal"/>
    <w:pPr>
      <w:spacing w:after="60" w:line="220" w:lineRule="auto"/>
      <w:jc w:val="left"/>
    </w:pPr>
    <w:rPr>
      <w:sz w:val="18"/>
      <w:szCs w:val="18"/>
    </w:rPr>
  </w:style>
  <w:style w:type="paragraph" w:styleId="ListParagraph">
    <w:name w:val="List Paragraph"/>
    <w:basedOn w:val="Normal"/>
    <w:pPr>
      <w:spacing w:after="60"/>
    </w:pPr>
  </w:style>
  <w:style w:type="paragraph" w:styleId="TableText">
    <w:name w:val="Table Text"/>
    <w:basedOn w:val="Normal"/>
    <w:pPr>
      <w:spacing w:after="0"/>
      <w:jc w:val="left"/>
    </w:pPr>
    <w:rPr>
      <w:sz w:val="17"/>
      <w:szCs w:val="17"/>
    </w:rPr>
  </w:style>
  <w:style w:type="table" w:styleId="TableGrid">
    <w:name w:val="Table Grid"/>
    <w:tblPr>
      <w:tblBorders>
        <w:top w:val="single" w:sz="4" w:color="9AA6B2"/>
        <w:left w:val="single" w:sz="4" w:color="9AA6B2"/>
        <w:bottom w:val="single" w:sz="4" w:color="9AA6B2"/>
        <w:right w:val="single" w:sz="4" w:color="9AA6B2"/>
        <w:insideH w:val="single" w:sz="4" w:color="9AA6B2"/>
        <w:insideV w:val="single" w:sz="4" w:color="9AA6B2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10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Dependency-free OOXML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口腔微肽优选阶段性研究简稿</dc:title>
  <dc:subject>Original research scientific-content draft</dc:subject>
  <dc:creator>Accountable authors to be supplied</dc:creator>
  <cp:lastModifiedBy>Arena.ai drafting workflow</cp:lastModifiedBy>
  <dcterms:created xsi:type="dcterms:W3CDTF">2026-08-14T07:16:08Z</dcterms:created>
  <dcterms:modified xsi:type="dcterms:W3CDTF">2026-08-14T07:16:08Z</dcterms:modified>
</cp:coreProperties>
</file>