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Supplementary Tables / 补充表</w:t>
      </w:r>
    </w:p>
    <w:p>
      <w:pPr>
        <w:pStyle w:val="Normal"/>
      </w:pPr>
      <w:r>
        <w:rPr>
          <w:b/>
        </w:rPr>
        <w:t>Manuscript / 对应稿件:</w:t>
      </w:r>
      <w:r>
        <w:t xml:space="preserve"> Provenance-Aware Multi-Model Prioritization of Periodontitis-Cohort Oral Micropeptides… / 基于来源边界的牙周炎队列口腔微肽多模型优选……</w:t>
      </w:r>
    </w:p>
    <w:p>
      <w:pPr>
        <w:pStyle w:val="Normal"/>
      </w:pPr>
      <w:r>
        <w:rPr>
          <w:b/>
        </w:rPr>
        <w:t>Interpretation boundary / 解释边界:</w:t>
      </w:r>
      <w:r>
        <w:t xml:space="preserve"> Values are aggregate UniDL4BioPep model outputs transcribed from the principal source record. Percentages use the stated branch backgrounds. Candidate counts are computational accounting units, not independent biological replicates; no inferential between-group comparison is valid from these aggregates. / 数值为从主证据记录转录的 UniDL4BioPep 聚合模型输出，百分比使用记录中的分支背景。候选计数是计算记账单位，并非相互独立的生物学重复；不能基于这些聚合值进行有效的组间推断比较。</w:t>
      </w:r>
    </w:p>
    <w:p>
      <w:pPr>
        <w:pStyle w:val="Heading2"/>
        <w:keepNext/>
      </w:pPr>
      <w:r>
        <w:t>Supplementary Table S1 / 补充表 S1. Long branch multi-activity outputs at model score ≥0.80 / 长肽分支模型输出≥0.80的多活性结果</w:t>
      </w:r>
    </w:p>
    <w:p>
      <w:pPr>
        <w:pStyle w:val="Normal"/>
      </w:pPr>
      <w:r>
        <w:t>Backgrounds / 统计背景: Healthy / 健康 n=953; Periodontitis / 牙周炎 n=1,032.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Model / 模型类别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n / 健康 n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% / 健康 %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n / 牙周炎 n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% / 牙周炎 %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ACP_Anticancer_alt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9.55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11.72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BBB_Peptides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4.20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6.98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Quorum_sensing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173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18.15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18.41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Antimicrobial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206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21.62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238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23.06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Antibacterial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11.65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14.83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Anti-MRSA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4.93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6.01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CPP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1.57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2.81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Antifungal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7.66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9.30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Toxicity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1.74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Umami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1.78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1.45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Antimalarial_alt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1.26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1.36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TTCA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Antioxidant_FRS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4.51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3.97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DPPIV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Antimalarial_main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Anti-parasitic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30.22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27.13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NeuroPred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8.60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7.46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ACP_Anticancer_main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3.88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3.00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ACE_inhibitory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2.10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1.36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Allergenicity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1.68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1.07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Antiviral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5.77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5.04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Bitter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66.63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641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62.11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Supplementary Table S2 / 补充表 S2. Short branch multi-activity outputs at model score ≥0.80 / 短肽分支模型输出≥0.80的多活性结果</w:t>
      </w:r>
    </w:p>
    <w:p>
      <w:pPr>
        <w:pStyle w:val="Normal"/>
      </w:pPr>
      <w:r>
        <w:t>Backgrounds / 统计背景: Healthy / 健康 n=30,557; Periodontitis / 牙周炎 n=32,754.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Model / 模型类别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n / 健康 n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% / 健康 %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n / 牙周炎 n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% / 牙周炎 %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ACE_inhibitory_activity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2,781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9.10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2,856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8.72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TTCA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9,123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29.86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9,161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27.97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BBB_Peptides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3,359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10.99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3,446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10.52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APP_Anti-parasitic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21,185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69.33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22,010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67.20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NeuroPred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3,876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12.68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4,019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12.27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Antibacterial_AB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9,269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30.33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9,273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28.31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Antifungal_AF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8,732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28.58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8,475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25.87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AV_Antiviral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7,501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24.55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7,221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22.05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Toxicity_2021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2,770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9.07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2,751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8.40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Antioxidant_FRS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4,171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13.65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4,093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12.50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Allergenicity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8,599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28.14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9,422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28.77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DPPIV_inhibitory_activity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207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0.68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266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0.81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CPP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4,435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14.51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4,133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12.62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Bitter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5,037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16.48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4,986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15.22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Umami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6,095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19.95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6,094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18.61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Antimicrobial_activity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30,537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99.93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32,721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99.90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Antimalarial_alt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1,724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5.64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1,695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5.17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Antimalarial_main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6,496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21.26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6,586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20.11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Quorum_sensing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11,834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38.73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12,674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38.69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ACP_Anticancer_alt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7,878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25.78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8,380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25.58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ACP_Anticancer_main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11,370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37.21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12,023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36.71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Anti-MRSA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4,315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14.12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4,728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14.43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Supplementary Table S3 / 补充表 S3. Descriptive arithmetic audit / 描述性算术复核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Quantity / 指标</w:t>
            </w:r>
          </w:p>
        </w:tc>
        <w:tc>
          <w:tcPr>
            <w:tcW w:w="312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Calculation / 计算</w:t>
            </w:r>
          </w:p>
        </w:tc>
        <w:tc>
          <w:tcPr>
            <w:tcW w:w="312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Result / 结果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evidence-filter retention / 健康证据过滤保留率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31,510 / 11,269,961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0.2796%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evidence-filter retention / 牙周炎证据过滤保留率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33,786 / 11,721,988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0.2882%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BBB-high short share / 牙周炎 BBB 高分集合短肽占比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3,446 / 3,518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97.95%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BBB-high long share / 牙周炎 BBB 高分集合长肽占比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72 / 3,518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2.05%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NTxPred2 not evaluated / NTxPred2 未评价占比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219 / 3,518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6.23%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NTxPred2 positive among evaluated / 已评价中的 NTxPred2 阳性率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923 / 3,299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27.98%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CHEL≥0.25 among reported metal-binding positives / 报告金属结合阳性中 CHEL≥0.25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 / 111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13.51%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Main set among reported metal-binding positives / 报告金属结合阳性中主集合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 / 111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10.81%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Stricter subset among reported metal-binding positives / 报告金属结合阳性中严格子集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 / 111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7.21%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Supplementary Table S4 / 补充表 S4. External-v0.4 sequence and composition audit / 外部v0.4序列与组成审计</w:t>
      </w:r>
    </w:p>
    <w:p>
      <w:pPr>
        <w:pStyle w:val="Normal"/>
      </w:pPr>
      <w:r>
        <w:rPr>
          <w:b/>
        </w:rPr>
        <w:t>Provenance / 来源：</w:t>
      </w:r>
      <w:r>
        <w:t xml:space="preserve"> The sequence strings were transcribed from the user-designated external repository at commit </w:t>
      </w:r>
      <w:r>
        <w:rPr>
          <w:rFonts w:ascii="Consolas" w:hAnsi="Consolas" w:eastAsia="等线"/>
          <w:shd w:val="clear" w:color="auto" w:fill="F2F4F7"/>
        </w:rPr>
        <w:t>e28c06db0614512eeb2bca217d2f9a760e804051</w:t>
      </w:r>
      <w:r>
        <w:t>. Composition was independently recalculated; linkage to principal-source rows was unavailable. / 序列字符串转录自用户指定外部仓库提交；组成由本研究独立重算，但缺少与主要来源逐行数据的链路。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Sequence / 序列</w:t>
            </w:r>
          </w:p>
        </w:tc>
        <w:tc>
          <w:tcPr>
            <w:tcW w:w="156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Length / 长度</w:t>
            </w:r>
          </w:p>
        </w:tc>
        <w:tc>
          <w:tcPr>
            <w:tcW w:w="156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His</w:t>
            </w:r>
          </w:p>
        </w:tc>
        <w:tc>
          <w:tcPr>
            <w:tcW w:w="156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Cys</w:t>
            </w:r>
          </w:p>
        </w:tc>
        <w:tc>
          <w:tcPr>
            <w:tcW w:w="156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Arg+Lys</w:t>
            </w:r>
          </w:p>
        </w:tc>
        <w:tc>
          <w:tcPr>
            <w:tcW w:w="156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Phe+Tyr+Trp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b/>
                <w:sz w:val="17"/>
                <w:szCs w:val="17"/>
              </w:rPr>
              <w:t>Set summary / 集合汇总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b/>
                <w:sz w:val="17"/>
                <w:szCs w:val="17"/>
              </w:rPr>
              <w:t>7–9 aa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b/>
                <w:sz w:val="17"/>
                <w:szCs w:val="17"/>
              </w:rPr>
              <w:t>11/12 contain H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b/>
                <w:sz w:val="17"/>
                <w:szCs w:val="17"/>
              </w:rPr>
              <w:t>6/12 contain 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b/>
                <w:sz w:val="17"/>
                <w:szCs w:val="17"/>
              </w:rPr>
              <w:t>12/12 contain R/K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b/>
                <w:sz w:val="17"/>
                <w:szCs w:val="17"/>
              </w:rPr>
              <w:t>4/12 contain F/Y/W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Supplementary Table S5 / 补充表 S5. External-v0.4 Vina summary audit / 外部v0.4 Vina汇总审计</w:t>
      </w:r>
    </w:p>
    <w:p>
      <w:pPr>
        <w:pStyle w:val="Normal"/>
      </w:pPr>
      <w:r>
        <w:rPr>
          <w:b/>
        </w:rPr>
        <w:t>Reporting boundary / 报告边界：</w:t>
      </w:r>
      <w:r>
        <w:t xml:space="preserve"> These are source-reported means±SD; prepared structures, exact grid centre, configurations, seeds, raw scores, logs and poses were unavailable. The audit verifies transcription, uniqueness, ordering and numeric ranges, not docking reproduction. / 以下为来源报告均值±SD；缺少制备结构、精确网格中心、配置、种子、原始分数、日志和构象。审计仅核验转录、唯一性、排序和数值范围，不构成对接复现。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Rank / 排名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Sequence / 序列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Mean kcal/mol / 均值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SD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Reproduced? / 是否复现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FLLHTTR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−9.60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YLSLLQR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ALLLHRC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−9.29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FCLHLQLR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−9.27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YHHLLCRR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−9.03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LLHLPKRTT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−9.01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LLHPLRL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−8.94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WLLVHLKK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−8.94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LLHPLRC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−8.91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HLLTLKKHV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−8.88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HLPLLHRCC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HVLLLRQCA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−8.25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/ 否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Supplementary Table S6 / 补充表 S6. Evidence-tier and missingness matrix / 证据层级与缺失矩阵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Item / 项目</w:t>
            </w:r>
          </w:p>
        </w:tc>
        <w:tc>
          <w:tcPr>
            <w:tcW w:w="234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Available evidence / 可用证据</w:t>
            </w:r>
          </w:p>
        </w:tc>
        <w:tc>
          <w:tcPr>
            <w:tcW w:w="234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Current status / 当前状态</w:t>
            </w:r>
          </w:p>
        </w:tc>
        <w:tc>
          <w:tcPr>
            <w:tcW w:w="234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Claim boundary / 陈述边界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Aggregate funnel / 汇总漏斗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Principal source counts / 主要来源计数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Arithmetic audited / 算术已审计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Descriptive retention only / 仅描述保留率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Twelve identities / 12条身份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External v0.4 strings / 外部字符串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Composition audited / 组成已审计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Principal-row linkage unresolved / 主要来源行链路未解决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Strict 8-of-12 subset / 严格8/12子集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Count only / 仅计数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Membership absent / 成员缺失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Cannot name strict candidates / 不能指定严格候选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Docking scores / 对接分数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External mean±SD / 外部均值±SD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Transcription audited / 转录已审计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Not reproduced; not affinity / 未复现且非亲和力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Docking contacts / 对接接触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Narrative only / 仅叙述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Unauditable / 不可审计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residue-level result / 无残基层面结果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Molecular dynamics / 分子动力学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Attempt narrative / 尝试叙述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artefacts / 无产物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Excluded from Results / 排除于结果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Translation/expression / 翻译与表达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row-level evidence / 无逐行证据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Untested / 未测试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current-cohort expression claim / 不声称当前队列表达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BBB, toxicity, metal chemistry / BBB、毒性、金属化学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Predictor labels only / 仅预测标签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Untested experimentally / 未实验测试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exposure, toxicity or mechanism claim / 不声称暴露、毒性或机制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Disease relevance / 疾病相关性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Literature context only / 仅文献背景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Untested / 未测试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No disease specificity or causality / 不声称疾病特异或因果</w:t>
            </w:r>
          </w:p>
        </w:tc>
      </w:tr>
    </w:tbl>
    <w:p>
      <w:pPr>
        <w:spacing w:after="40"/>
      </w:pPr>
    </w:p>
    <w:sectPr>
      <w:headerReference w:type="default" r:id="rId4"/>
      <w:footerReference w:type="default" r:id="rId5"/>
      <w:pgSz w:w="11906" w:h="16838"/>
      <w:pgMar w:top="1134" w:right="1134" w:bottom="1134" w:left="1134" w:header="600" w:footer="600" w:gutter="0"/>
      <w:cols w:space="720"/>
      <w:docGrid w:linePitch="312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szCs w:val="18"/>
        <w:color w:val="60758A"/>
      </w:rPr>
      <w:t xml:space="preserve">Page </w:t>
    </w:r>
    <w:fldSimple w:instr="PAGE">
      <w:r>
        <w:rPr>
          <w:sz w:val="18"/>
          <w:color w:val="60758A"/>
        </w:rP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B7C9E2"/>
      </w:pBdr>
    </w:pPr>
    <w:r>
      <w:rPr>
        <w:sz w:val="17"/>
        <w:szCs w:val="17"/>
        <w:color w:val="60758A"/>
      </w:rPr>
      <w:t>Bilingual scientific-content draft | 中英文科学内容草案 | 2026-08-12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2"/>
        <w:szCs w:val="22"/>
        <w:lang w:val="en-US" w:eastAsia="zh-CN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  <w:pPr>
      <w:widowControl/>
    </w:pPr>
  </w:style>
  <w:style w:type="paragraph" w:styleId="Heading1">
    <w:name w:val="heading 1"/>
    <w:basedOn w:val="Normal"/>
    <w:next w:val="Normal"/>
    <w:qFormat/>
    <w:pPr>
      <w:keepNext/>
      <w:keepLines/>
      <w:spacing w:before="240" w:after="180"/>
      <w:jc w:val="center"/>
      <w:outlineLvl w:val="0"/>
    </w:pPr>
    <w:rPr>
      <w:rFonts w:ascii="Arial" w:hAnsi="Arial" w:eastAsia="黑体"/>
      <w:b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  <w:outlineLvl w:val="1"/>
    </w:pPr>
    <w:rPr>
      <w:rFonts w:ascii="Arial" w:hAnsi="Arial" w:eastAsia="黑体"/>
      <w:b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before="220" w:after="100"/>
      <w:outlineLvl w:val="2"/>
    </w:pPr>
    <w:rPr>
      <w:rFonts w:ascii="Arial" w:hAnsi="Arial" w:eastAsia="黑体"/>
      <w:b/>
      <w:color w:val="2F5597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80" w:after="80"/>
      <w:outlineLvl w:val="3"/>
    </w:pPr>
    <w:rPr>
      <w:rFonts w:ascii="Arial" w:hAnsi="Arial" w:eastAsia="黑体"/>
      <w:b/>
      <w:color w:val="365F91"/>
      <w:sz w:val="23"/>
      <w:szCs w:val="23"/>
    </w:rPr>
  </w:style>
  <w:style w:type="paragraph" w:styleId="Note">
    <w:name w:val="Draft Note"/>
    <w:basedOn w:val="Normal"/>
    <w:pPr>
      <w:spacing w:after="80"/>
      <w:jc w:val="left"/>
    </w:pPr>
    <w:rPr>
      <w:color w:val="5B6573"/>
      <w:i/>
      <w:sz w:val="19"/>
      <w:szCs w:val="19"/>
    </w:rPr>
  </w:style>
  <w:style w:type="paragraph" w:styleId="Keywords">
    <w:name w:val="Keywords"/>
    <w:basedOn w:val="Normal"/>
    <w:pPr>
      <w:spacing w:after="160"/>
    </w:pPr>
    <w:rPr>
      <w:sz w:val="20"/>
      <w:szCs w:val="20"/>
    </w:rPr>
  </w:style>
  <w:style w:type="paragraph" w:styleId="Caption">
    <w:name w:val="Caption"/>
    <w:basedOn w:val="Normal"/>
    <w:pPr>
      <w:keepNext/>
      <w:spacing w:before="60" w:after="120"/>
      <w:jc w:val="left"/>
    </w:pPr>
    <w:rPr>
      <w:i/>
      <w:sz w:val="18"/>
      <w:szCs w:val="18"/>
    </w:rPr>
  </w:style>
  <w:style w:type="paragraph" w:styleId="Figure">
    <w:name w:val="Figure"/>
    <w:basedOn w:val="Normal"/>
    <w:pPr>
      <w:spacing w:before="120" w:after="60"/>
      <w:jc w:val="center"/>
    </w:pPr>
  </w:style>
  <w:style w:type="paragraph" w:styleId="Reference">
    <w:name w:val="Reference"/>
    <w:basedOn w:val="Normal"/>
    <w:pPr>
      <w:spacing w:after="60" w:line="220" w:lineRule="auto"/>
      <w:jc w:val="left"/>
    </w:pPr>
    <w:rPr>
      <w:sz w:val="18"/>
      <w:szCs w:val="18"/>
    </w:rPr>
  </w:style>
  <w:style w:type="paragraph" w:styleId="ListParagraph">
    <w:name w:val="List Paragraph"/>
    <w:basedOn w:val="Normal"/>
    <w:pPr>
      <w:spacing w:after="60"/>
    </w:pPr>
  </w:style>
  <w:style w:type="paragraph" w:styleId="TableText">
    <w:name w:val="Table Text"/>
    <w:basedOn w:val="Normal"/>
    <w:pPr>
      <w:spacing w:after="0"/>
      <w:jc w:val="left"/>
    </w:pPr>
    <w:rPr>
      <w:sz w:val="17"/>
      <w:szCs w:val="17"/>
    </w:rPr>
  </w:style>
  <w:style w:type="table" w:styleId="TableGrid">
    <w:name w:val="Table Grid"/>
    <w:tblPr>
      <w:tblBorders>
        <w:top w:val="single" w:sz="4" w:color="9AA6B2"/>
        <w:left w:val="single" w:sz="4" w:color="9AA6B2"/>
        <w:bottom w:val="single" w:sz="4" w:color="9AA6B2"/>
        <w:right w:val="single" w:sz="4" w:color="9AA6B2"/>
        <w:insideH w:val="single" w:sz="4" w:color="9AA6B2"/>
        <w:insideV w:val="single" w:sz="4" w:color="9AA6B2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Bilingual supplementary tables / 中英文补充表</dc:title>
  <dc:subject>Original research scientific-content draft</dc:subject>
  <dc:creator>Accountable authors to be supplied</dc:creator>
  <cp:lastModifiedBy>Arena.ai drafting workflow</cp:lastModifiedBy>
  <dcterms:created xsi:type="dcterms:W3CDTF">2026-08-12T07:27:11Z</dcterms:created>
  <dcterms:modified xsi:type="dcterms:W3CDTF">2026-08-12T07:27:11Z</dcterms:modified>
</cp:coreProperties>
</file>