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color w:val="1F3A5F"/>
          <w:sz w:val="32"/>
        </w:rPr>
        <w:t>牙龈卟啉单胞菌宏基因组筛选肽与阿尔茨海默病关联研究综述：金属离子络合、促氧化与神经毒性机制</w:t>
      </w:r>
    </w:p>
    <w:p>
      <w:pPr>
        <w:jc w:val="center"/>
      </w:pPr>
      <w:r>
        <w:rPr>
          <w:rFonts w:ascii="Times New Roman" w:hAnsi="Times New Roman" w:eastAsia="黑体"/>
          <w:i/>
          <w:color w:val="555555"/>
          <w:sz w:val="24"/>
        </w:rPr>
        <w:t>Review: Metagenomics-Screened Peptides from Porphyromonas gingivalis in Alzheimer's Disease — Metal Chelation, Pro-oxidation, and Neurotoxicity</w:t>
      </w:r>
    </w:p>
    <w:p/>
    <w:p>
      <w:r>
        <w:rPr>
          <w:rFonts w:ascii="Times New Roman" w:hAnsi="Times New Roman" w:eastAsia="黑体"/>
          <w:b/>
          <w:sz w:val="22"/>
        </w:rPr>
        <w:t>【摘要】</w:t>
      </w:r>
      <w:r>
        <w:rPr>
          <w:rFonts w:ascii="Times New Roman" w:hAnsi="Times New Roman" w:eastAsia="宋体"/>
          <w:sz w:val="22"/>
        </w:rPr>
        <w:t>近年来，感染假说（Infection Hypothesis）为阿尔茨海默病（Alzheimer's disease, AD）的病因学研究提供了全新视角，其中牙龈卟啉单胞菌（Porphyromonas gingivalis, Pg）作为慢性牙周炎的关键致病菌，被认为是推动AD病理进程的重要外周微生物因子。随着宏基因组学（metagenomics）与生物信息学技术的飞速发展，研究者得以从牙周微生物群落中系统筛选、鉴定出一批由Pg分泌（特别是经gingipain蛋白酶剪切宿主蛋白产生或由细菌自身编码）的多肽分子。这些肽段在结构上富含组氨酸（His）、半胱氨酸（Cys）、天冬氨酸/谷氨酸（Asp/Glu）及酪氨酸（Tyr）等金属结合残基，可高效络合Cu²⁺、Fe²⁺/Fe³⁺、Zn²⁺等脑内关键过渡金属离子；在金属离子存在下通过Fenton/Haber–Weiss反应促进活性氧（ROS）生成，诱导脂质过氧化、蛋白氧化与DNA损伤；最终跨越血脑屏障（BBB）或经三叉神经通路入脑，通过激活小胶质细胞、促进Aβ聚集与tau过度磷酸化、破坏突触功能等途径引发神经毒性。本综述围绕“宏基因组筛选→金属络合肽识别→促氧化应激→神经退行”这一致病链条，系统梳理近年来的研究进展，讨论现有研究的不足与未来方向，并展望基于金属螯合与抗氧化策略的AD预防/治疗思路。</w:t>
      </w:r>
    </w:p>
    <w:p>
      <w:r>
        <w:rPr>
          <w:rFonts w:ascii="Times New Roman" w:hAnsi="Times New Roman" w:eastAsia="黑体"/>
          <w:b/>
        </w:rPr>
        <w:t>【关键词】</w:t>
      </w:r>
      <w:r>
        <w:rPr>
          <w:rFonts w:ascii="Times New Roman" w:hAnsi="Times New Roman" w:eastAsia="宋体"/>
        </w:rPr>
        <w:t>牙龈卟啉单胞菌；阿尔茨海默病；宏基因组学；多肽；金属离子络合；氧化应激；神经毒性；gingipain</w:t>
      </w:r>
    </w:p>
    <w:p/>
    <w:p>
      <w:pPr>
        <w:pStyle w:val="Heading1"/>
      </w:pPr>
      <w:r>
        <w:rPr>
          <w:rFonts w:ascii="Times New Roman" w:hAnsi="Times New Roman" w:eastAsia="黑体"/>
          <w:color w:val="1F3A5F"/>
        </w:rPr>
        <w:t>1 引言</w:t>
      </w:r>
    </w:p>
    <w:p>
      <w:pPr>
        <w:spacing w:line="360" w:lineRule="auto"/>
        <w:ind w:firstLine="440"/>
      </w:pPr>
      <w:r>
        <w:rPr>
          <w:rFonts w:ascii="Times New Roman" w:hAnsi="Times New Roman" w:eastAsia="宋体"/>
          <w:sz w:val="22"/>
        </w:rPr>
        <w:t>阿尔茨海默病（AD）是最常见的神经退行性疾病，以细胞外β-淀粉样蛋白（Aβ）斑块沉积、细胞内神经原纤维缠结（NFTs，由过度磷酸化tau蛋白构成）、突触丢失与进行性认知衰退为主要病理特征。经典的淀粉样蛋白级联假说虽长期主导研究，但靶向Aβ的临床试验屡屡受挫，提示AD病因远较单一蛋白病变复杂，微生物感染、慢性炎症、金属离子稳态失衡等因素日益受到重视。</w:t>
      </w:r>
    </w:p>
    <w:p>
      <w:pPr>
        <w:spacing w:line="360" w:lineRule="auto"/>
        <w:ind w:firstLine="440"/>
      </w:pPr>
      <w:r>
        <w:rPr>
          <w:rFonts w:ascii="Times New Roman" w:hAnsi="Times New Roman" w:eastAsia="宋体"/>
          <w:sz w:val="22"/>
        </w:rPr>
        <w:t>牙周病是累及全球近半数成年人的慢性感染性疾病，牙龈卟啉单胞菌（Pg）是其公认的“关键病原菌”（keystone pathogen）。2019年Dominy等在Science Advances发表的里程碑研究证实，AD患者脑组织与脑脊液中存在Pg DNA及其毒力蛋白酶gingipains，且gingipains水平与tau、泛素病理负荷正相关；口服Pg感染小鼠可导致脑内Pg定植与Aβ₄₂升高，而gingipain抑制剂COR388可减轻神经病理改变。这一发现将口腔感染与中枢神经退行性疾病紧密联系起来。</w:t>
      </w:r>
    </w:p>
    <w:p>
      <w:pPr>
        <w:spacing w:line="360" w:lineRule="auto"/>
        <w:ind w:firstLine="440"/>
      </w:pPr>
      <w:r>
        <w:rPr>
          <w:rFonts w:ascii="Times New Roman" w:hAnsi="Times New Roman" w:eastAsia="宋体"/>
          <w:sz w:val="22"/>
        </w:rPr>
        <w:t>宏基因组学（metagenomics）通过对微生物群落全部基因组DNA进行高通量测序与功能注释，能够不依赖培养直接鉴定致病菌及其毒力因子编码基因。结合多肽组学（peptidomics）、结构生物信息学（金属结合位点预测）与体外/体内功能验证，研究者已从Pg相关宏基因组数据中筛选出一批具有潜在神经毒性的肽段。这些肽段不同于传统的LPS、菌毛或gingipain全酶，其分子量小、易穿越生物屏障，且因富含金属配位残基而表现出独特的金属离子络合、氧化还原催化与神经毒性活性，正成为连接“感染假说”与“金属离子假说”（Metal Hypothesis of AD）的关键分子节点。</w:t>
      </w:r>
    </w:p>
    <w:p>
      <w:pPr>
        <w:pStyle w:val="Heading1"/>
      </w:pPr>
      <w:r>
        <w:rPr>
          <w:rFonts w:ascii="Times New Roman" w:hAnsi="Times New Roman" w:eastAsia="黑体"/>
          <w:color w:val="1F3A5F"/>
        </w:rPr>
        <w:t>2 Pg致病毒力因子概述与宏基因组筛选策略</w:t>
      </w:r>
    </w:p>
    <w:p>
      <w:pPr>
        <w:pStyle w:val="Heading2"/>
      </w:pPr>
      <w:r>
        <w:rPr>
          <w:rFonts w:ascii="Times New Roman" w:hAnsi="Times New Roman" w:eastAsia="黑体"/>
          <w:color w:val="2E5C8A"/>
        </w:rPr>
        <w:t>2.1 Pg主要毒力因子</w:t>
      </w:r>
    </w:p>
    <w:p>
      <w:pPr>
        <w:spacing w:line="360" w:lineRule="auto"/>
        <w:ind w:firstLine="440"/>
      </w:pPr>
      <w:r>
        <w:rPr>
          <w:rFonts w:ascii="Times New Roman" w:hAnsi="Times New Roman" w:eastAsia="宋体"/>
          <w:sz w:val="22"/>
        </w:rPr>
        <w:t>Pg是革兰阴性厌氧杆菌，其毒力系统主要包括：①外膜囊泡（OMVs）：直径50–250 nm，负载大量gingipain、LPS与菌毛蛋白，可穿越完整黏膜并经血液/淋巴/神经通路播散至脑；②Gingipains：包括精氨酸特异性的RgpA、RgpB与赖氨酸特异性的Kgp，是Pg最主要的半胱氨酸蛋白酶，位于OMV表面的数量是菌体表面的3–5倍；③菌毛（FimA、Mfa1）：介导黏附、入侵与免疫逃逸；④LPS：通过TLR2/4激活小胶质细胞，诱导神经炎症。</w:t>
      </w:r>
    </w:p>
    <w:p>
      <w:pPr>
        <w:pStyle w:val="Heading2"/>
      </w:pPr>
      <w:r>
        <w:rPr>
          <w:rFonts w:ascii="Times New Roman" w:hAnsi="Times New Roman" w:eastAsia="黑体"/>
          <w:color w:val="2E5C8A"/>
        </w:rPr>
        <w:t>2.2 宏基因组筛选神经毒性肽的技术路线</w:t>
      </w:r>
    </w:p>
    <w:p>
      <w:pPr>
        <w:spacing w:line="360" w:lineRule="auto"/>
        <w:ind w:firstLine="440"/>
      </w:pPr>
      <w:r>
        <w:rPr>
          <w:rFonts w:ascii="Times New Roman" w:hAnsi="Times New Roman" w:eastAsia="宋体"/>
          <w:sz w:val="22"/>
        </w:rPr>
        <w:t>典型筛选流程包含以下步骤：(1) 样本采集：收集慢性牙周炎患者龈下菌斑、唾液及脑脊液样本；(2) 宏基因组测序：Illumina/Nanopore平台进行深度测序，经Kraken2、MetaPhlAn3等工具进行物种分类，用HUMAnN3、eggNOG、KEGG进行功能注释；(3) 毒力肽预测：利用BLASTp、antiSMASH、BAGEL4识别细菌素、分泌肽与gingipain剪切产物，结合信号肽预测（SignalP）、分泌蛋白预测（SecretomeP）筛选可分泌肽；(4) 金属结合位点预测：通过MetalDetector、ZincFinder、MIB2等工具识别His-Xₙ-His、Cys-X₂-Cys、ATCUN（N端XXH）等金属结合基序；(5) Aβ/tau聚集与神经毒性预测：采用TANGO、PASTA 2.0、AmyloFit、分子动力学（MD）模拟评估聚集倾向；(6) 体外合成与功能验证：固相合成候选肽，通过金属螯合滴定（ITC、ESI-MS、UV-Vis）、ROS检测（DCFH-DA）、细胞毒性实验（SH-SY5Y、原代神经元、BV2小胶质细胞）与动物模型（Pg口服感染小鼠）验证活性。</w:t>
      </w:r>
    </w:p>
    <w:p>
      <w:pPr>
        <w:pStyle w:val="Heading1"/>
      </w:pPr>
      <w:r>
        <w:rPr>
          <w:rFonts w:ascii="Times New Roman" w:hAnsi="Times New Roman" w:eastAsia="黑体"/>
          <w:color w:val="1F3A5F"/>
        </w:rPr>
        <w:t>3 金属离子络合机制</w:t>
      </w:r>
    </w:p>
    <w:p>
      <w:pPr>
        <w:pStyle w:val="Heading2"/>
      </w:pPr>
      <w:r>
        <w:rPr>
          <w:rFonts w:ascii="Times New Roman" w:hAnsi="Times New Roman" w:eastAsia="黑体"/>
          <w:color w:val="2E5C8A"/>
        </w:rPr>
        <w:t>3.1 脑内金属离子稳态与AD</w:t>
      </w:r>
    </w:p>
    <w:p>
      <w:pPr>
        <w:spacing w:line="360" w:lineRule="auto"/>
        <w:ind w:firstLine="440"/>
      </w:pPr>
      <w:r>
        <w:rPr>
          <w:rFonts w:ascii="Times New Roman" w:hAnsi="Times New Roman" w:eastAsia="宋体"/>
          <w:sz w:val="22"/>
        </w:rPr>
        <w:t>Cu、Fe、Zn是脑内含量最高的过渡金属，参与神经递质合成、线粒体呼吸、抗氧化防御等关键生理过程。AD患者新皮层与Aβ斑块中Cu、Fe、Zn浓度较同龄对照升高3–5倍（Lovell等, 1998），金属稳态失衡可促进Aβ聚集、tau磷酸化与氧化损伤。Pg长期被认为是铁营养缺陷型菌，其gingipain-hemagglutinin复合体与HmuY、HemR等血红素摄取系统专门用于从宿主血红蛋白、乳铁蛋白中掠夺铁。</w:t>
      </w:r>
    </w:p>
    <w:p>
      <w:pPr>
        <w:pStyle w:val="Heading2"/>
      </w:pPr>
      <w:r>
        <w:rPr>
          <w:rFonts w:ascii="Times New Roman" w:hAnsi="Times New Roman" w:eastAsia="黑体"/>
          <w:color w:val="2E5C8A"/>
        </w:rPr>
        <w:t>3.2 Pg肽段的金属配位化学</w:t>
      </w:r>
    </w:p>
    <w:p>
      <w:pPr>
        <w:spacing w:line="360" w:lineRule="auto"/>
        <w:ind w:firstLine="440"/>
      </w:pPr>
      <w:r>
        <w:rPr>
          <w:rFonts w:ascii="Times New Roman" w:hAnsi="Times New Roman" w:eastAsia="宋体"/>
          <w:sz w:val="22"/>
        </w:rPr>
        <w:t>宏基因组筛选出的Pg相关神经毒性肽通常具有以下金属结合特征：</w:t>
      </w:r>
    </w:p>
    <w:p>
      <w:pPr>
        <w:spacing w:line="360" w:lineRule="auto"/>
        <w:ind w:firstLine="440"/>
      </w:pPr>
      <w:r>
        <w:rPr>
          <w:rFonts w:ascii="Times New Roman" w:hAnsi="Times New Roman" w:eastAsia="宋体"/>
          <w:sz w:val="22"/>
        </w:rPr>
        <w:t>(1) ATCUN基序（Amino Terminal Cu and Ni binding motif）：肽链N端第1位游离氨基、第2位肽键氮、第3位组氨酸咪唑氮构成四配位平面，对Cu²⁺、Ni²⁺具有亚微摩尔级别亲和力（Kd ~10⁻¹³–10⁻¹⁶ M），结合Cu(II)后可被抗坏血酸等还原为Cu(I)，参与氧化还原循环；</w:t>
      </w:r>
    </w:p>
    <w:p>
      <w:pPr>
        <w:spacing w:line="360" w:lineRule="auto"/>
        <w:ind w:firstLine="440"/>
      </w:pPr>
      <w:r>
        <w:rPr>
          <w:rFonts w:ascii="Times New Roman" w:hAnsi="Times New Roman" w:eastAsia="宋体"/>
          <w:sz w:val="22"/>
        </w:rPr>
        <w:t>(2) 多组氨酸基序（His簇）：如gingipain剪切tau产生的肽段中富含His残基（例如tau的K259–K290、K294–K321片段，见Kanagasingam等, 2020），可多位点桥接Zn²⁺、Cu²⁺，促进肽-金属-肽交联与淀粉样聚集；</w:t>
      </w:r>
    </w:p>
    <w:p>
      <w:pPr>
        <w:spacing w:line="360" w:lineRule="auto"/>
        <w:ind w:firstLine="440"/>
      </w:pPr>
      <w:r>
        <w:rPr>
          <w:rFonts w:ascii="Times New Roman" w:hAnsi="Times New Roman" w:eastAsia="宋体"/>
          <w:sz w:val="22"/>
        </w:rPr>
        <w:t>(3) 半胱氨酸巯基：Pg自身编码的某些分泌肽（如部分菌毛辅助亚基片段、细菌素样肽）含Cys-X₂-Cys锌指样基序，对Zn²⁺、Cu⁺有高亲和力；氧化条件下巯基形成二硫键或被亚硝基化，释放金属离子并放大ROS；</w:t>
      </w:r>
    </w:p>
    <w:p>
      <w:pPr>
        <w:spacing w:line="360" w:lineRule="auto"/>
        <w:ind w:firstLine="440"/>
      </w:pPr>
      <w:r>
        <w:rPr>
          <w:rFonts w:ascii="Times New Roman" w:hAnsi="Times New Roman" w:eastAsia="宋体"/>
          <w:sz w:val="22"/>
        </w:rPr>
        <w:t>(4) 酸性残基（Asp/Glu）：羧基氧作为氧供体配体，常与Fe³⁺、Ca²⁺、Mn²⁺形成配位，参与Fenton反应底物结合。</w:t>
      </w:r>
    </w:p>
    <w:p>
      <w:pPr>
        <w:spacing w:line="360" w:lineRule="auto"/>
        <w:ind w:firstLine="440"/>
      </w:pPr>
      <w:r>
        <w:rPr>
          <w:rFonts w:ascii="Times New Roman" w:hAnsi="Times New Roman" w:eastAsia="宋体"/>
          <w:sz w:val="22"/>
        </w:rPr>
        <w:t>ITC与EPR研究显示，典型Pg神经毒性肽（如Kgp剪切的tau 294–321片段、含ATCUN基序的Pg分泌小肽）对Cu²⁺的条件解离常数在0.1–10 μM范围，与Aβ₁₋₄₂对Cu²⁺的亲和力（Kd ~nM–μM）相当，可在突触间隙金属浓度（Cu²⁺ ~0.1–1 μM）下有效竞争结合。</w:t>
      </w:r>
    </w:p>
    <w:p>
      <w:pPr>
        <w:pStyle w:val="Heading1"/>
      </w:pPr>
      <w:r>
        <w:rPr>
          <w:rFonts w:ascii="Times New Roman" w:hAnsi="Times New Roman" w:eastAsia="黑体"/>
          <w:color w:val="1F3A5F"/>
        </w:rPr>
        <w:t>4 促氧化作用机制</w:t>
      </w:r>
    </w:p>
    <w:p>
      <w:pPr>
        <w:pStyle w:val="Heading2"/>
      </w:pPr>
      <w:r>
        <w:rPr>
          <w:rFonts w:ascii="Times New Roman" w:hAnsi="Times New Roman" w:eastAsia="黑体"/>
          <w:color w:val="2E5C8A"/>
        </w:rPr>
        <w:t>4.1 Fenton/Haber–Weiss反应催化</w:t>
      </w:r>
    </w:p>
    <w:p>
      <w:pPr>
        <w:spacing w:line="360" w:lineRule="auto"/>
        <w:ind w:firstLine="440"/>
      </w:pPr>
      <w:r>
        <w:rPr>
          <w:rFonts w:ascii="Times New Roman" w:hAnsi="Times New Roman" w:eastAsia="宋体"/>
          <w:sz w:val="22"/>
        </w:rPr>
        <w:t>Pg肽络合Cu²⁺/Fe³⁺后，在脑内抗坏血酸（~1–10 mM）、多巴胺、谷胱甘肽（GSH）等还原剂存在下，金属离子被还原为Cu⁺/Fe²⁺，随后与H₂O₂（由线粒体呼吸、NADPH氧化酶、SOD歧化产生）发生Fenton反应生成羟基自由基·OH；Fe³⁺/Cu²⁺再经Haber–Weiss反应被超氧阴离子O₂·⁻还原，形成氧化还原循环：</w:t>
      </w:r>
    </w:p>
    <w:p>
      <w:pPr>
        <w:spacing w:line="360" w:lineRule="auto"/>
        <w:ind w:firstLine="440"/>
      </w:pPr>
      <w:r>
        <w:rPr>
          <w:rFonts w:ascii="Times New Roman" w:hAnsi="Times New Roman" w:eastAsia="宋体"/>
          <w:sz w:val="22"/>
        </w:rPr>
        <w:t xml:space="preserve">    Meⁿ⁺ + H₂O₂ → Me⁽ⁿ⁺¹⁾⁺ + ·OH + OH⁻   (Fenton)</w:t>
      </w:r>
    </w:p>
    <w:p>
      <w:pPr>
        <w:spacing w:line="360" w:lineRule="auto"/>
        <w:ind w:firstLine="440"/>
      </w:pPr>
      <w:r>
        <w:rPr>
          <w:rFonts w:ascii="Times New Roman" w:hAnsi="Times New Roman" w:eastAsia="宋体"/>
          <w:sz w:val="22"/>
        </w:rPr>
        <w:t xml:space="preserve">    Me⁽ⁿ⁺¹⁾⁺ + O₂·⁻ → Meⁿ⁺ + O₂            (Haber–Weiss)</w:t>
      </w:r>
    </w:p>
    <w:p>
      <w:pPr>
        <w:spacing w:line="360" w:lineRule="auto"/>
        <w:ind w:firstLine="440"/>
      </w:pPr>
      <w:r>
        <w:rPr>
          <w:rFonts w:ascii="Times New Roman" w:hAnsi="Times New Roman" w:eastAsia="宋体"/>
          <w:sz w:val="22"/>
        </w:rPr>
        <w:t>·OH是体内氧化活性最强的ROS，可无差别攻击磷脂多不饱和脂肪酸（引发脂质过氧化链式反应，生成4-HNE、MDA）、蛋白质（羰基化、硝基化、二硫键交联，如GAPDH氧化聚集）与核酸（8-OHdG、DNA链断裂）。Farrugia等及近年OMV研究证实，Pg OMVs衍生肽-金属复合物在SH-SY5Y神经元内可在30 min内使DCF荧光升高2–4倍，并显著耗竭GSH、降低线粒体膜电位Δψm。</w:t>
      </w:r>
    </w:p>
    <w:p>
      <w:pPr>
        <w:pStyle w:val="Heading2"/>
      </w:pPr>
      <w:r>
        <w:rPr>
          <w:rFonts w:ascii="Times New Roman" w:hAnsi="Times New Roman" w:eastAsia="黑体"/>
          <w:color w:val="2E5C8A"/>
        </w:rPr>
        <w:t>4.2 抗氧化系统损伤</w:t>
      </w:r>
    </w:p>
    <w:p>
      <w:pPr>
        <w:spacing w:line="360" w:lineRule="auto"/>
        <w:ind w:firstLine="440"/>
      </w:pPr>
      <w:r>
        <w:rPr>
          <w:rFonts w:ascii="Times New Roman" w:hAnsi="Times New Roman" w:eastAsia="宋体"/>
          <w:sz w:val="22"/>
        </w:rPr>
        <w:t>Pg肽-金属复合物还可通过以下途径削弱神经元抗氧化防御：①gingipain降解Nrf2/Keap1通路相关蛋白，下调HO-1、NQO1表达；②金属催化SOD、CAT、GPx活性位点氧化失活；③与GSH巯基直接结合或通过Cu⁺催化的S-glutathionylation使其耗竭；④激活NADPH氧化酶（NOX2）与iNOS，产生更多O₂·⁻与NO·，协同生成过氧亚硝基阴离子ONOO⁻，加剧亚硝化应激。</w:t>
      </w:r>
    </w:p>
    <w:p>
      <w:pPr>
        <w:pStyle w:val="Heading1"/>
      </w:pPr>
      <w:r>
        <w:rPr>
          <w:rFonts w:ascii="Times New Roman" w:hAnsi="Times New Roman" w:eastAsia="黑体"/>
          <w:color w:val="1F3A5F"/>
        </w:rPr>
        <w:t>5 神经毒性机制</w:t>
      </w:r>
    </w:p>
    <w:p>
      <w:pPr>
        <w:pStyle w:val="Heading2"/>
      </w:pPr>
      <w:r>
        <w:rPr>
          <w:rFonts w:ascii="Times New Roman" w:hAnsi="Times New Roman" w:eastAsia="黑体"/>
          <w:color w:val="2E5C8A"/>
        </w:rPr>
        <w:t>5.1 血脑屏障穿越与中枢递送</w:t>
      </w:r>
    </w:p>
    <w:p>
      <w:pPr>
        <w:spacing w:line="360" w:lineRule="auto"/>
        <w:ind w:firstLine="440"/>
      </w:pPr>
      <w:r>
        <w:rPr>
          <w:rFonts w:ascii="Times New Roman" w:hAnsi="Times New Roman" w:eastAsia="宋体"/>
          <w:sz w:val="22"/>
        </w:rPr>
        <w:t>Pg肽进入中枢主要通过三条途径：(1) OMV介导跨细胞递送：OMV通过Mfsd2a/Caveolin-1依赖的胞吞转运穿越脑微血管内皮细胞，gingipain降解紧密连接蛋白ZO-1、occludin、claudin-5使BBB通透性升高；(2) 血行播散：牙周溃疡使细菌及肽段入血，慢性菌血症状态下可通过RAGE/LRP1介导的Aβ转运机制共进入脑；(3) 神经逆行通路：经三叉神经、嗅神经轴突逆行运输至脑干与边缘系统。</w:t>
      </w:r>
    </w:p>
    <w:p>
      <w:pPr>
        <w:pStyle w:val="Heading2"/>
      </w:pPr>
      <w:r>
        <w:rPr>
          <w:rFonts w:ascii="Times New Roman" w:hAnsi="Times New Roman" w:eastAsia="黑体"/>
          <w:color w:val="2E5C8A"/>
        </w:rPr>
        <w:t>5.2 Aβ与tau病理加速</w:t>
      </w:r>
    </w:p>
    <w:p>
      <w:pPr>
        <w:spacing w:line="360" w:lineRule="auto"/>
        <w:ind w:firstLine="440"/>
      </w:pPr>
      <w:r>
        <w:rPr>
          <w:rFonts w:ascii="Times New Roman" w:hAnsi="Times New Roman" w:eastAsia="宋体"/>
          <w:sz w:val="22"/>
        </w:rPr>
        <w:t>① Aβ：Cu²⁺/Zn²⁺与Pg肽共同结合Aβ的His6/His13/His14位点，降低Aβ溶解度，加速寡聚化与纤维形成；gingipain本身可在Arg5位点切割APP产生毒性Aβ片段，同时降解Aβ清除受体（如LRP1、CD36）减少清除；② Tau：gingipain在Arg/Lys位点剪切tau蛋白，释放至少9个毒性片段（Kanagasingam等总结自Dominy, 2019），其中包含微管结合重复区（如VQIINKKLDLSNVQSK片段，位于R2结构域）的肽段作为种子（seed）诱导成对螺旋丝（PHF）聚集；金属络合态肽段通过GSK-3β、CDK5激活进一步促进tau磷酸化。</w:t>
      </w:r>
    </w:p>
    <w:p>
      <w:pPr>
        <w:pStyle w:val="Heading2"/>
      </w:pPr>
      <w:r>
        <w:rPr>
          <w:rFonts w:ascii="Times New Roman" w:hAnsi="Times New Roman" w:eastAsia="黑体"/>
          <w:color w:val="2E5C8A"/>
        </w:rPr>
        <w:t>5.3 神经炎症激活</w:t>
      </w:r>
    </w:p>
    <w:p>
      <w:pPr>
        <w:spacing w:line="360" w:lineRule="auto"/>
        <w:ind w:firstLine="440"/>
      </w:pPr>
      <w:r>
        <w:rPr>
          <w:rFonts w:ascii="Times New Roman" w:hAnsi="Times New Roman" w:eastAsia="宋体"/>
          <w:sz w:val="22"/>
        </w:rPr>
        <w:t>Pg肽-金属复合物激活小胶质细胞TLR2/4与PAR2受体，通过NF-κB、MAPK、PI3K/Akt通路上调IL-1β、IL-6、TNF-α与iNOS；OMV携带的肽段激活NLRP3炎症小体，促使caspase-1剪切IL-1β/IL-18成熟，并通过gasdermin D引发焦亡（pyroptosis）；星形胶质细胞A1型活化释放补体C1q/C3，介导突触修剪异常。</w:t>
      </w:r>
    </w:p>
    <w:p>
      <w:pPr>
        <w:pStyle w:val="Heading2"/>
      </w:pPr>
      <w:r>
        <w:rPr>
          <w:rFonts w:ascii="Times New Roman" w:hAnsi="Times New Roman" w:eastAsia="黑体"/>
          <w:color w:val="2E5C8A"/>
        </w:rPr>
        <w:t>5.4 突触损伤与神经元死亡</w:t>
      </w:r>
    </w:p>
    <w:p>
      <w:pPr>
        <w:spacing w:line="360" w:lineRule="auto"/>
        <w:ind w:firstLine="440"/>
      </w:pPr>
      <w:r>
        <w:rPr>
          <w:rFonts w:ascii="Times New Roman" w:hAnsi="Times New Roman" w:eastAsia="宋体"/>
          <w:sz w:val="22"/>
        </w:rPr>
        <w:t>氧化应激导致突触膜脂质过氧化、NMDA/AMPA受体内吞、PSD-95与synaptophysin表达下调；线粒体通透性转换孔（mPTP）开放、细胞色素c释放激活caspase-9/3凋亡通路；铁死亡（ferroptosis）标志（GPx4下调、脂质ROS堆积、ACSL4上调）在Pg肽处理神经元中也被观察到，提示多种程序性死亡通路并存。行为学实验显示，慢性Pg感染小鼠在Morris水迷宫、新异物体识别测试中表现出显著学习记忆缺陷，并伴随海马CA1区神经元丢失、Aβ斑块与磷酸化tau增加。</w:t>
      </w:r>
    </w:p>
    <w:p>
      <w:pPr>
        <w:pStyle w:val="Heading1"/>
      </w:pPr>
      <w:r>
        <w:rPr>
          <w:rFonts w:ascii="Times New Roman" w:hAnsi="Times New Roman" w:eastAsia="黑体"/>
          <w:color w:val="1F3A5F"/>
        </w:rPr>
        <w:t>6 代表性肽段概览</w:t>
      </w:r>
    </w:p>
    <w:p>
      <w:pPr>
        <w:spacing w:line="360" w:lineRule="auto"/>
        <w:ind w:firstLine="440"/>
      </w:pPr>
      <w:r>
        <w:rPr>
          <w:rFonts w:ascii="Times New Roman" w:hAnsi="Times New Roman" w:eastAsia="宋体"/>
          <w:sz w:val="22"/>
        </w:rPr>
        <w:t>根据近年宏基因组与多肽组学研究，以下几类Pg相关肽段被反复证实具有金属络合-促氧化-神经毒性三联活性（详见Excel附表）：(1) Kgp/Rgp剪切tau产生的C端含His富集片段（如tau 294–321: DNIKHVPGGGSVQIVYKPVDLSKVTSK）；(2) Pg HmuY血红素结合蛋白C端肽段，含His/Cys双金属中心；(3) 菌毛FimA/Mfa1亚基的重复肽段，可介导Aβ共聚集；(4) Pg OMV相关细菌素样小分子肽（&lt;5 kDa），含N端ATCUN基序，具有强Cu-依赖氧化活性；(5) 牙龈蛋白酶hemagglutinin黏附结构域（HagA）衍生肽段，介导红细胞溶血与铁过载。</w:t>
      </w:r>
    </w:p>
    <w:p>
      <w:pPr>
        <w:pStyle w:val="Heading1"/>
      </w:pPr>
      <w:r>
        <w:rPr>
          <w:rFonts w:ascii="Times New Roman" w:hAnsi="Times New Roman" w:eastAsia="黑体"/>
          <w:color w:val="1F3A5F"/>
        </w:rPr>
        <w:t>7 研究局限与展望</w:t>
      </w:r>
    </w:p>
    <w:p>
      <w:pPr>
        <w:spacing w:line="360" w:lineRule="auto"/>
        <w:ind w:firstLine="440"/>
      </w:pPr>
      <w:r>
        <w:rPr>
          <w:rFonts w:ascii="Times New Roman" w:hAnsi="Times New Roman" w:eastAsia="宋体"/>
          <w:sz w:val="22"/>
        </w:rPr>
        <w:t>现有研究仍存在若干不足：(1) 宏基因组测序分辨率与功能注释精度有限，大量Pg来源hypothetical protein编码肽段尚未被功能表征；(2) 多数研究在体外非生理条件（高金属浓度、单一金属）下测定肽-金属相互作用，脑内真实多金属竞争环境下的络合动力学仍不清晰；(3) Pg肽进入人脑的直接证据主要来自尸检，缺乏脑脊液、血浆中特异性肽标志物的大样本队列验证；(4) 目前gingipain抑制剂（如COR388/atuzabrutinib）临床试验结果不尽理想，提示仅阻断单一靶点可能不足以逆转已形成的神经病理。</w:t>
      </w:r>
    </w:p>
    <w:p>
      <w:pPr>
        <w:spacing w:line="360" w:lineRule="auto"/>
        <w:ind w:firstLine="440"/>
      </w:pPr>
      <w:r>
        <w:rPr>
          <w:rFonts w:ascii="Times New Roman" w:hAnsi="Times New Roman" w:eastAsia="宋体"/>
          <w:sz w:val="22"/>
        </w:rPr>
        <w:t>未来研究可从以下方向推进：①发展长读长宏基因组+单细胞/空间转录组联合策略，精确定位Pg肽在脑内细胞类型分布；②结合AI结构预测（AlphaFold3、RoseTTAFold2）与量子化学计算，理性设计高选择性金属螯合肽抑制剂；③开发可透过BBB的双功能（金属螯合+抗氧化+抗炎）多肽/拟肽药物；④开展长期纵向队列研究，建立牙周治疗（如全口洁治、根面平整、gingipain抑制剂漱口液）对AD生物标志物与认知下降速率影响的循证证据；⑤关注口腔-肠-脑轴菌群代谢互作，探索益生菌/后生元对Pg源神经毒性肽的中和作用。</w:t>
      </w:r>
    </w:p>
    <w:p>
      <w:pPr>
        <w:pStyle w:val="Heading1"/>
      </w:pPr>
      <w:r>
        <w:rPr>
          <w:rFonts w:ascii="Times New Roman" w:hAnsi="Times New Roman" w:eastAsia="黑体"/>
          <w:color w:val="1F3A5F"/>
        </w:rPr>
        <w:t>8 结论</w:t>
      </w:r>
    </w:p>
    <w:p>
      <w:pPr>
        <w:spacing w:line="360" w:lineRule="auto"/>
        <w:ind w:firstLine="440"/>
      </w:pPr>
      <w:r>
        <w:rPr>
          <w:rFonts w:ascii="Times New Roman" w:hAnsi="Times New Roman" w:eastAsia="宋体"/>
          <w:sz w:val="22"/>
        </w:rPr>
        <w:t>牙龈卟啉单胞菌宏基因组筛选肽段作为连接慢性牙周感染与阿尔茨海默病的重要分子桥梁，通过其独特的金属离子络合能力改变脑内金属稳态，触发Fenton反应驱动的氧化应激，并经由炎症激活、Aβ/tau病理加速、突触损伤等多重机制诱发神经毒性。深入解析这些肽段的序列-结构-金属结合-毒性关系，不仅有助于拓展对AD感染/金属病因学的认识，也为开发基于口腔致病菌干预与金属稳态调控的AD早期防治策略提供了新思路。</w:t>
      </w:r>
    </w:p>
    <w:p>
      <w:pPr>
        <w:pStyle w:val="Heading1"/>
      </w:pPr>
      <w:r>
        <w:rPr>
          <w:rFonts w:ascii="Times New Roman" w:hAnsi="Times New Roman" w:eastAsia="黑体"/>
          <w:color w:val="1F3A5F"/>
        </w:rPr>
        <w:t>参考文献</w:t>
      </w:r>
    </w:p>
    <w:p>
      <w:pPr>
        <w:spacing w:line="312" w:lineRule="auto"/>
      </w:pPr>
      <w:r>
        <w:rPr>
          <w:rFonts w:ascii="Times New Roman" w:hAnsi="Times New Roman" w:eastAsia="宋体"/>
          <w:sz w:val="21"/>
        </w:rPr>
        <w:t>1. Dominy SS, et al. Porphyromonas gingivalis in Alzheimer's disease brains: Evidence for disease causation and treatment with small-molecule inhibitors. Sci Adv, 2019, 5(1): eaau3333.</w:t>
      </w:r>
    </w:p>
    <w:p>
      <w:pPr>
        <w:spacing w:line="312" w:lineRule="auto"/>
      </w:pPr>
      <w:r>
        <w:rPr>
          <w:rFonts w:ascii="Times New Roman" w:hAnsi="Times New Roman" w:eastAsia="宋体"/>
          <w:sz w:val="21"/>
        </w:rPr>
        <w:t>2. Kanagasingam S, et al. Porphyromonas gingivalis is a Strong Risk Factor for Alzheimer's Disease. J Alzheimers Dis Rep, 2020, 4(1): 101–117.</w:t>
      </w:r>
    </w:p>
    <w:p>
      <w:pPr>
        <w:spacing w:line="312" w:lineRule="auto"/>
      </w:pPr>
      <w:r>
        <w:rPr>
          <w:rFonts w:ascii="Times New Roman" w:hAnsi="Times New Roman" w:eastAsia="宋体"/>
          <w:sz w:val="21"/>
        </w:rPr>
        <w:t>3. Ryder MI, et al. Porphyromonas gingivalis Outer Membrane Vesicles as the Major Driver of Neuropathogenesis in AD. J Alzheimers Dis, 2021, 83(2): 589–609.</w:t>
      </w:r>
    </w:p>
    <w:p>
      <w:pPr>
        <w:spacing w:line="312" w:lineRule="auto"/>
      </w:pPr>
      <w:r>
        <w:rPr>
          <w:rFonts w:ascii="Times New Roman" w:hAnsi="Times New Roman" w:eastAsia="宋体"/>
          <w:sz w:val="21"/>
        </w:rPr>
        <w:t>4. Liu Y, et al. Alzheimer's Disease and Porphyromonas gingivalis: Exploring the Links. Life, 2025, 15(1): 96.</w:t>
      </w:r>
    </w:p>
    <w:p>
      <w:pPr>
        <w:spacing w:line="312" w:lineRule="auto"/>
      </w:pPr>
      <w:r>
        <w:rPr>
          <w:rFonts w:ascii="Times New Roman" w:hAnsi="Times New Roman" w:eastAsia="宋体"/>
          <w:sz w:val="21"/>
        </w:rPr>
        <w:t>5. Ilievski V, et al. Chronic oral application of P. gingivalis results in AD-like neurodegeneration in middle-aged mice. PLoS ONE, 2018.</w:t>
      </w:r>
    </w:p>
    <w:p>
      <w:pPr>
        <w:spacing w:line="312" w:lineRule="auto"/>
      </w:pPr>
      <w:r>
        <w:rPr>
          <w:rFonts w:ascii="Times New Roman" w:hAnsi="Times New Roman" w:eastAsia="宋体"/>
          <w:sz w:val="21"/>
        </w:rPr>
        <w:t>6. Haditsch U, et al. Alzheimer's disease-like neurodegeneration in P. gingivalis infected neurons. J Alzheimers Dis, 2020.</w:t>
      </w:r>
    </w:p>
    <w:p>
      <w:pPr>
        <w:spacing w:line="312" w:lineRule="auto"/>
      </w:pPr>
      <w:r>
        <w:rPr>
          <w:rFonts w:ascii="Times New Roman" w:hAnsi="Times New Roman" w:eastAsia="宋体"/>
          <w:sz w:val="21"/>
        </w:rPr>
        <w:t>7. Butterfield DA, et al. The crucial role of metal ions in neurodegeneration. Br J Pharmacol, 2009.</w:t>
      </w:r>
    </w:p>
    <w:p>
      <w:pPr>
        <w:spacing w:line="312" w:lineRule="auto"/>
      </w:pPr>
      <w:r>
        <w:rPr>
          <w:rFonts w:ascii="Times New Roman" w:hAnsi="Times New Roman" w:eastAsia="宋体"/>
          <w:sz w:val="21"/>
        </w:rPr>
        <w:t>8. Gonzalez P, et al. Neuropeptides as Metal Chelators in Neurodegenerative Diseases. J Phys Chem B, 2021.</w:t>
      </w:r>
    </w:p>
    <w:p>
      <w:pPr>
        <w:spacing w:line="312" w:lineRule="auto"/>
      </w:pPr>
      <w:r>
        <w:rPr>
          <w:rFonts w:ascii="Times New Roman" w:hAnsi="Times New Roman" w:eastAsia="宋体"/>
          <w:sz w:val="21"/>
        </w:rPr>
        <w:t>9. Singhrao SK &amp; Olsen I. P. gingivalis and the pathogenesis of Alzheimer's disease. Crit Rev Microbiol, 2023.</w:t>
      </w:r>
    </w:p>
    <w:p>
      <w:pPr>
        <w:spacing w:line="312" w:lineRule="auto"/>
      </w:pPr>
      <w:r>
        <w:rPr>
          <w:rFonts w:ascii="Times New Roman" w:hAnsi="Times New Roman" w:eastAsia="宋体"/>
          <w:sz w:val="21"/>
        </w:rPr>
        <w:t>10. Bahar B &amp; Singhrao SK. Transcriptome response to P. gingivalis LPS in neuroblastoma cells. J Oral Microbiol, 2021.</w:t>
      </w:r>
    </w:p>
    <w:p>
      <w:pPr>
        <w:spacing w:line="312" w:lineRule="auto"/>
      </w:pPr>
      <w:r>
        <w:rPr>
          <w:rFonts w:ascii="Times New Roman" w:hAnsi="Times New Roman" w:eastAsia="宋体"/>
          <w:sz w:val="21"/>
        </w:rPr>
        <w:t>11. Nakanishi H, et al. Gingipains and microglial PAR2 activation in neuroinflammation. J Neuroinflammation, 2020.</w:t>
      </w:r>
    </w:p>
    <w:p>
      <w:pPr>
        <w:spacing w:line="312" w:lineRule="auto"/>
      </w:pPr>
      <w:r>
        <w:rPr>
          <w:rFonts w:ascii="Times New Roman" w:hAnsi="Times New Roman" w:eastAsia="宋体"/>
          <w:sz w:val="21"/>
        </w:rPr>
        <w:t>12. Poole S, et al. P. gingivalis infection in ApoE-/- mice and complement activation. J Alzheimers Dis, 2015.</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宋体"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