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牙周炎来源微肽占据乙酰胆碱酯酶外周阴离子位点：计算筛选、分子对接与100 ns分子动力学</w:t>
      </w:r>
    </w:p>
    <w:p>
      <w:pPr>
        <w:pStyle w:val="Heading2"/>
        <w:keepNext/>
      </w:pPr>
      <w:r>
        <w:t>摘要</w:t>
      </w:r>
    </w:p>
    <w:p>
      <w:pPr>
        <w:pStyle w:val="Normal"/>
      </w:pPr>
      <w:r>
        <w:t>牙周炎相关口腔菌群失调已与阿尔茨海默病（AD）相关联，但从口腔微生物组到特定突触酶的肽水平通路仍不完整。本研究为纯计算工作，将口腔小开放阅读框（smORF）筛选级联，与12条7–9 aa候选微肽对人源乙酰胆碱酯酶（AChE，PDB 4EY6）的本地 AutoDock Vina 对接，以及 apo AChE 与三种复合物（ALLLHRC、FLLHTTR、YLSLLQR）的 100 ns 全原子分子动力学（MD）衔接。UniDL4BioPep 先对 11,721,988 条牙周炎标记 smORF 运行 22 项任务（BBB（BBP）≥0.80：1,125,832 条，9.60%）。再与宏蛋白质组支持的去冗余序列取交集，得到 3,518 条 BBB 高分候选；其中 923 条为 NTxPred2 阳性，后续过滤得到 12 条序列集。本地三次 Vina 最优打分介于 -8.25 至 -9.60 kcal/mol，三次均值介于 -8.07 ± 0.16 至 -9.44 ± 0.09 kcal/mol。FLLHTTR 最优构象最强但运行间 SD 最大；YLSLLQR 三次均值最强，并与 FLLHTTR、LLHPLRL 接触外周阴离子位点（PAS）。100 ns 内三种复合物保持球状折叠（骨架 RMSD 0.16–0.19 nm；α-螺旋约 33%，β-折叠约 17%）。FLLHTTR 与 YLSLLQR 复合物比 apo 更稳（0.1640 和 0.1625 nm，相对 apo 0.1897 nm）。FLLHTTR 氢键网络最密（7.03 ± 1.28）；仅 YLSLLQR 出现 SASA 收缩（209.71 相对 212.25 nm²）。综合对接与轨迹，结果支持一种可能的致病机制：牙周炎来源微肽占据 AChE 的 PAS，阻碍乙酰胆碱进入，并作为异源种子，在同一促纤表面上与内源 Aβ 共成核。</w:t>
      </w:r>
    </w:p>
    <w:p>
      <w:pPr>
        <w:pStyle w:val="Keywords"/>
      </w:pPr>
      <w:r>
        <w:rPr>
          <w:b/>
        </w:rPr>
        <w:t>关键词：</w:t>
      </w:r>
      <w:r>
        <w:t xml:space="preserve"> 阿尔茨海默病；牙龈卟啉单胞菌；牙周炎；口腔微肽；smORF；乙酰胆碱酯酶；外周阴离子位点；分子对接；分子动力学</w:t>
      </w:r>
    </w:p>
    <w:p>
      <w:pPr>
        <w:pStyle w:val="Heading2"/>
        <w:keepNext/>
      </w:pPr>
      <w:r>
        <w:t>引言</w:t>
      </w:r>
    </w:p>
    <w:p>
      <w:pPr>
        <w:pStyle w:val="BodyText"/>
      </w:pPr>
      <w:r>
        <w:t>阿尔茨海默病是进行性神经退行性疾病，淀粉样蛋白β（Aβ）、tau、突触衰竭、免疫激活与血管损伤相互作用，而不是单一线性级联</w:t>
      </w:r>
      <w:r>
        <w:t>[1]</w:t>
      </w:r>
      <w:r>
        <w:t>。淀粉样生物学仍居核心：APP 经 β/γ 分泌酶切出 Aβ40/Aβ42，可溶寡聚体损伤突触，家族性 APP/PSEN 突变改变 Aβ 产量与长度</w:t>
      </w:r>
      <w:r>
        <w:t>[2]</w:t>
      </w:r>
      <w:r>
        <w:t>。基底前脑胆碱能传递丧失参与认知症状，AChE 抑制剂仍是既定对症治疗</w:t>
      </w:r>
      <w:r>
        <w:t>[3]</w:t>
      </w:r>
      <w:r>
        <w:t>。独立于催化功能，AChE 经外周阴离子位点（PAS）加速 Aβ 成纤，AChE–Aβ 复合物比游离 Aβ 更具神经毒性</w:t>
      </w:r>
      <w:r>
        <w:t>[4]</w:t>
      </w:r>
      <w:r>
        <w:t>。PAS 疏水基序促进该伴侣活性</w:t>
      </w:r>
      <w:r>
        <w:t>[5]</w:t>
      </w:r>
      <w:r>
        <w:t>。这些事实把 AChE 的 PAS 定位为可以把胆碱能衰竭与淀粉样沉积耦合起来的结构节点。</w:t>
      </w:r>
    </w:p>
    <w:p>
      <w:pPr>
        <w:pStyle w:val="BodyText"/>
      </w:pPr>
      <w:r>
        <w:t>慢性牙周炎可维持系统性炎症负担和微生物产物的间歇暴露，由此推动口腔—脑轴研究</w:t>
      </w:r>
      <w:r>
        <w:t>[6]</w:t>
      </w:r>
      <w:r>
        <w:t>。疾病相关口腔活动具有物种和位点特异性，分类学丰度不能替代分子中介</w:t>
      </w:r>
      <w:r>
        <w:t>[7]</w:t>
      </w:r>
      <w:r>
        <w:t>。牙龈卟啉单胞菌（</w:t>
      </w:r>
      <w:r>
        <w:rPr>
          <w:i/>
        </w:rPr>
        <w:t>Porphyromonas gingivalis</w:t>
      </w:r>
      <w:r>
        <w:t>）的牙龈蛋白酶与外膜囊泡提供了较充分的毒力背景</w:t>
      </w:r>
      <w:r>
        <w:t>[8–9]</w:t>
      </w:r>
      <w:r>
        <w:t>。观察性综合报告牙周病与认知障碍相关，效应估计随病例定义和校正而变化</w:t>
      </w:r>
      <w:r>
        <w:t>[10]</w:t>
      </w:r>
      <w:r>
        <w:t>；AD 队列中牙周炎与后续认知下降相关</w:t>
      </w:r>
      <w:r>
        <w:t>[11]</w:t>
      </w:r>
      <w:r>
        <w:t xml:space="preserve">。AD 脑内曾检出 </w:t>
      </w:r>
      <w:r>
        <w:rPr>
          <w:i/>
        </w:rPr>
        <w:t>P. gingivalis</w:t>
      </w:r>
      <w:r>
        <w:t xml:space="preserve"> 与牙龈蛋白酶</w:t>
      </w:r>
      <w:r>
        <w:t>[12]</w:t>
      </w:r>
      <w:r>
        <w:t>，小鼠反复口腔暴露可驱动神经炎症和 Aβ 相关改变</w:t>
      </w:r>
      <w:r>
        <w:t>[13]</w:t>
      </w:r>
      <w:r>
        <w:t>。上述观察为口腔—脑暴露提供了背景：若存在能够结合 AChE 的肽配体，其机制后果将是直接的</w:t>
      </w:r>
      <w:r>
        <w:t>[14]</w:t>
      </w:r>
      <w:r>
        <w:t>。</w:t>
      </w:r>
    </w:p>
    <w:p>
      <w:pPr>
        <w:pStyle w:val="BodyText"/>
      </w:pPr>
      <w:r>
        <w:t>微生物组编码的小蛋白构成规模庞大、映射仍不充分的候选空间</w:t>
      </w:r>
      <w:r>
        <w:t>[15–16]</w:t>
      </w:r>
      <w:r>
        <w:t>。牙周炎来源的 7–9 aa 微肽能否占据与 Aβ 相同的 AChE PAS，是筛选分数本身无法回答的结构问题。对人 AChE 与多条 Aβ 的加速 MD 显示 Aβ 被酶表面吸引，支持 AChE 作为成核中心</w:t>
      </w:r>
      <w:r>
        <w:t>[17]</w:t>
      </w:r>
      <w:r>
        <w:t>。以 PAS 为中心的 1 μs AChE–Aβ 轨迹保持结合，主驻留区为毗邻 PAS 的 344–361</w:t>
      </w:r>
      <w:r>
        <w:t>[18]</w:t>
      </w:r>
      <w:r>
        <w:t>。PAS 导向配体可在生化体系中抑制 AChE 诱导的 Aβ 聚集</w:t>
      </w:r>
      <w:r>
        <w:t>[19]</w:t>
      </w:r>
      <w:r>
        <w:t>，PDB 4EY6 提供 2.40 Å 人源 AChE 结构用于对接</w:t>
      </w:r>
      <w:r>
        <w:t>[20]</w:t>
      </w:r>
      <w:r>
        <w:t>。</w:t>
      </w:r>
    </w:p>
    <w:p>
      <w:pPr>
        <w:pStyle w:val="BodyText"/>
      </w:pPr>
      <w:r>
        <w:t>因此，本研究要回答：牙周炎来源的 7–9 aa 微肽能否占据实验上加速 Aβ 成纤的同一 PAS。先由口腔 smORF 级联优先保留 12 条序列，再对接到人源 AChE，并对三条代表性复合物相对 apo 完成 100 ns 模拟，以勾勒致病肽通向 AD 的可能分子路径。</w:t>
      </w:r>
    </w:p>
    <w:p>
      <w:pPr>
        <w:pStyle w:val="Heading2"/>
        <w:keepNext/>
      </w:pPr>
      <w:r>
        <w:t>材料与方法</w:t>
      </w:r>
    </w:p>
    <w:p>
      <w:pPr>
        <w:pStyle w:val="Heading3"/>
        <w:keepNext/>
      </w:pPr>
      <w:r>
        <w:t>研究设计</w:t>
      </w:r>
    </w:p>
    <w:p>
      <w:pPr>
        <w:pStyle w:val="BodyText"/>
      </w:pPr>
      <w:r>
        <w:t>本研究为纯计算分析。筛选使用汇总 smORF 计数、模型汇总和一张 12 条序列表；未开展参与者招募、标本采集、预测器再训练或新组学处理。健康与牙周炎标签仅作为文库标签保留，不视为已经核实的肽层面疾病归属。对接与 MD 使用本地三次 AutoDock Vina 构象，以及对 apo AChE 与三条入选复合物的 100 ns GROMACS 轨迹。</w:t>
      </w:r>
    </w:p>
    <w:p>
      <w:pPr>
        <w:pStyle w:val="Heading3"/>
        <w:keepNext/>
      </w:pPr>
      <w:r>
        <w:t>口腔 smORF 筛选级联</w:t>
      </w:r>
    </w:p>
    <w:p>
      <w:pPr>
        <w:pStyle w:val="BodyText"/>
      </w:pPr>
      <w:r>
        <w:t>编码 4–50 aa 肽的翻译 smORF 构成起始库（健康标记 11,269,961 条，牙周炎标记 11,721,988 条；PRJNA678453）</w:t>
      </w:r>
      <w:r>
        <w:t>[7]</w:t>
      </w:r>
      <w:r>
        <w:t>。按抗菌肽发现的常用顺序，先对全部牙周炎标记库运行 UniDL4BioPep</w:t>
      </w:r>
      <w:r>
        <w:t>[23]</w:t>
      </w:r>
      <w:r>
        <w:t>：ESM-2（</w:t>
      </w:r>
      <w:r>
        <w:rPr>
          <w:rFonts w:ascii="Consolas" w:hAnsi="Consolas" w:eastAsia="等线"/>
          <w:shd w:val="clear" w:color="auto" w:fill="F2F4F7"/>
        </w:rPr>
        <w:t>esm2_t6_8M_UR50D</w:t>
      </w:r>
      <w:r>
        <w:t>）嵌入与 22 个任务特异性卷积网络，阈值均为 ≥0.80。统一任务名为 ACE 抑制、DPP-IV 抑制、苦味、鲜味、抗菌、抗疟（备选）、抗疟（主）、群体感应、抗癌（主）、抗癌（备选）、抗 MRSA、TTCA、血脑屏障（BBP）、抗寄生虫（APP）、NeuroPred、抗细菌、抗真菌、抗病毒、毒性、抗氧化 FRS、致敏性和细胞穿透肽（CPP）。BBB（BBP）≥0.80 定义为操作性 BBB 高分集合。</w:t>
      </w:r>
    </w:p>
    <w:p>
      <w:pPr>
        <w:pStyle w:val="BodyText"/>
      </w:pPr>
      <w:r>
        <w:t>UniDL4BioPep 打分之后，序列与口腔基因组和宏蛋白质组资源精确匹配并去冗余，包括 HOMD 和唾液宏蛋白质组目录</w:t>
      </w:r>
      <w:r>
        <w:t>[21–22]</w:t>
      </w:r>
      <w:r>
        <w:t>。牙周炎标记库得到 33,786 条证据支持的独特肽；其与 1,125,832 条 BBB（BBP）预测取交集，得到 3,518 条候选（短肽 3,446 条，5–30 aa；长肽 72 条，31–50 aa）。该交集中 7–50 aa 的肽用 NTxPred2（ESM2-t30）评价</w:t>
      </w:r>
      <w:r>
        <w:t>[24]</w:t>
      </w:r>
      <w:r>
        <w:t>。Mebipred 以两级神经网络评估 Cu、Fe、Zn 相关结合潜力，阈值 0.50</w:t>
      </w:r>
      <w:r>
        <w:t>[25]</w:t>
      </w:r>
      <w:r>
        <w:t>。AnOxPePred 提供多任务自由基清除（FRS）和螯合（CHEL）输出</w:t>
      </w:r>
      <w:r>
        <w:t>[26]</w:t>
      </w:r>
      <w:r>
        <w:t>；串联终点为 CHEL≥0.25、CHEL≥0.25 且 FRS&lt;0.50、以及 CHEL≥0.25 且 FRS&lt;0.45。</w:t>
      </w:r>
    </w:p>
    <w:p>
      <w:pPr>
        <w:pStyle w:val="BodyText"/>
      </w:pPr>
      <w:r>
        <w:t>另一张表列出 12 条互不重复的 7–9 aa 序列。长度以及组氨酸、半胱氨酸和碱性残基计数均由各字符串重新计算。</w:t>
      </w:r>
    </w:p>
    <w:p>
      <w:pPr>
        <w:pStyle w:val="Heading3"/>
        <w:keepNext/>
      </w:pPr>
      <w:r>
        <w:t>分子对接</w:t>
      </w:r>
    </w:p>
    <w:p>
      <w:pPr>
        <w:pStyle w:val="BodyText"/>
      </w:pPr>
      <w:r>
        <w:t>人源重组 AChE（rhAChE，PDB 4EY6，2.40 Å）</w:t>
      </w:r>
      <w:r>
        <w:t>[20]</w:t>
      </w:r>
      <w:r>
        <w:t xml:space="preserve"> 经去除加兰他敏与结晶水、修复内部链断裂并按生理 pH 7.4 分配质子化状态后用作受体。12 条微肽 ALLLHRC、FCLHLQLR、FLLHTTR、HLLTLKKHV、HLPLLHRCC、HVLLLRQCA、LLHLPKRTT、LLHPLRC、LLHPLRL、WLLVHLKK、YHHLLCRR 和 YLSLLQR 采用 AutoDock Vina（exhaustiveness = 32）</w:t>
      </w:r>
      <w:r>
        <w:t>[27–28]</w:t>
      </w:r>
      <w:r>
        <w:t xml:space="preserve"> 对接到以 PAS（Tyr72、Asp74、Thr75、Leu76、Trp286、His287、Tyr341）为中心、并覆盖峡部颈部（Phe295）、胆碱结合亚位点（Trp86、Glu202、Tyr337）及催化三联体（Ser203、His447、Glu334）的网格。每条配体独立运行三次（</w:t>
      </w:r>
      <w:r>
        <w:rPr>
          <w:rFonts w:ascii="Consolas" w:hAnsi="Consolas" w:eastAsia="等线"/>
          <w:shd w:val="clear" w:color="auto" w:fill="F2F4F7"/>
        </w:rPr>
        <w:t>N_Success</w:t>
      </w:r>
      <w:r>
        <w:t xml:space="preserve"> = 3）。最优单次打分、三次运行均值±SD、氢键几何与 PAS 接触取自本地三次运行汇总表及各配体打分最高的单一构象。逐条 PDBQT 文件与配置日志未归档。Vina 打分为经验排序指标，不能等同于实验结合自由能。</w:t>
      </w:r>
    </w:p>
    <w:p>
      <w:pPr>
        <w:pStyle w:val="Heading3"/>
        <w:keepNext/>
      </w:pPr>
      <w:r>
        <w:t>分子动力学</w:t>
      </w:r>
    </w:p>
    <w:p>
      <w:pPr>
        <w:pStyle w:val="BodyText"/>
      </w:pPr>
      <w:r>
        <w:t>四个显式溶剂体系在 GROMACS</w:t>
      </w:r>
      <w:r>
        <w:t>[29]</w:t>
      </w:r>
      <w:r>
        <w:t xml:space="preserve"> 中以 Amber99SB-ILDN</w:t>
      </w:r>
      <w:r>
        <w:t>[30]</w:t>
      </w:r>
      <w:r>
        <w:t xml:space="preserve"> 力场和 TIP3P 水、0.15 M NaCl 进行模拟：apo AChE（单一 A 链）以及 AChE–ALLLHRC、AChE–FLLHTTR、AChE–YLSLLQR 复合物。各体系置于溶质至边界缓冲 1.0 nm 的三斜盒子。平衡包括 2,000 步最速下降能量最小化、1.0 ns 受限 NVT 升温至 300 K、1.0 ns 受限 NPT 密度平衡和 1.0 ns 无约束 NPT 预平衡。产物模拟在 NPT 系综（300 K，1.0 bar）运行 100 ns（dt = 2.0 fs），采用 LINCS、1.2 nm 截断和粒子网格Ewald 静电。轨迹每 20 ps 输出一帧。</w:t>
      </w:r>
    </w:p>
    <w:p>
      <w:pPr>
        <w:pStyle w:val="BodyText"/>
      </w:pPr>
      <w:r>
        <w:t>与图4–6对应的轨迹指标包括骨架 Cα RMSD、逐残基 RMSF、溶剂可及表面积（SASA）、回转半径（Rg）、DSSP 占有率和分子间氢键（</w:t>
      </w:r>
      <w:r>
        <w:rPr>
          <w:rFonts w:ascii="Consolas" w:hAnsi="Consolas" w:eastAsia="等线"/>
          <w:shd w:val="clear" w:color="auto" w:fill="F2F4F7"/>
        </w:rPr>
        <w:t>gmx hbond</w:t>
      </w:r>
      <w:r>
        <w:t>；供体–受体距离 ≤ 3.0 Å）。另记录微肽自拟合 RMSD 与持续性界面接触（7.0 Å 截断）。稳态值为最后 20 ns（80.0–100.0 ns）的均值±SD。方案沿用 Atanasova 等 AChE–Aβ MD 的逻辑，窗口为 100 ns 而非 1 μs</w:t>
      </w:r>
      <w:r>
        <w:t>[18]</w:t>
      </w:r>
      <w:r>
        <w:t>。</w:t>
      </w:r>
    </w:p>
    <w:p>
      <w:pPr>
        <w:pStyle w:val="Heading2"/>
        <w:keepNext/>
      </w:pPr>
      <w:r>
        <w:t>结果</w:t>
      </w:r>
    </w:p>
    <w:p>
      <w:pPr>
        <w:pStyle w:val="Heading3"/>
        <w:keepNext/>
      </w:pPr>
      <w:r>
        <w:t>筛选漏斗与12条序列组成</w:t>
      </w:r>
    </w:p>
    <w:p>
      <w:pPr>
        <w:pStyle w:val="BodyText"/>
      </w:pPr>
      <w:r>
        <w:t>UniDL4BioPep 对全部 11,721,988 条牙周炎标记 smORF 按 ≥0.80 运行 22 项任务（表1）。输出最多的是抗菌（10,302,093；87.89%），其次为抗寄生虫（APP）（5,462,493；46.60%）和群体感应（4,491,507；38.32%）。BBB（BBP）为 1,125,832 条（9.60%）。DPP-IV 抑制最少（139,056；1.19%）。各任务标签可重叠，同一条肽可计入多行。</w:t>
      </w:r>
    </w:p>
    <w:p>
      <w:pPr>
        <w:pStyle w:val="Caption"/>
      </w:pPr>
      <w:r>
        <w:rPr>
          <w:b/>
        </w:rPr>
        <w:t>表1. 牙周炎标记全库（11,721,988 条 smORF）的 UniDL4BioPep 输出（阈值 ≥0.80）。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UniDL4BioPep 任务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n（≥0.80）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占 11,721,988 的%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ACE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1,236,442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10.55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DPP-IV 抑制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139,056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苦味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1,831,185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3,100,811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26.45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10,302,093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87.89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695,608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5.93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2,010,724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17.15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4,491,507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38.32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2,357,718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20.11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抗癌（备选）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2,015,652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17.20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 MRSA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843,977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7.20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TTCA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2,666,759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22.75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9.60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5,462,493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46.60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NeuroPred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1,714,373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14.63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2,597,877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22.16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2,960,118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25.25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3,275,203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27.94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毒性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2,521,106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21.51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致敏性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1,713,798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925,627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7.90</w:t>
            </w:r>
          </w:p>
        </w:tc>
      </w:tr>
    </w:tbl>
    <w:p>
      <w:pPr>
        <w:spacing w:after="40"/>
      </w:pPr>
    </w:p>
    <w:p>
      <w:pPr>
        <w:pStyle w:val="BodyText"/>
      </w:pPr>
      <w:r>
        <w:t>牙周炎标记库经宏蛋白质组精确匹配并去冗余后保留 33,786 条证据支持的独特肽（健康标记为 31,510/11,269,961）。1,125,832 条 BBB（BBP）预测与该集合取交集，得到 3,518 条（短肽 3,446，长肽 72）。NTxPred2 评价 3,299/3,518（93.77%），其中 923/3,299（27.98%）为模型阳性。后续过滤保留 mebipred 阳性 111 条、CHEL≥0.25 者 15 条、CHEL≥0.25 且 FRS&lt;0.50 者 12 条、CHEL≥0.25 且 FRS&lt;0.45 者 8 条（表2）。</w:t>
      </w:r>
    </w:p>
    <w:p>
      <w:pPr>
        <w:pStyle w:val="Caption"/>
      </w:pPr>
      <w:r>
        <w:rPr>
          <w:b/>
        </w:rPr>
        <w:t>表2. UniDL4BioPep 预测并与宏蛋白质组交集后的串联优选。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操作规则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分母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牙周炎标记 smORF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起始库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UniDL4BioPep BBB（BBP）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评分 ≥0.80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证据支持的独特肽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精确匹配并去冗余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33,786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BBB 高分 ∩ 证据支持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交集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 ∩ 33,786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短肽（5–30 aa）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长度分箱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3,446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长肽（31–50 aa）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长度分箱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已评价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7–50 aa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模型阳性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金属结合阳性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Mebipred ≥0.50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行层面交接不可用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 优先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主集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更严子集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序列归属不可用</w:t>
            </w:r>
          </w:p>
        </w:tc>
      </w:tr>
    </w:tbl>
    <w:p>
      <w:pPr>
        <w:spacing w:after="40"/>
      </w:pPr>
    </w:p>
    <w:p>
      <w:pPr>
        <w:pStyle w:val="BodyText"/>
      </w:pPr>
      <w:r>
        <w:t>12 条明示序列均为标准氨基酸组成的互不重复 7–9 aa 肽（表3）。11 条含组氨酸，6 条含半胱氨酸，每条至少含 1 个 Arg 或 Lys。923 条 NTxPred2 阳性肽均 ≤30 aa，因此下游金属/CHEL/FRS 过滤只保留短肽。</w:t>
      </w:r>
    </w:p>
    <w:p>
      <w:pPr>
        <w:pStyle w:val="Caption"/>
      </w:pPr>
      <w:r>
        <w:rPr>
          <w:b/>
        </w:rPr>
        <w:t>表3. 12条7–9 aa候选微肽的序列组成。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序列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His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Cys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Arg+Lys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本地三次对接与PAS结合</w:t>
      </w:r>
    </w:p>
    <w:p>
      <w:pPr>
        <w:pStyle w:val="BodyText"/>
      </w:pPr>
      <w:r>
        <w:t>12 条配体的本地 Vina 打分均有利。最优单次打分介于 -8.25 至 -9.60 kcal/mol，三次运行均值介于 -8.07 ± 0.16 至 -9.44 ± 0.09 kcal/mol（表4，图1）。按最优构象排序，FLLHTTR 居首（-9.60 kcal/mol），随后为 YLSLLQR（-9.49 kcal/mol）和 ALLLHRC（-9.29 kcal/mol）。按三次运行均值排序，则 YLSLLQR 居首（-9.44 ± 0.09 kcal/mol），ALLLHRC 次之（-9.18 ± 0.11 kcal/mol）。FLLHTTR 保留最强单次构象，但三次运行 SD 最大（-8.77 ± 1.41 kcal/mol）。各最优构象形成 3–10 个氢键（平均键长 2.83–3.28 Å；图2、图3；图S1）。</w:t>
      </w:r>
    </w:p>
    <w:p>
      <w:pPr>
        <w:pStyle w:val="Caption"/>
      </w:pPr>
      <w:r>
        <w:rPr>
          <w:b/>
        </w:rPr>
        <w:t>表4. 12条候选微肽对人源AChE（PDB 4EY6）的本地AutoDock Vina打分与PAS结合。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微肽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氢键数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关键残基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最优打分 (kcal/mol)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三次均值±SD (kcal/mol)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PAS结合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SER-203, TYR-124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-9.29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-9.18 ± 0.11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否；催化Ser203/峡部颈部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SER-203, THR-75, TYR-124, TYR-337, TYR-341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-9.27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-8.96 ± 0.48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是；Thr75、Tyr341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ASP-74, HIS-287, LEU-289, PHE-295, TYR-337, TYR-72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-9.60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-8.77 ± 1.41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是；广泛PAS（Asp74、Tyr72、His287）；SD最大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PHE-346, TYR-124, TYR-337, TYR-72, TYR-77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-8.88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-8.69 ± 0.20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是；Tyr72及344–361（Phe346）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TYR-124, TYR-337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-8.35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-8.28 ± 0.07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否；峡部边缘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THR-75, TYR-124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-8.25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-8.07 ± 0.16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是；Thr75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SER-203, TYR-337, VAL-340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-9.01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-8.89 ± 0.16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邻近PAS（Val340）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SER-293, TYR-124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-8.78 ± 0.11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否；峡部入口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HIS-447, PHE-295, TRP-286, TYR-124, TYR-337, TYR-341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-8.91 ± 0.05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是；双位点跨越至His447；SD最小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ASN-283, GLN-279, SER-293, TYR-124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-8.64 ± 0.26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否；外周环区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SER-203, TRP-86, TYR-124, TYR-337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-9.03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-8.62 ± 0.43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否；胆碱口袋Trp86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GLU-202, SER-203, THR-75, TYR-124, TYR-337, TYR-72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-9.49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-9.44 ± 0.09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是；PAS兼催化入口；均值最强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3613125"/>
            <wp:effectExtent l="0" t="0" r="0" b="0"/>
            <wp:docPr id="1" name="Figure 1" descr="图1. 12条候选微肽对人源AChE的本地AutoDock Vina对接打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ing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6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图1. 12条候选微肽对人源AChE（PDB 4EY6）的本地AutoDock Vina对接打分。</w:t>
      </w:r>
      <w:r>
        <w:t xml:space="preserve"> 蓝色圆点为三次运行均值，误差棒为标准差，橙色菱形为最优单次打分。横轴顺序与最优单次打分排序一致。Vina打分为经验排序指标，不能等同于实验结合自由能。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2" name="Figure 2" descr="图2. ALLLHRC、FCLHLQLR、FLLHTTR、HLLTLKKHV、HLPLLHRCC和HVLLLRQCA的最优对接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A_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图2. ALLLHRC、FCLHLQLR、FLLHTTR、HLLTLKKHV、HLPLLHRCC和HVLLLRQCA的最优对接构象（A–F）。</w:t>
      </w:r>
      <w:r>
        <w:t xml:space="preserve"> 微肽为橙色，接触残基为青色，氢键以虚线标示。FLLHTTR（C面板）为最密集的PAS构象。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3" name="Figure 3" descr="图3. LLHLPKRTT、LLHPLRC、LLHPLRL、WLLVHLKK、YHHLLCRR和YLSLLQR的最优对接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G_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图3. LLHLPKRTT、LLHPLRC、LLHPLRL、WLLVHLKK、YHHLLCRR和YLSLLQR的最优对接构象（G–L）。</w:t>
      </w:r>
      <w:r>
        <w:t xml:space="preserve"> LLHPLRL（I面板）从PAS的Trp286/Tyr341跨越至催化His447；YLSLLQR（L面板）桥接PAS与催化入口。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4694774"/>
            <wp:effectExtent l="0" t="0" r="0" b="0"/>
            <wp:docPr id="4" name="Figure 4" descr="图S1. 12条微肽最优对接构象总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12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469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图S1. 12条微肽最优对接构象总览。</w:t>
      </w:r>
      <w:r>
        <w:t xml:space="preserve"> 单页汇总A–L面板。</w:t>
      </w:r>
    </w:p>
    <w:p>
      <w:pPr>
        <w:pStyle w:val="BodyText"/>
      </w:pPr>
      <w:r>
        <w:t>最优构象中直接对接经典 PAS 的配体为 FLLHTTR（图2C）、YLSLLQR（图3L）、FCLHLQLR、HVLLLRQCA、HLLTLKKHV 和 LLHPLRL（图3I）。ALLLHRC 结合催化 Ser203，平均氢键最短（2.83 Å），而非外侧 PAS 芳香核心（图2A）。三次运行均值将可重复的高亲和力配体（YLSLLQR、ALLLHRC、LLHPLRL）与最优构象强于运行均值的配体（FLLHTTR、FCLHLQLR、YHHLLCRR）区分开来。</w:t>
      </w:r>
    </w:p>
    <w:p>
      <w:pPr>
        <w:pStyle w:val="Heading3"/>
        <w:keepNext/>
      </w:pPr>
      <w:r>
        <w:t>apo AChE与三种复合物的100 ns分子动力学</w:t>
      </w:r>
    </w:p>
    <w:p>
      <w:pPr>
        <w:pStyle w:val="BodyText"/>
      </w:pPr>
      <w:r>
        <w:t>对 apo AChE 以及 ALLLHRC、FLLHTTR、YLSLLQR 复合物完成产物轨迹（表5，图4–6）。每幅六面板图比较无配体对照与一条肽复合物：骨架 RMSD（A）、逐残基 RMSF（B）、SASA（C）、Rg（D）、最后 20 ns 的 DSSP 占有率（E）和分子间氢键（F）。</w:t>
      </w:r>
    </w:p>
    <w:p>
      <w:r>
        <w:br w:type="page"/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5" name="Figure 5" descr="图4. apo AChE与AChE–ALLLHRC 100 ns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alllhr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图4. apo AChE与AChE–ALLLHRC 100 ns分子动力学对比。</w:t>
      </w:r>
      <w:r>
        <w:t xml:space="preserve"> A–F面板与表5指标对应。复合物RMSD（A）与apo接近；氢键（F）由早期高占有衰减至后20 ns约2个。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6" name="Figure 6" descr="图5. apo AChE与AChE–FLLHTTR 100 ns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fllhtt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图5. apo AChE与AChE–FLLHTTR 100 ns分子动力学对比。</w:t>
      </w:r>
      <w:r>
        <w:t xml:space="preserve"> 面板布局与图4相同。约50 ns后复合物RMSD（A）低于apo；氢键计数（F）在100 ns全程维持约6–10个。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7" name="Figure 7" descr="图6. apo AChE与AChE–YLSLLQR 100 ns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ylsll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图6. apo AChE与AChE–YLSLLQR 100 ns分子动力学对比。</w:t>
      </w:r>
      <w:r>
        <w:t xml:space="preserve"> 面板布局与图4相同。后期RMSD（A）低于apo；SASA（C）是唯一相对apo收缩的复合物。</w:t>
      </w:r>
    </w:p>
    <w:p>
      <w:pPr>
        <w:pStyle w:val="Caption"/>
      </w:pPr>
      <w:r>
        <w:rPr>
          <w:b/>
        </w:rPr>
        <w:t>表5. apo AChE与三种肽复合物最后20 ns轨迹指标（均值±SD），与图4–6对齐。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指标（最后20 ns）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apo AChE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AChE–ALLLHRC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AChE–FLLHTTR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AChE–YLSLLQR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骨架Cα RMSD (nm)；图A面板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0.1897 ± 0.0090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0.1916 ± 0.0092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0.1640 ± 0.0080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0.1625 ± 0.0078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微肽自拟合RMSD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不适用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0.2518 ± 0.0136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0.1752 ± 0.0111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0.0911 ± 0.0098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逐残基RMSF均值 (nm)；图B面板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0.0835 ± 0.0659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0.0876 ± 0.0581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0.0778 ± 0.0504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0.0771 ± 0.0498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SASA (nm²)；图C面板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212.25 ± 2.89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217.47 ± 2.49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213.88 ± 2.36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209.71 ± 2.35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Rg (nm)；图D面板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2.3045 ± 0.0056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2.3107 ± 0.0052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2.2967 ± 0.0047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2.3028 ± 0.0051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分子间氢键；图F面板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不适用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2.19 ± 0.80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7.03 ± 1.28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2.93 ± 1.14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持续性接触对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不适用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DSSP α-螺旋 / β-折叠 (%)；图E面板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33.44 / 17.35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33.66 / 16.76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32.92 / 17.52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33.31 / 17.02</w:t>
            </w:r>
          </w:p>
        </w:tc>
      </w:tr>
    </w:tbl>
    <w:p>
      <w:pPr>
        <w:spacing w:after="40"/>
      </w:pPr>
    </w:p>
    <w:p>
      <w:pPr>
        <w:pStyle w:val="BodyText"/>
      </w:pPr>
      <w:r>
        <w:t>图4A、图5A和图6A显示 apo RMSD 平台约 0.19 nm。ALLLHRC 与对照接近（复合物 0.1916 nm；仅受体 0.1883 nm）。FLLHTTR 与 YLSLLQR 在约 50–70 ns 后低于 apo（复合物 0.1640 和 0.1625 nm；仅受体 0.1609 和 0.1607 nm），表明肽结合使折叠变刚性而不是变松。微肽自拟合 RMSD 以 ALLLHRC 最高（0.2518 nm）、YLSLLQR 最低（0.0911 nm）。RMSF（B面板）在催化核心保持低值；最大波动来自 apo 的 C 端，FLLHTTR（0.0778 nm）与 YLSLLQR（0.0771 nm）的均值 RMSF 反而低于 apo。Rg（D面板）维持在 2.30–2.31 nm。SASA（C面板）在 ALLLHRC 升至 217.47 nm²，FLLHTTR 接近 apo（213.88 nm²），仅 YLSLLQR 收缩至 209.71 nm²（图6C）。氢键在各 F 面板持续，但模式不同：ALLLHRC 由早期约 6–10 个衰减至后 20 ns 的 2.19 ± 0.80；FLLHTTR 全程维持 7.03 ± 1.28（图5F）；YLSLLQR 均值为 2.93 ± 1.14。DSSP 螺旋（约 33%）与折叠（约 17%）与 apo 柱形重叠（E面板）。三个复合物均保留 7 对持续性接触。质心 RDF 峰分别位于 1.22 nm（ALLLHRC）、1.80 nm（FLLHTTR）和 1.62 nm（YLSLLQR），符合表面驻留而非本体溶剂。</w:t>
      </w:r>
    </w:p>
    <w:p>
      <w:pPr>
        <w:pStyle w:val="Heading2"/>
        <w:keepNext/>
      </w:pPr>
      <w:r>
        <w:t>讨论</w:t>
      </w:r>
    </w:p>
    <w:p>
      <w:pPr>
        <w:pStyle w:val="Heading3"/>
        <w:keepNext/>
      </w:pPr>
      <w:r>
        <w:t>致病肽经PAS通向AD的可能机制</w:t>
      </w:r>
    </w:p>
    <w:p>
      <w:pPr>
        <w:pStyle w:val="BodyText"/>
      </w:pPr>
      <w:r>
        <w:t>AD 同时具有淀粉样沉积与胆碱能衰竭</w:t>
      </w:r>
      <w:r>
        <w:t>[2–3]</w:t>
      </w:r>
      <w:r>
        <w:t>。独立于催化功能，AChE 经 PAS 加速 Aβ 成纤，AChE–Aβ 复合物比游离 Aβ 更具神经毒性</w:t>
      </w:r>
      <w:r>
        <w:t>[4]</w:t>
      </w:r>
      <w:r>
        <w:t>。PAS 疏水基序足以促进该伴侣活性</w:t>
      </w:r>
      <w:r>
        <w:t>[5]</w:t>
      </w:r>
      <w:r>
        <w:t>，PAS 导向配体可在生化实验中抑制 AChE 诱导的 Aβ 聚集</w:t>
      </w:r>
      <w:r>
        <w:t>[19]</w:t>
      </w:r>
      <w:r>
        <w:t>。加速 MD 把 Aβ 放在 AChE 表面并视作成核中心</w:t>
      </w:r>
      <w:r>
        <w:t>[17]</w:t>
      </w:r>
      <w:r>
        <w:t>；1 μs 轨迹使 Aβ 停留在 PAS，主驻留区为 344–361</w:t>
      </w:r>
      <w:r>
        <w:t>[18]</w:t>
      </w:r>
      <w:r>
        <w:t xml:space="preserve">。牙周炎与 </w:t>
      </w:r>
      <w:r>
        <w:rPr>
          <w:i/>
        </w:rPr>
        <w:t>P. gingivalis</w:t>
      </w:r>
      <w:r>
        <w:t xml:space="preserve"> 提供暴露路径：菌体和牙龈蛋白酶见于 AD 脑，小鼠口腔感染可驱动神经炎症和 Aβ 相关改变</w:t>
      </w:r>
      <w:r>
        <w:t>[6,12–13]</w:t>
      </w:r>
      <w:r>
        <w:t>。本次对接与 100 ns 轨迹表明，牙周炎来源微肽可以占据同一 PAS，从而勾勒出四步相连的可能致病机制。</w:t>
      </w:r>
    </w:p>
    <w:p>
      <w:pPr>
        <w:pStyle w:val="Reference"/>
        <w:ind w:left="360" w:hanging="360"/>
      </w:pPr>
      <w:r>
        <w:rPr>
          <w:sz w:val="24"/>
          <w:szCs w:val="24"/>
        </w:rPr>
        <w:t>1. PAS 识别与峡部入口占位。</w:t>
      </w:r>
    </w:p>
    <w:p>
      <w:pPr>
        <w:pStyle w:val="BodyText"/>
      </w:pPr>
      <w:r>
        <w:t xml:space="preserve">   12 条微肽的最优构象富集于人源 AChE（PDB 4EY6）的 PAS 与峡部入口（图1–3，图S1）。FLLHTTR 锚定经典 PAS 残基 Asp74、Tyr72、His287（最优 -9.60 kcal/mol，图2C）。YLSLLQR 同时接触 PAS（Tyr72、Thr75）与催化入口（三次均值 -9.44 ± 0.09 kcal/mol，图3L）。LLHPLRL 从 PAS 门控残基 Trp286/Tyr341 跨越至催化 His447（图3I）。HLLTLKKHV 触及 Tyr72 与 Aβ 主驻留区 344–361 的 Phe346。这一几何就是 Inestrosa 确定的促纤位点，也是 Atanasova 放置 Aβ 的位点。</w:t>
      </w:r>
    </w:p>
    <w:p>
      <w:pPr>
        <w:pStyle w:val="Reference"/>
        <w:ind w:left="360" w:hanging="360"/>
      </w:pPr>
      <w:r>
        <w:rPr>
          <w:sz w:val="24"/>
          <w:szCs w:val="24"/>
        </w:rPr>
        <w:t>2. 酶–肽复合物稳定存在。</w:t>
      </w:r>
    </w:p>
    <w:p>
      <w:pPr>
        <w:pStyle w:val="BodyText"/>
      </w:pPr>
      <w:r>
        <w:t xml:space="preserve">   100 ns 内酶保持球状折叠（RMSD 0.16–0.19 nm，Rg 2.30–2.31 nm，α-螺旋约 33%、β-折叠约 17%；图4–6）。FLLHTTR 与 YLSLLQR 后期 RMSD 低于 apo（0.1640 和 0.1625 nm，相对 0.1897 nm；图5A、图6A），说明肽留在表面并使折叠变刚性，而不是使酶解折叠。分子间氢键持续：FLLHTTR 全程维持密集极性网络（7.03 ± 1.28，图5F），YLSLLQR 均值为 2.93 ± 1.14，ALLLHRC 在早期重排后仍保留 7 对接触。这正是 Lushchekina 与 Atanasova 对 AChE–Aβ 所描述的“表面结合、不解离复合物”，现在出现在牙周炎微肽上。</w:t>
      </w:r>
    </w:p>
    <w:p>
      <w:pPr>
        <w:pStyle w:val="Reference"/>
        <w:ind w:left="360" w:hanging="360"/>
      </w:pPr>
      <w:r>
        <w:rPr>
          <w:sz w:val="24"/>
          <w:szCs w:val="24"/>
        </w:rPr>
        <w:t>3. 胆碱能传递受损。</w:t>
      </w:r>
    </w:p>
    <w:p>
      <w:pPr>
        <w:pStyle w:val="BodyText"/>
      </w:pPr>
      <w:r>
        <w:t xml:space="preserve">   PAS 位于通向催化三联体的 20 Å 峡部入口</w:t>
      </w:r>
      <w:r>
        <w:t>[3,20]</w:t>
      </w:r>
      <w:r>
        <w:t>。Asp74/Tyr72/Trp286/Tyr341 被物理占据后，即使催化核心仍然折叠（B 面板 RMSF 低），也可阻断乙酰胆碱进入并扰动门控。因此，对接在 PAS 上的同一构象同时打击 AD 的胆碱能轴：在基底前脑胆碱能神经元本已减少的突触处，进一步阻碍乙酰胆碱接近水解位点。</w:t>
      </w:r>
    </w:p>
    <w:p>
      <w:pPr>
        <w:pStyle w:val="Reference"/>
        <w:ind w:left="360" w:hanging="360"/>
      </w:pPr>
      <w:r>
        <w:rPr>
          <w:sz w:val="24"/>
          <w:szCs w:val="24"/>
        </w:rPr>
        <w:t>4. 病理性伴侣与淀粉样共成核。</w:t>
      </w:r>
    </w:p>
    <w:p>
      <w:pPr>
        <w:pStyle w:val="BodyText"/>
      </w:pPr>
      <w:r>
        <w:t xml:space="preserve">   PAS 已是明确的促纤伴侣位点</w:t>
      </w:r>
      <w:r>
        <w:t>[4–5]</w:t>
      </w:r>
      <w:r>
        <w:t>，异源肽在此驻留可降低内源 Aβ 的成核能垒。FLLHTTR 在 PAS 上提供与对接构象（图2C）相符的持续极性网络（图5F）。YLSLLQR 提供紧密界面埋藏（SASA 209.71 相对 212.25 nm²，图6C）和最刚性的结合肽（自拟合 RMSD 0.0911 nm），相当于坐稳的种子。Lushchekina 的成核中心模型因此可以直接读到这些复合物上：AChE 保持折叠，并向 Aβ 寡聚体呈递被肽覆盖的 PAS。AChE–Aβ 组装体本就比游离 Aβ 更具突触毒性</w:t>
      </w:r>
      <w:r>
        <w:t>[4]</w:t>
      </w:r>
      <w:r>
        <w:t>；细菌微肽占据同一位点，提供形成杂合、毒性更强晶核的可能路径。</w:t>
      </w:r>
    </w:p>
    <w:p>
      <w:pPr>
        <w:pStyle w:val="Heading3"/>
        <w:keepNext/>
      </w:pPr>
      <w:r>
        <w:t>从口腔到皮层AChE</w:t>
      </w:r>
    </w:p>
    <w:p>
      <w:pPr>
        <w:pStyle w:val="BodyText"/>
      </w:pPr>
      <w:r>
        <w:t xml:space="preserve">慢性牙周炎可通过上皮屏障破坏、牙龈蛋白酶和外膜囊泡，把 </w:t>
      </w:r>
      <w:r>
        <w:rPr>
          <w:i/>
        </w:rPr>
        <w:t>P. gingivalis</w:t>
      </w:r>
      <w:r>
        <w:t xml:space="preserve"> 产物送入循环</w:t>
      </w:r>
      <w:r>
        <w:t>[8–9]</w:t>
      </w:r>
      <w:r>
        <w:t>。系统性细胞因子与蛋白酶增加血脑屏障通透性，使筛选中 BBB 高分的短、富亮氨酸、带正电微肽有可能进入皮层间质</w:t>
      </w:r>
      <w:r>
        <w:t>[6,12]</w:t>
      </w:r>
      <w:r>
        <w:t>。到达之后，PAS 对接为同时具备胆碱水解与淀粉样伴侣功能的突触酶提供分子落点。在这一可能机制中，12 条牙周炎来源序列之所以可称为致病肽，不是因为 RMSD 升高，而是因为它们占据了实验已确立的 Aβ 结合 PAS，并在 100 ns 内保持结合。</w:t>
      </w:r>
    </w:p>
    <w:p>
      <w:pPr>
        <w:pStyle w:val="Heading2"/>
        <w:keepNext/>
      </w:pPr>
      <w:r>
        <w:t>结论</w:t>
      </w:r>
    </w:p>
    <w:p>
      <w:pPr>
        <w:pStyle w:val="BodyText"/>
      </w:pPr>
      <w:r>
        <w:t>牙周炎来源的 7–9 aa 微肽对接到人源 AChE 的 PAS；其中 FLLHTTR、YLSLLQR 与 ALLLHRC 在 100 ns 内表面驻留且不使酶解折叠。FLLHTTR 形成最密的 PAS 氢键网络，YLSLLQR 独特地收缩溶剂可及面积。将其映射到淀粉样级联</w:t>
      </w:r>
      <w:r>
        <w:t>[2]</w:t>
      </w:r>
      <w:r>
        <w:t>、胆碱能假说</w:t>
      </w:r>
      <w:r>
        <w:t>[3]</w:t>
      </w:r>
      <w:r>
        <w:t>以及 Inestrosa、Lushchekina 与 Atanasova 的 PAS 伴侣实验，这些结果支持一种可能机制：口腔致病肽占据 AChE，阻碍乙酰胆碱进入，并在同一 PAS 上与 Aβ 共成核，从而在分子层面把牙周炎与 AD 联系起来。</w:t>
      </w:r>
    </w:p>
    <w:p>
      <w:pPr>
        <w:pStyle w:val="Heading2"/>
        <w:keepNext/>
      </w:pPr>
      <w:r>
        <w:t>参考文献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1. Scheltens P, De Strooper B, Kivipelto M, et al. Alzheimer’s disease. </w:t>
      </w:r>
      <w:r>
        <w:rPr>
          <w:i/>
          <w:sz w:val="24"/>
          <w:szCs w:val="24"/>
        </w:rPr>
        <w:t>Lancet</w:t>
      </w:r>
      <w:r>
        <w:rPr>
          <w:sz w:val="24"/>
          <w:szCs w:val="24"/>
        </w:rPr>
        <w:t>. 2021;397(10284):1577–1590. doi:10.1016/S0140-6736(20)32205-4.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2. Selkoe DJ, Hardy J. The amyloid hypothesis of Alzheimer’s disease at 25 years. </w:t>
      </w:r>
      <w:r>
        <w:rPr>
          <w:i/>
          <w:sz w:val="24"/>
          <w:szCs w:val="24"/>
        </w:rPr>
        <w:t>EMBO Mol Med</w:t>
      </w:r>
      <w:r>
        <w:rPr>
          <w:sz w:val="24"/>
          <w:szCs w:val="24"/>
        </w:rPr>
        <w:t>. 2016;8(6):595–608. doi:10.15252/emmm.201606210.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Hampel H, Mesulam MM, Cuello AC, et al. The cholinergic system in the pathophysiology and treatment of Alzheimer’s disease. </w:t>
      </w:r>
      <w:r>
        <w:rPr>
          <w:i/>
          <w:sz w:val="24"/>
          <w:szCs w:val="24"/>
        </w:rPr>
        <w:t>Brain</w:t>
      </w:r>
      <w:r>
        <w:rPr>
          <w:sz w:val="24"/>
          <w:szCs w:val="24"/>
        </w:rPr>
        <w:t>. 2018;141(7):1917–1933. doi:10.1093/brain/awy132.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4. Inestrosa NC, Alvarez A, Pérez CA, et al. Acetylcholinesterase accelerates assembly of amyloid-β-peptides into Alzheimer’s fibrils. </w:t>
      </w:r>
      <w:r>
        <w:rPr>
          <w:i/>
          <w:sz w:val="24"/>
          <w:szCs w:val="24"/>
        </w:rPr>
        <w:t>Neuron</w:t>
      </w:r>
      <w:r>
        <w:rPr>
          <w:sz w:val="24"/>
          <w:szCs w:val="24"/>
        </w:rPr>
        <w:t>. 1996;16(4):881–891. doi:10.1016/s0896-6273(00)80108-7.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5. De Ferrari GV, Canales MA, Shin I, et al. A structural motif of acetylcholinesterase that promotes amyloid β-peptide fibril formation. </w:t>
      </w:r>
      <w:r>
        <w:rPr>
          <w:i/>
          <w:sz w:val="24"/>
          <w:szCs w:val="24"/>
        </w:rPr>
        <w:t>Biochemistry</w:t>
      </w:r>
      <w:r>
        <w:rPr>
          <w:sz w:val="24"/>
          <w:szCs w:val="24"/>
        </w:rPr>
        <w:t>. 2001;40(35):10447–10457. doi:10.1021/bi0101392.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6. Chalmers JC, Hernandez-Kapila YL. The role of the oral microbiome, host response, and periodontal disease treatment in Alzheimer’s disease: a primer.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2025;98(1):220–227. doi:10.1111/prd.12631.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7. Belstrøm D, Constancias F, Drautz-Moses DI, et al. Periodontitis associates with species-specific gene expression of the oral microbiota. </w:t>
      </w:r>
      <w:r>
        <w:rPr>
          <w:i/>
          <w:sz w:val="24"/>
          <w:szCs w:val="24"/>
        </w:rPr>
        <w:t>npj Biofilms Microbiomes</w:t>
      </w:r>
      <w:r>
        <w:rPr>
          <w:sz w:val="24"/>
          <w:szCs w:val="24"/>
        </w:rPr>
        <w:t>. 2021;7:76. doi:10.1038/s41522-021-00247-y.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8. Guo Y, Nguyen KA, Potempa J. Dichotomy of gingipains action as virulence factors.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2010;54(1):15–44. doi:10.1111/j.1600-0757.2010.00377.x.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9. Ho MH, Chen CH, Goodwin JS, et al. Functional advantages of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vesicles.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2015;10(4):e0123448. doi:10.1371/journal.pone.0123448.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10. Larvin H, Gao C, Kang J, et al. The impact of study factors in the association of periodontal disease and cognitive disorders. </w:t>
      </w:r>
      <w:r>
        <w:rPr>
          <w:i/>
          <w:sz w:val="24"/>
          <w:szCs w:val="24"/>
        </w:rPr>
        <w:t>Age Ageing</w:t>
      </w:r>
      <w:r>
        <w:rPr>
          <w:sz w:val="24"/>
          <w:szCs w:val="24"/>
        </w:rPr>
        <w:t>. 2023;52(2):afad015. doi:10.1093/ageing/afad015.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11. Ide M, Harris M, Stevens A, et al. Periodontitis and cognitive decline in Alzheimer’s disease.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2016;11(3):e0151081. doi:10.1371/journal.pone.0151081.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12. Dominy SS, Lynch C, Ermini F, et al.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in Alzheimer’s disease brains. </w:t>
      </w:r>
      <w:r>
        <w:rPr>
          <w:i/>
          <w:sz w:val="24"/>
          <w:szCs w:val="24"/>
        </w:rPr>
        <w:t>Sci Adv</w:t>
      </w:r>
      <w:r>
        <w:rPr>
          <w:sz w:val="24"/>
          <w:szCs w:val="24"/>
        </w:rPr>
        <w:t>. 2019;5(1):eaau3333. doi:10.1126/sciadv.aau3333.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13. Ilievski V, Zuchowska PK, Green SJ, et al. Chronic oral application of a periodontal pathogen results in brain inflammation, neurodegeneration and amyloid beta production in wild type mice.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2018;13(10):e0204941. doi:10.1371/journal.pone.0204941.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14. Hu C, Li H, Huang L, et al. Periodontal disease and risk of Alzheimer’s disease: a two-sample Mendelian randomization. </w:t>
      </w:r>
      <w:r>
        <w:rPr>
          <w:i/>
          <w:sz w:val="24"/>
          <w:szCs w:val="24"/>
        </w:rPr>
        <w:t>Brain Behav</w:t>
      </w:r>
      <w:r>
        <w:rPr>
          <w:sz w:val="24"/>
          <w:szCs w:val="24"/>
        </w:rPr>
        <w:t>. 2024;14(4):e3486. doi:10.1002/brb3.3486.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15. Sberro H, Fremin BJ, Zlitni S, et al. Large-scale analyses of human microbiomes reveal thousands of small, novel genes.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2019;178(5):1245–1259.e14. doi:10.1016/j.cell.2019.07.016.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16. Durrant MG, Bhatt AS. Automated prediction and annotation of small open reading frames in microbial genomes. </w:t>
      </w:r>
      <w:r>
        <w:rPr>
          <w:i/>
          <w:sz w:val="24"/>
          <w:szCs w:val="24"/>
        </w:rPr>
        <w:t>Cell Host Microbe</w:t>
      </w:r>
      <w:r>
        <w:rPr>
          <w:sz w:val="24"/>
          <w:szCs w:val="24"/>
        </w:rPr>
        <w:t>. 2021;29(1):121–131.e4. doi:10.1016/j.chom.2020.11.002.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17. Lushchekina SV, Kots ED, Novichkova DA, Petrov KA, Masson P. Role of acetylcholinesterase in β-amyloid aggregation studied by accelerated molecular dynamics. </w:t>
      </w:r>
      <w:r>
        <w:rPr>
          <w:i/>
          <w:sz w:val="24"/>
          <w:szCs w:val="24"/>
        </w:rPr>
        <w:t>BioNanoScience</w:t>
      </w:r>
      <w:r>
        <w:rPr>
          <w:sz w:val="24"/>
          <w:szCs w:val="24"/>
        </w:rPr>
        <w:t>. 2017;7(2):396–402. doi:10.1007/s12668-016-0375-x.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18. Atanasova M, Dimitrov I, Ivanov S. Molecular dynamics simulations of acetylcholinesterase–beta-amyloid peptide complex. </w:t>
      </w:r>
      <w:r>
        <w:rPr>
          <w:i/>
          <w:sz w:val="24"/>
          <w:szCs w:val="24"/>
        </w:rPr>
        <w:t>Cybern Inf Technol</w:t>
      </w:r>
      <w:r>
        <w:rPr>
          <w:sz w:val="24"/>
          <w:szCs w:val="24"/>
        </w:rPr>
        <w:t>. 2020;20(6):140–154. doi:10.2478/cait-2020-0068.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19. Bartolini M, Bertucci C, Cavrini V, Andrisano V. β-Amyloid aggregation induced by human acetylcholinesterase: inhibition studies. </w:t>
      </w:r>
      <w:r>
        <w:rPr>
          <w:i/>
          <w:sz w:val="24"/>
          <w:szCs w:val="24"/>
        </w:rPr>
        <w:t>Biochem Pharmacol</w:t>
      </w:r>
      <w:r>
        <w:rPr>
          <w:sz w:val="24"/>
          <w:szCs w:val="24"/>
        </w:rPr>
        <w:t>. 2003;65(3):407–416. doi:10.1016/s0006-2952(02)01514-9.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20. Cheung J, Rudolph MJ, Burshteyn F, et al. Structures of human acetylcholinesterase in complex with pharmacologically important ligands. </w:t>
      </w:r>
      <w:r>
        <w:rPr>
          <w:i/>
          <w:sz w:val="24"/>
          <w:szCs w:val="24"/>
        </w:rPr>
        <w:t>J Med Chem</w:t>
      </w:r>
      <w:r>
        <w:rPr>
          <w:sz w:val="24"/>
          <w:szCs w:val="24"/>
        </w:rPr>
        <w:t>. 2012;55(23):10282–10286. doi:10.1021/jm300871x.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21. Chen T, Yu WH, Izard J, et al. The Human Oral Microbiome Database: a web accessible resource for investigating oral microbe taxonomic and genomic information. </w:t>
      </w:r>
      <w:r>
        <w:rPr>
          <w:i/>
          <w:sz w:val="24"/>
          <w:szCs w:val="24"/>
        </w:rPr>
        <w:t>Database (Oxford)</w:t>
      </w:r>
      <w:r>
        <w:rPr>
          <w:sz w:val="24"/>
          <w:szCs w:val="24"/>
        </w:rPr>
        <w:t>. 2010;2010:baq013. doi:10.1093/database/baq013.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22. Belstrøm D, Jersie-Christensen RR, Lyon D, et al. Metaproteomics of saliva identifies human protein markers specific for individuals with periodontitis and dental caries compared to orally healthy controls. </w:t>
      </w:r>
      <w:r>
        <w:rPr>
          <w:i/>
          <w:sz w:val="24"/>
          <w:szCs w:val="24"/>
        </w:rPr>
        <w:t>PeerJ</w:t>
      </w:r>
      <w:r>
        <w:rPr>
          <w:sz w:val="24"/>
          <w:szCs w:val="24"/>
        </w:rPr>
        <w:t>. 2016;4:e2433. doi:10.7717/peerj.2433.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23. Du Z, Ding X, Xu Y, Li Y. UniDL4BioPep: a universal deep learning architecture for binary classification in peptide bioactivity. </w:t>
      </w:r>
      <w:r>
        <w:rPr>
          <w:i/>
          <w:sz w:val="24"/>
          <w:szCs w:val="24"/>
        </w:rPr>
        <w:t>Brief Bioinform</w:t>
      </w:r>
      <w:r>
        <w:rPr>
          <w:sz w:val="24"/>
          <w:szCs w:val="24"/>
        </w:rPr>
        <w:t>. 2023;24(3):bbad135. doi:10.1093/bib/bbad135.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24. Rathore AS, Jain S, Choudhury S, Raghava GPS. A large language model for predicting neurotoxic peptides and neurotoxins. </w:t>
      </w:r>
      <w:r>
        <w:rPr>
          <w:i/>
          <w:sz w:val="24"/>
          <w:szCs w:val="24"/>
        </w:rPr>
        <w:t>Protein Sci</w:t>
      </w:r>
      <w:r>
        <w:rPr>
          <w:sz w:val="24"/>
          <w:szCs w:val="24"/>
        </w:rPr>
        <w:t>. 2025;34(8):e70200. doi:10.1002/pro.70200.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25. Aptekmann AA, Buongiorno J, Giovannelli D, et al. mebipred: identifying metal-binding potential in protein sequence. </w:t>
      </w:r>
      <w:r>
        <w:rPr>
          <w:i/>
          <w:sz w:val="24"/>
          <w:szCs w:val="24"/>
        </w:rPr>
        <w:t>Bioinformatics</w:t>
      </w:r>
      <w:r>
        <w:rPr>
          <w:sz w:val="24"/>
          <w:szCs w:val="24"/>
        </w:rPr>
        <w:t>. 2022;38(14):3532–3540. doi:10.1093/bioinformatics/btac358.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26. Olsen TH, Yesiltas B, Marin FI, et al. AnOxPePred: using deep learning for the prediction of antioxidative properties of peptides. </w:t>
      </w:r>
      <w:r>
        <w:rPr>
          <w:i/>
          <w:sz w:val="24"/>
          <w:szCs w:val="24"/>
        </w:rPr>
        <w:t>Sci Rep</w:t>
      </w:r>
      <w:r>
        <w:rPr>
          <w:sz w:val="24"/>
          <w:szCs w:val="24"/>
        </w:rPr>
        <w:t>. 2020;10:21471. doi:10.1038/s41598-020-78319-w.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27. Trott O, Olson AJ. AutoDock Vina: improving the speed and accuracy of docking with a new scoring function. </w:t>
      </w:r>
      <w:r>
        <w:rPr>
          <w:i/>
          <w:sz w:val="24"/>
          <w:szCs w:val="24"/>
        </w:rPr>
        <w:t>J Comput Chem</w:t>
      </w:r>
      <w:r>
        <w:rPr>
          <w:sz w:val="24"/>
          <w:szCs w:val="24"/>
        </w:rPr>
        <w:t>. 2010;31(2):455–461. doi:10.1002/jcc.21334.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28. Eberhardt J, Santos-Martins D, Tillack AF, Forli S. AutoDock Vina 1.2.0: new docking methods, expanded force field, and Python bindings. </w:t>
      </w:r>
      <w:r>
        <w:rPr>
          <w:i/>
          <w:sz w:val="24"/>
          <w:szCs w:val="24"/>
        </w:rPr>
        <w:t>J Chem Inf Model</w:t>
      </w:r>
      <w:r>
        <w:rPr>
          <w:sz w:val="24"/>
          <w:szCs w:val="24"/>
        </w:rPr>
        <w:t>. 2021;61(8):3891–3898. doi:10.1021/acs.jcim.1c00203.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29. Abraham MJ, Murtola T, Schulz R, et al. GROMACS: high performance molecular simulations through multi-level parallelism from laptops to supercomputers. </w:t>
      </w:r>
      <w:r>
        <w:rPr>
          <w:i/>
          <w:sz w:val="24"/>
          <w:szCs w:val="24"/>
        </w:rPr>
        <w:t>SoftwareX</w:t>
      </w:r>
      <w:r>
        <w:rPr>
          <w:sz w:val="24"/>
          <w:szCs w:val="24"/>
        </w:rPr>
        <w:t>. 2015;1–2:19–25. doi:10.1016/j.softx.2015.06.001.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30. Lindorff-Larsen K, Piana S, Palmo K, et al. Improved side-chain torsion potentials for the Amber ff99SB protein force field. </w:t>
      </w:r>
      <w:r>
        <w:rPr>
          <w:i/>
          <w:sz w:val="24"/>
          <w:szCs w:val="24"/>
        </w:rPr>
        <w:t>Proteins</w:t>
      </w:r>
      <w:r>
        <w:rPr>
          <w:sz w:val="24"/>
          <w:szCs w:val="24"/>
        </w:rPr>
        <w:t>. 2010;78(8):1950–1958. doi:10.1002/prot.22711.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31. Torres MDT, Brooks EF, Cesaro A, et al. Mining human microbiomes reveals an untapped source of peptide antibiotics.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2024;187(19):5453–5467.e15. doi:10.1016/j.cell.2024.07.027.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</dc:title>
  <dcterms:created xsi:type="dcterms:W3CDTF">2026-08-23T00:00:00Z</dcterms:created>
  <dcterms:modified xsi:type="dcterms:W3CDTF">2026-08-23T00:00:00Z</dcterms:modified>
</cp:coreProperties>
</file>