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Porphyromonas gingivalis supply one mapped virulence pair </w:t>
      </w:r>
      <w:r>
        <w:rPr>
          <w:noProof/>
        </w:rPr>
        <w:fldChar w:fldCharType="begin"/>
      </w:r>
      <w:r>
        <w:rPr>
          <w:noProof/>
        </w:rP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rPr>
          <w:noProof/>
        </w:rPr>
        <w:fldChar w:fldCharType="begin"/>
      </w:r>
      <w:r>
        <w:rPr>
          <w:noProof/>
        </w:rP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w:t>
      </w:r>
      <w:r>
        <w:rPr>
          <w:noProof/>
        </w:rPr>
        <w:fldChar w:fldCharType="begin"/>
      </w:r>
      <w:r>
        <w:rPr>
          <w:noProof/>
        </w:rP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Torpedo AChE </w:t>
      </w:r>
      <w:r>
        <w:rPr>
          <w:noProof/>
        </w:rPr>
        <w:fldChar w:fldCharType="begin"/>
      </w:r>
      <w:r>
        <w:rPr>
          <w:noProof/>
        </w:rP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Ligand starting coordinates were the AlphaFold3-predicted peptide structures carried forward from docking. Four explicit-solvent systems were built in GROMACS 2025.1 with Amber99SB-ILDN and TIP3P water at 0.15 M NaCl </w:t>
      </w:r>
      <w:r>
        <w:rPr>
          <w:noProof/>
        </w:rPr>
        <w:fldChar w:fldCharType="begin"/>
      </w:r>
      <w:r>
        <w:rPr>
          <w:noProof/>
        </w:rP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Isolated complexes contain enzyme bound to growing fibrils </w:t>
      </w:r>
      <w:r>
        <w:rPr>
          <w:noProof/>
        </w:rPr>
        <w:fldChar w:fldCharType="begin"/>
      </w:r>
      <w:r>
        <w:rPr>
          <w:noProof/>
        </w:rP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and the plaque-associated activity remains sensitive to PAS blockade </w:t>
      </w:r>
      <w:r>
        <w:rPr>
          <w:noProof/>
        </w:rPr>
        <w:fldChar w:fldCharType="begin"/>
      </w:r>
      <w:r>
        <w:rPr>
          <w:noProof/>
        </w:rP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These studies support PAS as a functional surface that can take part in AChE-mediated Aβ assembly </w:t>
      </w:r>
      <w:r>
        <w:rPr>
          <w:noProof/>
        </w:rPr>
        <w:fldChar w:fldCharType="begin"/>
      </w:r>
      <w:r>
        <w:rPr>
          <w:noProof/>
        </w:rP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100-ns trajectories examine predicted contacts of periodontitis-derived micropeptides at that surface.</w:t>
      </w:r>
    </w:p>
    <w:p>
      <w:pPr>
        <w:pStyle w:val="BodyText"/>
      </w:pPr>
      <w:r>
        <w:t xml:space="preserve">An oral exposure path is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rPr>
          <w:noProof/>
        </w:rPr>
        <w:fldChar w:fldCharType="begin"/>
      </w:r>
      <w:r>
        <w:rPr>
          <w:noProof/>
        </w:rP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BodyText"/>
      </w:pPr>
      <w:r>
        <w:t xml:space="preserve">Deep-learning peptide mining supplied the filter stack. Millions of translated microbiome open reading frames have been scored before experimental filters </w:t>
      </w:r>
      <w:r>
        <w:rPr>
          <w:noProof/>
        </w:rPr>
        <w:fldChar w:fldCharType="begin"/>
      </w:r>
      <w:r>
        <w:rPr>
          <w:noProof/>
        </w:rP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rPr>
          <w:noProof/>
        </w:rPr>
        <w:fldChar w:fldCharType="begin"/>
      </w:r>
      <w:r>
        <w:rPr>
          <w:noProof/>
        </w:rP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Those physicochemical traits made the twelve strings worth docking. Net charge and leucine content do not establish PAS selectivity, a shared binding mode, or affinity.</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rPr>
          <w:noProof/>
        </w:rPr>
        <w:fldChar w:fldCharType="begin"/>
      </w:r>
      <w:r>
        <w:rPr>
          <w:noProof/>
        </w:rP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shared residue names do not make the peptide pose equivalent in mode or function. HLLTLKKHV reaches Phe346 in the 344–361 zone occupied by Aβ on a 1-μs trajectory </w:t>
      </w:r>
      <w:r>
        <w:rPr>
          <w:noProof/>
        </w:rPr>
        <w:fldChar w:fldCharType="begin"/>
      </w:r>
      <w:r>
        <w:rPr>
          <w:noProof/>
        </w:rP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PAS ligands have been crystallised stacked between Trp286 and Tyr341; the same pair appears for LLHPLRL </w:t>
      </w:r>
      <w:r>
        <w:rPr>
          <w:noProof/>
        </w:rPr>
        <w:fldChar w:fldCharType="begin"/>
      </w:r>
      <w:r>
        <w:rPr>
          <w:noProof/>
        </w:rP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t>
      </w:r>
      <w:r>
        <w:rPr>
          <w:noProof/>
        </w:rPr>
        <w:fldChar w:fldCharType="begin"/>
      </w:r>
      <w:r>
        <w:rPr>
          <w:noProof/>
        </w:rP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rPr>
          <w:noProof/>
        </w:rPr>
        <w:fldChar w:fldCharType="begin"/>
      </w:r>
      <w:r>
        <w:rPr>
          <w:noProof/>
        </w:rP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rPr>
          <w:noProof/>
        </w:rPr>
        <w:fldChar w:fldCharType="begin"/>
      </w:r>
      <w:r>
        <w:rPr>
          <w:noProof/>
        </w:rP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rPr>
          <w:noProof/>
        </w:rPr>
        <w:fldChar w:fldCharType="begin"/>
      </w:r>
      <w:r>
        <w:rPr>
          <w:noProof/>
        </w:rP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The present split is a computational analogue of that biochemical distinction, limited to one trajectory per complex.</w:t>
      </w:r>
    </w:p>
    <w:p>
      <w:pPr>
        <w:pStyle w:val="BodyText"/>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rPr>
          <w:noProof/>
        </w:rPr>
        <w:fldChar w:fldCharType="begin"/>
      </w:r>
      <w:r>
        <w:rPr>
          <w:noProof/>
        </w:rP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[22,51]</w:t>
      </w:r>
      <w:r>
        <w:rPr>
          <w:noProof/>
        </w:rPr>
        <w:fldChar w:fldCharType="end"/>
      </w:r>
      <w:r>
        <w:t xml:space="preserve">. Second, a lasting enzyme–peptide complex: intermolecular hydrogen bonds persist on the present window, as in AChE–Aβ trajectories and in isolated stable complexes </w:t>
      </w:r>
      <w:r>
        <w:rPr>
          <w:noProof/>
        </w:rPr>
        <w:fldChar w:fldCharType="begin"/>
      </w:r>
      <w:r>
        <w:rPr>
          <w:noProof/>
        </w:rP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and allosteric mode described for PAS ligands </w:t>
      </w:r>
      <w:r>
        <w:rPr>
          <w:noProof/>
        </w:rPr>
        <w:fldChar w:fldCharType="begin"/>
      </w:r>
      <w:r>
        <w:rPr>
          <w:noProof/>
        </w:rP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AChE accelerates Aβ fibril assembly through the PAS, and AChE–Aβ particles are more toxic than free peptide </w:t>
      </w:r>
      <w:r>
        <w:rPr>
          <w:noProof/>
        </w:rPr>
        <w:fldChar w:fldCharType="begin"/>
      </w:r>
      <w:r>
        <w:rPr>
          <w:noProof/>
        </w:rP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[4,38–39]</w:t>
      </w:r>
      <w:r>
        <w:rPr>
          <w:noProof/>
        </w:rPr>
        <w:fldChar w:fldCharType="end"/>
      </w:r>
      <w:r>
        <w:t xml:space="preserve">. A short hydrophobic PAS motif of the enzyme is sufficient for that chaperone effect </w:t>
      </w:r>
      <w:r>
        <w:rPr>
          <w:noProof/>
        </w:rPr>
        <w:fldChar w:fldCharType="begin"/>
      </w:r>
      <w:r>
        <w:rPr>
          <w:noProof/>
        </w:rP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Reviews place plaque-associated AChE in cross-talk with Aβ still sensitive to PAS blockade </w:t>
      </w:r>
      <w:r>
        <w:rPr>
          <w:noProof/>
        </w:rPr>
        <w:fldChar w:fldCharType="begin"/>
      </w:r>
      <w:r>
        <w:rPr>
          <w:noProof/>
        </w:rP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[43]</w:t>
      </w:r>
      <w:r>
        <w:rPr>
          <w:noProof/>
        </w:rP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PAS-directed small molecules block AChE-induced aggregation </w:t>
      </w:r>
      <w:r>
        <w:rPr>
          <w:noProof/>
        </w:rPr>
        <w:fldChar w:fldCharType="begin"/>
      </w:r>
      <w:r>
        <w:rPr>
          <w:noProof/>
        </w:rP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those ligands inhibit the chaperone surface. The AChE–Aβ literature describes a peptide ligand that uses the same surface as a nucleation site </w:t>
      </w:r>
      <w:r>
        <w:rPr>
          <w:noProof/>
        </w:rPr>
        <w:fldChar w:fldCharType="begin"/>
      </w:r>
      <w:r>
        <w:rPr>
          <w:noProof/>
        </w:rP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[4,20,21]</w:t>
      </w:r>
      <w:r>
        <w:rPr>
          <w:noProof/>
        </w:rPr>
        <w:fldChar w:fldCharType="end"/>
      </w:r>
      <w:r>
        <w:t xml:space="preserve">. An oral heptapeptide that stays at PAS belongs with that peptide class. The four steps remain a hypothesis: this study does not measure acetylcholine hydrolysis or Aβ aggregation.</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BodyText"/>
      </w:pPr>
      <w:r>
        <w:t xml:space="preserve">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