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Deep-learning screening, molecular docking and molecular dynamics of periodontitis oral micropeptides targeting human acetylcholinesterase</w:t>
      </w:r>
    </w:p>
    <w:p>
      <w:pPr>
        <w:pStyle w:val="Heading2"/>
        <w:keepNext/>
      </w:pPr>
      <w:r>
        <w:t>Abstract</w:t>
      </w:r>
    </w:p>
    <w:p>
      <w:pPr>
        <w:pStyle w:val="Normal"/>
      </w:pPr>
      <w:r>
        <w:t xml:space="preserve">Periodontitis has been linked to Alzheimer’s disease (AD) in epidemiological and experimental studies, but it remains unclear whether oral microbial molecules could take part in processes related to amyloid-β (Aβ) assembly. This study aimed to screen oral microbe-derived short peptides that may interact with the peripheral anionic site (PAS) of human acetylcholinesterase (AChE), and to assess possible modes of interaction by molecular simulation. sORFs were predicted with EMBOSS getorf from PRJNA678453 metagenome-assembled genomes and scored with UniDL4BioPep. Periodontitis-labelled candidates were then matched to oral genomic and metaproteomic catalogues and reduced with NTxPred2, mebipred and AnOxPePred to twelve explicit peptides. All twelve are 7–9 residues, net-positive at pH 7.4, and leucine-rich. The twelve ligands were docked into human AChE; apo enzyme and three representative complexes were then run for 100-ns MD. Docking placed FLLHTTR, YLSLLQR and LLHPLRL near the PAS. Relative to apo AChE, the FLLHTTR and YLSLLQR complexes adopted more compact overall conformations; FLLHTTR showed a richer intermolecular hydrogen-bond network, and YLSLLQR a reduced solvent-accessible surface. These features are conformational and contact descriptors, not proof of tighter binding. The calculations suggest that some oral micropeptides may interact with AChE-PAS. They supply computational evidence for a possible peptide-level link between periodontitis and AD-related AChE–Aβ biology, and they nominate candidates for later binding and Aβ-aggregation assays.</w:t>
      </w:r>
    </w:p>
    <w:p>
      <w:pPr>
        <w:pStyle w:val="Keywords"/>
      </w:pPr>
      <w:r>
        <w:rPr>
          <w:b/>
        </w:rPr>
        <w:t>Keywords:</w:t>
      </w:r>
      <w:r>
        <w:t xml:space="preserve"> Alzheimer’s disease; periodontitis; micropeptide; molecular docking; molecular dynamics</w:t>
      </w:r>
    </w:p>
    <w:p>
      <w:pPr>
        <w:pStyle w:val="Heading2"/>
        <w:keepNext/>
      </w:pPr>
      <w:r>
        <w:t>Introduction</w:t>
      </w:r>
    </w:p>
    <w:p>
      <w:pPr>
        <w:pStyle w:val="BodyText"/>
      </w:pPr>
      <w:r>
        <w:t xml:space="preserve">Alzheimer’s disease (AD) combines amyloid deposition, tau pathology, synaptic failure, immune activation and vascular injury over a long preclinical course </w:t>
      </w:r>
      <w:r>
        <w:t>[1]</w:t>
      </w:r>
      <w:r>
        <w:t xml:space="preserve">. Sequential cleavage of APP by β- and γ-secretases releases Aβ40 and Aβ42; soluble oligomers injure synapses; familial APP/PSEN mutations change peptide length and amount </w:t>
      </w:r>
      <w:r>
        <w:t>[2]</w:t>
      </w:r>
      <w:r>
        <w:t xml:space="preserve">. Amyloid load does not explain the spatial or clinical heterogeneity of the disease, so peripheral inflammatory exposures have been examined as possible modifiers of vulnerability rather than as single sufficient causes. Clarifying possible molecular links between peripheral chronic inflammation and AD-related pathology is therefore one route into that heterogeneity. Beyond inflammatory signalling itself, whether microbial products can take part in protein interactions related to Aβ generation, assembly or synaptic failure remains an open question.</w:t>
      </w:r>
    </w:p>
    <w:p>
      <w:pPr>
        <w:pStyle w:val="BodyText"/>
      </w:pPr>
      <w:r>
        <w:t xml:space="preserve">Loss of basal-forebrain acetylcholine accounts for a large fraction of the cognitive picture, which is why AChE inhibitors remain in routine use </w:t>
      </w:r>
      <w:r>
        <w:t>[3]</w:t>
      </w:r>
      <w:r>
        <w:t xml:space="preserve">. Catalysis is only part of the enzyme’s role. AChE accelerates Aβ fibril growth through the peripheral anionic site (PAS), and AChE–Aβ particles are more toxic than free peptide </w:t>
      </w:r>
      <w:r>
        <w:t>[4]</w:t>
      </w:r>
      <w:r>
        <w:t xml:space="preserve">. A short hydrophobic PAS motif is sufficient for that chaperone effect </w:t>
      </w:r>
      <w:r>
        <w:t>[5]</w:t>
      </w:r>
      <w:r>
        <w:t xml:space="preserve">. PAS-directed small molecules can block AChE-induced aggregation in biochemical assays </w:t>
      </w:r>
      <w:r>
        <w:t>[6]</w:t>
      </w:r>
      <w:r>
        <w:t>. The same protein surface therefore joins cholinergic failure to amyloid deposition.</w:t>
      </w:r>
    </w:p>
    <w:p>
      <w:pPr>
        <w:pStyle w:val="BodyText"/>
      </w:pPr>
      <w:r>
        <w:t xml:space="preserve">Chronic periodontitis maintains a low-grade inflammatory load at a disrupted mucosal barrier and allows microbial products into blood </w:t>
      </w:r>
      <w:r>
        <w:t>[7]</w:t>
      </w:r>
      <w:r>
        <w:t xml:space="preserve">. Oral activity is species- and site-specific, so 16S abundance cannot stand in for a molecular ligand </w:t>
      </w:r>
      <w:r>
        <w:t>[8]</w:t>
      </w:r>
      <w:r>
        <w:t xml:space="preserve">. Meta-analyses report associations between periodontal disease and cognitive disorders, although effect sizes move with case definitions </w:t>
      </w:r>
      <w:r>
        <w:t>[9]</w:t>
      </w:r>
      <w:r>
        <w:t xml:space="preserve">. In an AD cohort, periodontitis tracked later decline </w:t>
      </w:r>
      <w:r>
        <w:t>[10]</w:t>
      </w:r>
      <w:r>
        <w:t xml:space="preserve">. A two-sample Mendelian randomization analysis did not support a genetic causal effect of periodontal disease on AD </w:t>
      </w:r>
      <w:r>
        <w:t>[11]</w:t>
      </w:r>
      <w:r>
        <w:t>. Epidemiology therefore motivates a molecular search; it does not identify the ligand.</w:t>
      </w:r>
    </w:p>
    <w:p>
      <w:pPr>
        <w:pStyle w:val="BodyText"/>
      </w:pPr>
      <w:r>
        <w:t xml:space="preserve">Gingipains and outer-membrane vesicles of Porphyromonas gingivalis supply one mapped virulence pair </w:t>
      </w:r>
      <w:r>
        <w:t>[12–13]</w:t>
      </w:r>
      <w:r>
        <w:t xml:space="preserve">. The organism and gingipains have been reported in AD brains </w:t>
      </w:r>
      <w:r>
        <w:t>[14]</w:t>
      </w:r>
      <w:r>
        <w:t xml:space="preserve">, and repeated oral infection in mice produces neuroinflammation and Aβ-related changes </w:t>
      </w:r>
      <w:r>
        <w:t>[15]</w:t>
      </w:r>
      <w:r>
        <w:t xml:space="preserve">. Those observations justify looking at oral products. They do not, by themselves, name a peptide that occupies AChE. Existing work has mainly tracked named pathogens, virulence factors and inflammatory responses. Whether short peptides encoded by the oral microbiome could themselves take part in AD-related protein interactions is still poorly defined. Short microbial peptides are a candidate class because they are compact and chemically diverse. Nominating such peptides and testing them against an AD-related target would move the periodontitis–AD association onto a more specific molecular footing.</w:t>
      </w:r>
    </w:p>
    <w:p>
      <w:pPr>
        <w:pStyle w:val="BodyText"/>
      </w:pPr>
      <w:r>
        <w:t xml:space="preserve">Microbiome smORFs encode a large pool of uncharted small proteins </w:t>
      </w:r>
      <w:r>
        <w:t>[16–17]</w:t>
      </w:r>
      <w:r>
        <w:t xml:space="preserve">. Mining of human microbiomes for peptide antibiotics first scored millions of translated open reading frames and then applied experimental filters </w:t>
      </w:r>
      <w:r>
        <w:t>[18]</w:t>
      </w:r>
      <w:r>
        <w:t xml:space="preserve">. UniDL4BioPep supplies more than twenty binary bioactivity heads on ESM-2 embeddings </w:t>
      </w:r>
      <w:r>
        <w:t>[19]</w:t>
      </w:r>
      <w:r>
        <w:t xml:space="preserve">. Sequence-based scores can only rank candidates; they cannot prove a protein-binding activity or locate a pose on a target surface. After a shortlist exists, docking and MD are needed to ask whether an interaction with AChE-PAS is geometrically plausible and what conformational features it would have. Combining sequence filters with that structural step narrows a large oral-encoded set to a smaller list that later assays can test.</w:t>
      </w:r>
    </w:p>
    <w:p>
      <w:pPr>
        <w:pStyle w:val="BodyText"/>
      </w:pPr>
      <w:r>
        <w:t xml:space="preserve">Molecular docking and MD are the usual next step once a ligand list exists. Accelerated MD places Aβ on the AChE surface and treats the enzyme as a nucleation centre </w:t>
      </w:r>
      <w:r>
        <w:t>[20]</w:t>
      </w:r>
      <w:r>
        <w:t xml:space="preserve">. A 1-μs PAS-centred AChE–Aβ trajectory remains bound, with the main residence at residues 344–361 </w:t>
      </w:r>
      <w:r>
        <w:t>[21]</w:t>
      </w:r>
      <w:r>
        <w:t xml:space="preserve">. PDB 4EY6 gives a 2.40 Å human AChE frame </w:t>
      </w:r>
      <w:r>
        <w:t>[22]</w:t>
      </w:r>
      <w:r>
        <w:t xml:space="preserve">. The aromatic gorge that joins the catalytic triad to the PAS was mapped on Torpedo AChE </w:t>
      </w:r>
      <w:r>
        <w:t>[23]</w:t>
      </w:r>
      <w:r>
        <w:t xml:space="preserve">. Docking can assess whether oral short peptides may interact with that same PAS; MD can assess conformational features of the complex. What remains missing is that peptide-level test, drawn from oral smORFs rather than from Aβ itself.</w:t>
      </w:r>
    </w:p>
    <w:p>
      <w:pPr>
        <w:pStyle w:val="BodyText"/>
      </w:pPr>
      <w:r>
        <w:t xml:space="preserve">On that background, this study aimed to screen oral microbiome-encoded short peptides that may interact with the PAS of AChE, and to assess possible modes of interaction by computation. We hypothesise that some oral-encoded short peptides have sequence and physicochemical features compatible with AChE-PAS occupancy, and that those peptides therefore deserve to be examined for a possible role in AChE-related Aβ assembly. sORFs were predicted with EMBOSS getorf from PRJNA678453 MAGs and scored with 22 UniDL4BioPep heads; periodontitis-labelled candidates were matched to oral genomic and metaproteomic catalogues and reduced with NTxPred2, mebipred and AnOxPePred. Twelve short peptides were then modelled with AlphaFold3 and docked into human AChE. Apo AChE and three representative complexes—the two strongest PAS poses (FLLHTTR, YLSLLQR) and the strongest catalytic-site pose (ALLLHRC)—were simulated for 100 ns to inspect conformational change, intermolecular contacts and apparent stability on that window. The aim is to nominate peptide-level candidates and computational evidence for a possible oral–AD molecular link, not to prove pathogenicity, and to set up later peptide–AChE binding and Aβ-aggregation assays.</w:t>
      </w:r>
    </w:p>
    <w:p>
      <w:pPr>
        <w:pStyle w:val="Heading2"/>
        <w:keepNext/>
      </w:pPr>
      <w:r>
        <w:t>Materials and methods</w:t>
      </w:r>
    </w:p>
    <w:p>
      <w:pPr>
        <w:pStyle w:val="Heading3"/>
        <w:keepNext/>
      </w:pPr>
      <w:r>
        <w:t>Study design</w:t>
      </w:r>
    </w:p>
    <w:p>
      <w:pPr>
        <w:pStyle w:val="BodyText"/>
      </w:pPr>
      <w:r>
        <w:t xml:space="preserve">The work is computational. No new patients, specimens, sequencing runs or wet assays were added. Healthy and periodontitis tags are library labels; they are not peptide-level clinical diagnoses. Ligand starting coordinates for docking were AlphaFold3-predicted structures of the twelve peptides. All twelve were docked with local three-run AutoDock Vina. MD used GROMACS 2025.1 on apo AChE and three complexes taken from the best-run poses, as described below.</w:t>
      </w:r>
    </w:p>
    <w:p>
      <w:pPr>
        <w:pStyle w:val="Heading3"/>
        <w:keepNext/>
      </w:pPr>
      <w:r>
        <w:t>Source libraries and sORF prediction</w:t>
      </w:r>
    </w:p>
    <w:p>
      <w:pPr>
        <w:pStyle w:val="BodyText"/>
      </w:pPr>
      <w:r>
        <w:t xml:space="preserve">The public source is PRJNA678453, paired oral metagenomes and metatranscriptomes from periodontitis and orally healthy donors </w:t>
      </w:r>
      <w:r>
        <w:t>[8]</w:t>
      </w:r>
      <w:r>
        <w:t>. A derived MGnify third-party assembly, PRJEB65451 (metaSPAdes v3.15.3), exists for the same BioProject and is not a second clinical cohort. Metagenome-assembled genomes (MAGs) were sorted into 24 healthy-labelled and 26 periodontitis-labelled sample folders; 296 MAG files were matched through GCA-to-SRR metadata. Open reading frames were predicted with EMBOSS getorf using bacterial codon table 11, from start codon to stop codon (</w:t>
      </w:r>
      <w:r>
        <w:rPr>
          <w:rFonts w:ascii="Consolas" w:hAnsi="Consolas" w:eastAsia="等线"/>
          <w:shd w:val="clear" w:color="auto" w:fill="F2F4F7"/>
        </w:rPr>
        <w:t>-find 0</w:t>
      </w:r>
      <w:r>
        <w:t xml:space="preserve">), with a length window of 15–150 bp </w:t>
      </w:r>
      <w:r>
        <w:t>[24]</w:t>
      </w:r>
      <w:r>
        <w:t>. Identical amino-acid strings were collapsed. Qualitative presence or absence of each unique string across samples was recorded without remapping reads to the MAG set. The scored libraries contained 11,269,961 healthy-labelled and 11,721,988 periodontitis-labelled 5–50-aa peptides. No new patients were enrolled; the present work is the getorf call, the 22-task screen, catalogue matching, docking and MD.</w:t>
      </w:r>
    </w:p>
    <w:p>
      <w:pPr>
        <w:pStyle w:val="Heading3"/>
        <w:keepNext/>
      </w:pPr>
      <w:r>
        <w:t>UniDL4BioPep (22 tasks)</w:t>
      </w:r>
    </w:p>
    <w:p>
      <w:pPr>
        <w:pStyle w:val="BodyText"/>
      </w:pPr>
      <w:r>
        <w:t xml:space="preserve">UniDL4BioPep was applied first to both full libraries, following the predict-then-filter order used when mining microbiome peptide antibiotics </w:t>
      </w:r>
      <w:r>
        <w:t>[18–19]</w:t>
      </w:r>
      <w:r>
        <w:t>. Du et al. freeze ESM-2 (</w:t>
      </w:r>
      <w:r>
        <w:rPr>
          <w:rFonts w:ascii="Consolas" w:hAnsi="Consolas" w:eastAsia="等线"/>
          <w:shd w:val="clear" w:color="auto" w:fill="F2F4F7"/>
        </w:rPr>
        <w:t>esm2_t6_8M_UR50D</w:t>
      </w:r>
      <w:r>
        <w:t xml:space="preserve">; 6 layers, 8 million parameters, 320-dimensional residue states) and average residue embeddings so that peptides of any length collapse to one fixed vector. A convolutional classifier is then trained, per bioactivity, on that vector; the same backbone is reused across datasets rather than designing a new network for each endpoint. In the original report the architecture beat the previous state of the art on 15 of 20 binary peptide tasks. We did not retrain the networks. We scored 22 published heads: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Every head used a score cut of ≥0.80. “BBB-high” is that operational cut on the BBP head, not measured transcytosis. Other BBB peptide tools (for example Augur) are trained on different positives and encodings, so their published AUCs do not transfer to these 4–50-aa oral strings </w:t>
      </w:r>
      <w:r>
        <w:t>[25]</w:t>
      </w:r>
      <w:r>
        <w:t>.</w:t>
      </w:r>
    </w:p>
    <w:p>
      <w:pPr>
        <w:pStyle w:val="Heading3"/>
        <w:keepNext/>
      </w:pPr>
      <w:r>
        <w:t>Catalogue matching (periodontitis branch only)</w:t>
      </w:r>
    </w:p>
    <w:p>
      <w:pPr>
        <w:pStyle w:val="BodyText"/>
      </w:pPr>
      <w:r>
        <w:t xml:space="preserve">After scoring, only periodontitis-labelled sequences were exact-matched to oral genomic and metaproteomic resources and collapsed to unique peptides. HOMD and eHOMD supply curated aerodigestive genomes </w:t>
      </w:r>
      <w:r>
        <w:t>[26–27]</w:t>
      </w:r>
      <w:r>
        <w:t xml:space="preserve">. Salivary metaproteomes record peptides inside their own false-discovery framework </w:t>
      </w:r>
      <w:r>
        <w:t>[28]</w:t>
      </w:r>
      <w:r>
        <w:t xml:space="preserve">. Further oral metaproteomic sets add sequence observations from other clinical contexts </w:t>
      </w:r>
      <w:r>
        <w:t>[29–30]</w:t>
      </w:r>
      <w:r>
        <w:t>. A match supports prior observation of the string; it does not prove expression in PRJNA678453 samples. The periodontitis library yielded 33,786 unique catalogue-supported peptides. Intersection with the 1,125,832 periodontitis BBB (BBP) hits recovered 3,518 sequences (3,446 of 5–30 aa; 72 of 31–50 aa). The healthy library was left at the 22-task score tables and was not dereplicated.</w:t>
      </w:r>
    </w:p>
    <w:p>
      <w:pPr>
        <w:pStyle w:val="Heading3"/>
        <w:keepNext/>
      </w:pPr>
      <w:r>
        <w:t>NTxPred2</w:t>
      </w:r>
    </w:p>
    <w:p>
      <w:pPr>
        <w:pStyle w:val="BodyText"/>
      </w:pPr>
      <w:r>
        <w:t xml:space="preserve">NTxPred2 trains separate peptide and protein models because a single neurotoxin classifier does not transfer between length classes </w:t>
      </w:r>
      <w:r>
        <w:t>[31]</w:t>
      </w:r>
      <w:r>
        <w:t>. The peptide set has 877 neurotoxic and 877 non-toxic sequences; the protein set has 775 of each. Composition and binary-profile machine-learning models reach AUC 0.97 (peptides) and 0.85 (proteins). Fine-tuning ESM2-t30 on the peptide set raises independent-set AUC to 0.98 (MCC 0.90). The public server uses ESM2-t30 for 7–50-aa inputs (default probability 0.5) and an extra-trees model for sequences ≥51 aa. We used the peptide (ESM2-t30) mode on 7–50-aa members of the 3,518-set. A positive call is a classifier label, not a neuronal assay.</w:t>
      </w:r>
    </w:p>
    <w:p>
      <w:pPr>
        <w:pStyle w:val="Heading3"/>
        <w:keepNext/>
      </w:pPr>
      <w:r>
        <w:t>mebipred</w:t>
      </w:r>
    </w:p>
    <w:p>
      <w:pPr>
        <w:pStyle w:val="BodyText"/>
      </w:pPr>
      <w:r>
        <w:t xml:space="preserve">mebipred predicts metal-binding from sequence alone, without alignments, so it can be applied to short translated fragments </w:t>
      </w:r>
      <w:r>
        <w:t>[32]</w:t>
      </w:r>
      <w:r>
        <w:t>. Inputs are 219 sequence features: amino-acid composition, physicochemical descriptors, and counts of metal-binding 5-mers. A first feed-forward net (two hidden layers of 219 ReLU units, dropout 0.2, RMSprop) separates metal-binding from non-binding proteins; a second tier names 11 ions. The authors report &gt;80% accuracy for ligand presence and an area under the precision–recall curve of 0.91. Default ion probability is 0.5; raising it to 0.9 increases precision at some cost in recall. We kept Cu-, Fe- and Zn-related scores at 0.50. The output is not a measured Kd and does not assign a coordination geometry.</w:t>
      </w:r>
    </w:p>
    <w:p>
      <w:pPr>
        <w:pStyle w:val="Heading3"/>
        <w:keepNext/>
      </w:pPr>
      <w:r>
        <w:t>AnOxPePred</w:t>
      </w:r>
    </w:p>
    <w:p>
      <w:pPr>
        <w:pStyle w:val="BodyText"/>
      </w:pPr>
      <w:r>
        <w:t xml:space="preserve">AnOxPePred is a one-dimensional CNN with two heads, trained to score free-radical scavenging (FRS) and metal chelation (CHEL) from one-hot peptide sequences </w:t>
      </w:r>
      <w:r>
        <w:t>[33]</w:t>
      </w:r>
      <w:r>
        <w:t>. Positives were taken from BIOPEP-UWM and from antioxidant-peptide papers; each sequence is labelled FRS, chelator, or both. Reported FRS performance exceeds a k-NN baseline; the chelator head is weaker because that training subset is small. Both heads emit a score in [0, 1]. Serial cuts here were CHEL≥0.25, then CHEL≥0.25 with FRS&lt;0.50, then CHEL≥0.25 with FRS&lt;0.45. Concordance among UniDL4BioPep, NTxPred2, mebipred and AnOxPePred is a filter stack, not independent experimental replication.</w:t>
      </w:r>
    </w:p>
    <w:p>
      <w:pPr>
        <w:pStyle w:val="Heading3"/>
        <w:keepNext/>
      </w:pPr>
      <w:r>
        <w:t>Physicochemical descriptors</w:t>
      </w:r>
    </w:p>
    <w:p>
      <w:pPr>
        <w:pStyle w:val="BodyText"/>
      </w:pPr>
      <w:r>
        <w:t>For the twelve unique 7–9-aa strings we recalculated length, histidine, cysteine and Arg+Lys counts, average molecular weight, isoelectric point, net charge at pH 7.4, Kyte–Doolittle GRAVY, Ikai aliphatic index, hydrophobic residue fraction (A, I, L, M, F, V, W, Y), and Boman index. Scales were applied to the amino-acid strings only; no experimental HPLC or CD was performed.</w:t>
      </w:r>
    </w:p>
    <w:p>
      <w:pPr>
        <w:pStyle w:val="Heading3"/>
        <w:keepNext/>
      </w:pPr>
      <w:r>
        <w:t>Molecular docking</w:t>
      </w:r>
    </w:p>
    <w:p>
      <w:pPr>
        <w:pStyle w:val="BodyText"/>
      </w:pPr>
      <w:r>
        <w:t xml:space="preserve">The twelve peptide ligands were modelled with AlphaFold3; those predicted structures were the starting coordinates for docking. Each model is a computed conformer for a short, flexible chain, not a crystal structure, and it was used only as the input geometry for docking. Human recombinant AChE (PDB 4EY6, 2.40 Å) was stripped of galantamine and crystal waters, chain breaks were repaired, and protonation was set at pH 7.4 </w:t>
      </w:r>
      <w:r>
        <w:t>[22]</w:t>
      </w:r>
      <w:r>
        <w:t xml:space="preserve">. The twelve ligands ALLLHRC, FCLHLQLR, FLLHTTR, HLLTLKKHV, HLPLLHRCC, HVLLLRQCA, LLHLPKRTT, LLHPLRC, LLHPLRL, WLLVHLKK, YHHLLCRR and YLSLLQR were docked with AutoDock Vina, exhaustiveness 32 </w:t>
      </w:r>
      <w:r>
        <w:t>[34–35]</w:t>
      </w:r>
      <w:r>
        <w:t xml:space="preserve">. The grid was centred on the PAS (Tyr72, Asp74, Thr75, Leu76, Trp286, His287, Tyr341) and covered the gorge neck (Phe295), the choline subsite (Trp86, Glu202, Tyr337) and the catalytic triad (Ser203, His447, Glu334). Each ligand was run three times. We report best-run affinity, three-run mean ± SD, hydrogen-bond count and PAS contact from the single best pose. Vina scores rank poses; they are not experimental free energies.</w:t>
      </w:r>
    </w:p>
    <w:p>
      <w:pPr>
        <w:pStyle w:val="Heading3"/>
        <w:keepNext/>
      </w:pPr>
      <w:r>
        <w:t>Molecular dynamics</w:t>
      </w:r>
    </w:p>
    <w:p>
      <w:pPr>
        <w:pStyle w:val="BodyText"/>
      </w:pPr>
      <w:r>
        <w:t xml:space="preserve">Ligand starting coordinates were the AlphaFold3-predicted peptide structures carried forward from docking. Four explicit-solvent systems were built in GROMACS 2025.1 with Amber99SB-ILDN and TIP3P water at 0.15 M NaCl </w:t>
      </w:r>
      <w:r>
        <w:t>[36–37]</w:t>
      </w:r>
      <w:r>
        <w:t xml:space="preserve">: apo AChE (chain A) and the ALLLHRC, FLLHTTR and YLSLLQR complexes. These three ligands were taken from the twelve docked peptides as the best-run Vina poses: FLLHTTR and YLSLLQR as PAS contacts, ALLLHRC as a high-scoring catalytic-site occupant without outer PAS aromatics, so that PAS geometry could be compared with a strong non-PAS score. Each box was triclinic with a 1.0 nm solute-to-wall buffer. Equilibration was 2,000 steps of steepest descent, 1.0 ns restrained NVT to 300 K, 1.0 ns restrained NPT, and 1.0 ns free NPT. Production was 100 ns (dt = 2.0 fs) at 300 K and 1.0 bar with LINCS, 1.2 nm cut-offs and particle-mesh Ewald. Frames were stored every 20 ps.</w:t>
      </w:r>
    </w:p>
    <w:p>
      <w:pPr>
        <w:pStyle w:val="BodyText"/>
      </w:pPr>
      <w:r>
        <w:t>Metrics matched Figures 5–7: Cα RMSD, per-residue RMSF, SASA, Rg, DSSP occupancy, and intermolecular hydrogen bonds (</w:t>
      </w:r>
      <w:r>
        <w:rPr>
          <w:rFonts w:ascii="Consolas" w:hAnsi="Consolas" w:eastAsia="等线"/>
          <w:shd w:val="clear" w:color="auto" w:fill="F2F4F7"/>
        </w:rPr>
        <w:t>gmx hbond</w:t>
      </w:r>
      <w:r>
        <w:t xml:space="preserve">; donor–acceptor ≤ 3.0 Å). Peptide self-fit RMSD and persistent contacts (7.0 Å) were stored as extras. Means ± SD use the last 20 ns (80–100 ns). The design follows the AChE–Aβ MD logic of Atanasova et al., at 100 ns rather than 1 μs </w:t>
      </w:r>
      <w:r>
        <w:t>[21]</w:t>
      </w:r>
      <w:r>
        <w:t>.</w:t>
      </w:r>
    </w:p>
    <w:p>
      <w:pPr>
        <w:pStyle w:val="Heading2"/>
        <w:keepNext/>
      </w:pPr>
      <w:r>
        <w:t>Results</w:t>
      </w:r>
    </w:p>
    <w:p>
      <w:pPr>
        <w:pStyle w:val="Heading3"/>
        <w:keepNext/>
      </w:pPr>
      <w:r>
        <w:t>Twenty-two UniDL4BioPep tasks on both libraries</w:t>
      </w:r>
    </w:p>
    <w:p>
      <w:pPr>
        <w:pStyle w:val="BodyText"/>
      </w:pPr>
      <w:r>
        <w:t>Figure 1 summarises the cascade. Both libraries were scored at ≥0.80 on all 22 heads (Tables 1 and 2). Hit rates sit close to each other. Antimicrobial called 10,302,093/11,721,988 periodontitis sequences (87.89%) and 9,882,657/11,269,961 healthy sequences (87.69%). BBB (BBP) called 1,125,832 (9.60%) versus 1,095,861 (9.72%). Anti-parasitic (APP) and quorum sensing were the next largest heads; DPP-IV inhibitory was the smallest in both libraries. Labels overlap, so one peptide can sit in several rows. Because the two BBB rates differ by only 0.12 percentage points, BBB-high is not a periodontitis-specific stamp. The two libraries are close on most of the 22 heads (Table 3). Periodontitis exceeds healthy by ≥1 percentage point only for quorum sensing (+1.39). Healthy exceeds periodontitis by ≥1 point for antifungal (−2.50), anti-parasitic (−2.36), antioxidant FRS (−1.95), antiviral (−1.89), antibacterial (−1.42), CPP (−1.24), anticancer-main (−1.22) and umami (−1.00). Antimicrobial is essentially tied (87.89% vs 87.69%). These are library-wide score rates, not sequence-level differential peptides: we do not have a row-wise overlap map, so we cannot say that the twelve docking sequences are absent from the healthy library. Downstream docking used the periodontitis, catalogue-matched branch only.</w:t>
      </w:r>
    </w:p>
    <w:p>
      <w:pPr>
        <w:pStyle w:val="Caption"/>
      </w:pPr>
      <w:r>
        <w:rPr>
          <w:b/>
        </w:rPr>
        <w:t>Table 1. UniDL4BioPep counts for the periodontitis-labelled library (11,721,988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Table 2. UniDL4BioPep counts for the healthy-labelled library (11,269,961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Caption"/>
      </w:pPr>
      <w:r>
        <w:rPr>
          <w:b/>
        </w:rPr>
        <w:t>Table 3. Score-rate difference between libraries (periodontitis % minus healthy %). BBB is shown for reference.</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Healthy %</w:t>
            </w:r>
          </w:p>
        </w:tc>
        <w:tc>
          <w:tcPr>
            <w:tcW w:w="2340" w:type="dxa"/>
            <w:tcBorders>
              <w:bottom w:val="single" w:sz="8" w:space="0" w:color="000000"/>
            </w:tcBorders>
            <w:vAlign w:val="center"/>
          </w:tcPr>
          <w:p>
            <w:pPr>
              <w:pStyle w:val="TableText"/>
              <w:spacing w:before="0" w:after="0" w:line="240" w:lineRule="auto"/>
            </w:pPr>
            <w:r>
              <w:rPr>
                <w:sz w:val="20"/>
                <w:szCs w:val="20"/>
              </w:rPr>
              <w:t>Periodontitis %</w:t>
            </w:r>
          </w:p>
        </w:tc>
        <w:tc>
          <w:tcPr>
            <w:tcW w:w="2340" w:type="dxa"/>
            <w:tcBorders>
              <w:bottom w:val="single" w:sz="8" w:space="0" w:color="000000"/>
            </w:tcBorders>
            <w:vAlign w:val="center"/>
          </w:tcPr>
          <w:p>
            <w:pPr>
              <w:pStyle w:val="TableText"/>
              <w:spacing w:before="0" w:after="0" w:line="240" w:lineRule="auto"/>
            </w:pPr>
            <w:r>
              <w:rPr>
                <w:sz w:val="20"/>
                <w:szCs w:val="20"/>
              </w:rPr>
              <w:t>Δ pp</w:t>
            </w:r>
          </w:p>
        </w:tc>
      </w:tr>
      <w:tr>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36.93</w:t>
            </w:r>
          </w:p>
        </w:tc>
        <w:tc>
          <w:tcPr>
            <w:tcW w:w="2340" w:type="dxa"/>
            <w:vAlign w:val="center"/>
          </w:tcPr>
          <w:p>
            <w:pPr>
              <w:pStyle w:val="TableText"/>
              <w:spacing w:before="0" w:after="0" w:line="240" w:lineRule="auto"/>
            </w:pPr>
            <w:r>
              <w:rPr>
                <w:sz w:val="20"/>
                <w:szCs w:val="20"/>
              </w:rPr>
              <w:t>38.32</w:t>
            </w:r>
          </w:p>
        </w:tc>
        <w:tc>
          <w:tcPr>
            <w:tcW w:w="2340" w:type="dxa"/>
            <w:vAlign w:val="center"/>
          </w:tcPr>
          <w:p>
            <w:pPr>
              <w:pStyle w:val="TableText"/>
              <w:spacing w:before="0" w:after="0" w:line="240" w:lineRule="auto"/>
            </w:pPr>
            <w:r>
              <w:rPr>
                <w:sz w:val="20"/>
                <w:szCs w:val="20"/>
              </w:rPr>
              <w:t>+1.39</w:t>
            </w:r>
          </w:p>
        </w:tc>
      </w:tr>
      <w:tr>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27.46</w:t>
            </w:r>
          </w:p>
        </w:tc>
        <w:tc>
          <w:tcPr>
            <w:tcW w:w="2340" w:type="dxa"/>
            <w:vAlign w:val="center"/>
          </w:tcPr>
          <w:p>
            <w:pPr>
              <w:pStyle w:val="TableText"/>
              <w:spacing w:before="0" w:after="0" w:line="240" w:lineRule="auto"/>
            </w:pPr>
            <w:r>
              <w:rPr>
                <w:sz w:val="20"/>
                <w:szCs w:val="20"/>
              </w:rPr>
              <w:t>26.45</w:t>
            </w:r>
          </w:p>
        </w:tc>
        <w:tc>
          <w:tcPr>
            <w:tcW w:w="2340" w:type="dxa"/>
            <w:vAlign w:val="center"/>
          </w:tcPr>
          <w:p>
            <w:pPr>
              <w:pStyle w:val="TableText"/>
              <w:spacing w:before="0" w:after="0" w:line="240" w:lineRule="auto"/>
            </w:pPr>
            <w:r>
              <w:rPr>
                <w:sz w:val="20"/>
                <w:szCs w:val="20"/>
              </w:rPr>
              <w:t>−1.00</w:t>
            </w:r>
          </w:p>
        </w:tc>
      </w:tr>
      <w:tr>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21.33</w:t>
            </w:r>
          </w:p>
        </w:tc>
        <w:tc>
          <w:tcPr>
            <w:tcW w:w="2340" w:type="dxa"/>
            <w:vAlign w:val="center"/>
          </w:tcPr>
          <w:p>
            <w:pPr>
              <w:pStyle w:val="TableText"/>
              <w:spacing w:before="0" w:after="0" w:line="240" w:lineRule="auto"/>
            </w:pPr>
            <w:r>
              <w:rPr>
                <w:sz w:val="20"/>
                <w:szCs w:val="20"/>
              </w:rPr>
              <w:t>20.11</w:t>
            </w:r>
          </w:p>
        </w:tc>
        <w:tc>
          <w:tcPr>
            <w:tcW w:w="2340" w:type="dxa"/>
            <w:vAlign w:val="center"/>
          </w:tcPr>
          <w:p>
            <w:pPr>
              <w:pStyle w:val="TableText"/>
              <w:spacing w:before="0" w:after="0" w:line="240" w:lineRule="auto"/>
            </w:pPr>
            <w:r>
              <w:rPr>
                <w:sz w:val="20"/>
                <w:szCs w:val="20"/>
              </w:rPr>
              <w:t>−1.22</w:t>
            </w:r>
          </w:p>
        </w:tc>
      </w:tr>
      <w:tr>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9.14</w:t>
            </w:r>
          </w:p>
        </w:tc>
        <w:tc>
          <w:tcPr>
            <w:tcW w:w="2340" w:type="dxa"/>
            <w:vAlign w:val="center"/>
          </w:tcPr>
          <w:p>
            <w:pPr>
              <w:pStyle w:val="TableText"/>
              <w:spacing w:before="0" w:after="0" w:line="240" w:lineRule="auto"/>
            </w:pPr>
            <w:r>
              <w:rPr>
                <w:sz w:val="20"/>
                <w:szCs w:val="20"/>
              </w:rPr>
              <w:t>7.90</w:t>
            </w:r>
          </w:p>
        </w:tc>
        <w:tc>
          <w:tcPr>
            <w:tcW w:w="2340" w:type="dxa"/>
            <w:vAlign w:val="center"/>
          </w:tcPr>
          <w:p>
            <w:pPr>
              <w:pStyle w:val="TableText"/>
              <w:spacing w:before="0" w:after="0" w:line="240" w:lineRule="auto"/>
            </w:pPr>
            <w:r>
              <w:rPr>
                <w:sz w:val="20"/>
                <w:szCs w:val="20"/>
              </w:rPr>
              <w:t>−1.24</w:t>
            </w:r>
          </w:p>
        </w:tc>
      </w:tr>
      <w:tr>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23.59</w:t>
            </w:r>
          </w:p>
        </w:tc>
        <w:tc>
          <w:tcPr>
            <w:tcW w:w="2340" w:type="dxa"/>
            <w:vAlign w:val="center"/>
          </w:tcPr>
          <w:p>
            <w:pPr>
              <w:pStyle w:val="TableText"/>
              <w:spacing w:before="0" w:after="0" w:line="240" w:lineRule="auto"/>
            </w:pPr>
            <w:r>
              <w:rPr>
                <w:sz w:val="20"/>
                <w:szCs w:val="20"/>
              </w:rPr>
              <w:t>22.16</w:t>
            </w:r>
          </w:p>
        </w:tc>
        <w:tc>
          <w:tcPr>
            <w:tcW w:w="2340" w:type="dxa"/>
            <w:vAlign w:val="center"/>
          </w:tcPr>
          <w:p>
            <w:pPr>
              <w:pStyle w:val="TableText"/>
              <w:spacing w:before="0" w:after="0" w:line="240" w:lineRule="auto"/>
            </w:pPr>
            <w:r>
              <w:rPr>
                <w:sz w:val="20"/>
                <w:szCs w:val="20"/>
              </w:rPr>
              <w:t>−1.42</w:t>
            </w:r>
          </w:p>
        </w:tc>
      </w:tr>
      <w:tr>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29.83</w:t>
            </w:r>
          </w:p>
        </w:tc>
        <w:tc>
          <w:tcPr>
            <w:tcW w:w="2340" w:type="dxa"/>
            <w:vAlign w:val="center"/>
          </w:tcPr>
          <w:p>
            <w:pPr>
              <w:pStyle w:val="TableText"/>
              <w:spacing w:before="0" w:after="0" w:line="240" w:lineRule="auto"/>
            </w:pPr>
            <w:r>
              <w:rPr>
                <w:sz w:val="20"/>
                <w:szCs w:val="20"/>
              </w:rPr>
              <w:t>27.94</w:t>
            </w:r>
          </w:p>
        </w:tc>
        <w:tc>
          <w:tcPr>
            <w:tcW w:w="2340" w:type="dxa"/>
            <w:vAlign w:val="center"/>
          </w:tcPr>
          <w:p>
            <w:pPr>
              <w:pStyle w:val="TableText"/>
              <w:spacing w:before="0" w:after="0" w:line="240" w:lineRule="auto"/>
            </w:pPr>
            <w:r>
              <w:rPr>
                <w:sz w:val="20"/>
                <w:szCs w:val="20"/>
              </w:rPr>
              <w:t>−1.89</w:t>
            </w:r>
          </w:p>
        </w:tc>
      </w:tr>
      <w:tr>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23.46</w:t>
            </w:r>
          </w:p>
        </w:tc>
        <w:tc>
          <w:tcPr>
            <w:tcW w:w="2340" w:type="dxa"/>
            <w:vAlign w:val="center"/>
          </w:tcPr>
          <w:p>
            <w:pPr>
              <w:pStyle w:val="TableText"/>
              <w:spacing w:before="0" w:after="0" w:line="240" w:lineRule="auto"/>
            </w:pPr>
            <w:r>
              <w:rPr>
                <w:sz w:val="20"/>
                <w:szCs w:val="20"/>
              </w:rPr>
              <w:t>21.51</w:t>
            </w:r>
          </w:p>
        </w:tc>
        <w:tc>
          <w:tcPr>
            <w:tcW w:w="2340" w:type="dxa"/>
            <w:vAlign w:val="center"/>
          </w:tcPr>
          <w:p>
            <w:pPr>
              <w:pStyle w:val="TableText"/>
              <w:spacing w:before="0" w:after="0" w:line="240" w:lineRule="auto"/>
            </w:pPr>
            <w:r>
              <w:rPr>
                <w:sz w:val="20"/>
                <w:szCs w:val="20"/>
              </w:rPr>
              <w:t>−1.95</w:t>
            </w:r>
          </w:p>
        </w:tc>
      </w:tr>
      <w:tr>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48.96</w:t>
            </w:r>
          </w:p>
        </w:tc>
        <w:tc>
          <w:tcPr>
            <w:tcW w:w="2340" w:type="dxa"/>
            <w:vAlign w:val="center"/>
          </w:tcPr>
          <w:p>
            <w:pPr>
              <w:pStyle w:val="TableText"/>
              <w:spacing w:before="0" w:after="0" w:line="240" w:lineRule="auto"/>
            </w:pPr>
            <w:r>
              <w:rPr>
                <w:sz w:val="20"/>
                <w:szCs w:val="20"/>
              </w:rPr>
              <w:t>46.60</w:t>
            </w:r>
          </w:p>
        </w:tc>
        <w:tc>
          <w:tcPr>
            <w:tcW w:w="2340" w:type="dxa"/>
            <w:vAlign w:val="center"/>
          </w:tcPr>
          <w:p>
            <w:pPr>
              <w:pStyle w:val="TableText"/>
              <w:spacing w:before="0" w:after="0" w:line="240" w:lineRule="auto"/>
            </w:pPr>
            <w:r>
              <w:rPr>
                <w:sz w:val="20"/>
                <w:szCs w:val="20"/>
              </w:rPr>
              <w:t>−2.36</w:t>
            </w:r>
          </w:p>
        </w:tc>
      </w:tr>
      <w:tr>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27.76</w:t>
            </w:r>
          </w:p>
        </w:tc>
        <w:tc>
          <w:tcPr>
            <w:tcW w:w="2340" w:type="dxa"/>
            <w:vAlign w:val="center"/>
          </w:tcPr>
          <w:p>
            <w:pPr>
              <w:pStyle w:val="TableText"/>
              <w:spacing w:before="0" w:after="0" w:line="240" w:lineRule="auto"/>
            </w:pPr>
            <w:r>
              <w:rPr>
                <w:sz w:val="20"/>
                <w:szCs w:val="20"/>
              </w:rPr>
              <w:t>25.25</w:t>
            </w:r>
          </w:p>
        </w:tc>
        <w:tc>
          <w:tcPr>
            <w:tcW w:w="2340" w:type="dxa"/>
            <w:vAlign w:val="center"/>
          </w:tcPr>
          <w:p>
            <w:pPr>
              <w:pStyle w:val="TableText"/>
              <w:spacing w:before="0" w:after="0" w:line="240" w:lineRule="auto"/>
            </w:pPr>
            <w:r>
              <w:rPr>
                <w:sz w:val="20"/>
                <w:szCs w:val="20"/>
              </w:rPr>
              <w:t>−2.50</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9.72</w:t>
            </w:r>
          </w:p>
        </w:tc>
        <w:tc>
          <w:tcPr>
            <w:tcW w:w="2340" w:type="dxa"/>
            <w:vAlign w:val="center"/>
          </w:tcPr>
          <w:p>
            <w:pPr>
              <w:pStyle w:val="TableText"/>
              <w:spacing w:before="0" w:after="0" w:line="240" w:lineRule="auto"/>
            </w:pPr>
            <w:r>
              <w:rPr>
                <w:sz w:val="20"/>
                <w:szCs w:val="20"/>
              </w:rPr>
              <w:t>9.60</w:t>
            </w:r>
          </w:p>
        </w:tc>
        <w:tc>
          <w:tcPr>
            <w:tcW w:w="2340" w:type="dxa"/>
            <w:vAlign w:val="center"/>
          </w:tcPr>
          <w:p>
            <w:pPr>
              <w:pStyle w:val="TableText"/>
              <w:spacing w:before="0" w:after="0" w:line="240" w:lineRule="auto"/>
            </w:pPr>
            <w:r>
              <w:rPr>
                <w:sz w:val="20"/>
                <w:szCs w:val="20"/>
              </w:rPr>
              <w:t>−0.12</w:t>
            </w:r>
          </w:p>
        </w:tc>
      </w:tr>
    </w:tbl>
    <w:p>
      <w:pPr>
        <w:spacing w:after="40"/>
      </w:pPr>
    </w:p>
    <w:p>
      <w:pPr>
        <w:pStyle w:val="Figure"/>
        <w:jc w:val="center"/>
        <w:keepNext/>
      </w:pPr>
      <w:r>
        <w:drawing>
          <wp:inline distT="0" distB="0" distL="0" distR="0">
            <wp:extent cx="6150000" cy="7445800"/>
            <wp:effectExtent l="0" t="0" r="0" b="0"/>
            <wp:docPr id="1" name="Figure 1" descr="Figure 1. Screening cascade from oral smORF libraries to twelve peptides and three MD complexes."/>
            <wp:cNvGraphicFramePr>
              <a:graphicFrameLocks noChangeAspect="1"/>
            </wp:cNvGraphicFramePr>
            <a:graphic>
              <a:graphicData uri="http://schemas.openxmlformats.org/drawingml/2006/picture">
                <pic:pic>
                  <pic:nvPicPr>
                    <pic:cNvPr id="0" name="fig_screening_cascade.png"/>
                    <pic:cNvPicPr/>
                  </pic:nvPicPr>
                  <pic:blipFill>
                    <a:blip r:embed="rId10"/>
                    <a:stretch>
                      <a:fillRect/>
                    </a:stretch>
                  </pic:blipFill>
                  <pic:spPr>
                    <a:xfrm>
                      <a:off x="0" y="0"/>
                      <a:ext cx="6150000" cy="7445800"/>
                    </a:xfrm>
                    <a:prstGeom prst="rect">
                      <a:avLst/>
                    </a:prstGeom>
                  </pic:spPr>
                </pic:pic>
              </a:graphicData>
            </a:graphic>
          </wp:inline>
        </w:drawing>
      </w:r>
    </w:p>
    <w:p>
      <w:pPr>
        <w:pStyle w:val="Caption"/>
      </w:pPr>
      <w:r>
        <w:rPr>
          <w:b/>
        </w:rPr>
        <w:t>Figure 1. Screening cascade.</w:t>
      </w:r>
      <w:r>
        <w:t xml:space="preserve"> UniDL4BioPep (22 tasks) was applied to both libraries. Catalogue matching and later filters were applied only to the periodontitis branch, ending in twelve 7–9-aa peptides for docking and three complexes for 100-ns MD.</w:t>
      </w:r>
    </w:p>
    <w:p>
      <w:pPr>
        <w:pStyle w:val="Heading3"/>
        <w:keepNext/>
      </w:pPr>
      <w:r>
        <w:t>Periodontitis funnel to twelve sequences</w:t>
      </w:r>
    </w:p>
    <w:p>
      <w:pPr>
        <w:pStyle w:val="BodyText"/>
      </w:pPr>
      <w:r>
        <w:t>Catalogue matching of the periodontitis library kept 33,786 unique peptides. Intersection with BBB-high gave 3,518 sequences. NTxPred2 scored 3,299/3,518 (93.77%) and called 923/3,299 (27.98%) positive. Later cuts left 111 mebipred-positive peptides, 15 with CHEL≥0.25, 12 with CHEL≥0.25 and FRS&lt;0.50, and 8 with the stricter FRS&lt;0.45 (Table 4). All 923 NTxPred2-positive peptides were ≤30 aa, so the metal/CHEL/FRS steps kept short peptides only.</w:t>
      </w:r>
    </w:p>
    <w:p>
      <w:pPr>
        <w:pStyle w:val="Caption"/>
      </w:pPr>
      <w:r>
        <w:rPr>
          <w:b/>
        </w:rPr>
        <w:t>Table 4. Periodontitis branch after UniDL4BioPep scoring.</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w:t>
            </w:r>
          </w:p>
        </w:tc>
      </w:tr>
      <w:tr>
        <w:tc>
          <w:tcPr>
            <w:tcW w:w="2340" w:type="dxa"/>
            <w:vAlign w:val="center"/>
          </w:tcPr>
          <w:p>
            <w:pPr>
              <w:pStyle w:val="TableText"/>
              <w:spacing w:before="0" w:after="0" w:line="240" w:lineRule="auto"/>
            </w:pPr>
            <w:r>
              <w:rPr>
                <w:sz w:val="20"/>
                <w:szCs w:val="20"/>
              </w:rPr>
              <w:t>Periodontitis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Library</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score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Catalogue-supported unique peptides</w:t>
            </w:r>
          </w:p>
        </w:tc>
        <w:tc>
          <w:tcPr>
            <w:tcW w:w="2340" w:type="dxa"/>
            <w:vAlign w:val="center"/>
          </w:tcPr>
          <w:p>
            <w:pPr>
              <w:pStyle w:val="TableText"/>
              <w:spacing w:before="0" w:after="0" w:line="240" w:lineRule="auto"/>
            </w:pPr>
            <w:r>
              <w:rPr>
                <w:sz w:val="20"/>
                <w:szCs w:val="20"/>
              </w:rPr>
              <w:t>Exact match</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 catalogue-supported</w:t>
            </w:r>
          </w:p>
        </w:tc>
        <w:tc>
          <w:tcPr>
            <w:tcW w:w="2340" w:type="dxa"/>
            <w:vAlign w:val="center"/>
          </w:tcPr>
          <w:p>
            <w:pPr>
              <w:pStyle w:val="TableText"/>
              <w:spacing w:before="0" w:after="0" w:line="240" w:lineRule="auto"/>
            </w:pPr>
            <w:r>
              <w:rPr>
                <w:sz w:val="20"/>
                <w:szCs w:val="20"/>
              </w:rPr>
              <w:t>Intersection</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Short (5–30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Long (31–50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scored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mebipred-positive</w:t>
            </w:r>
          </w:p>
        </w:tc>
        <w:tc>
          <w:tcPr>
            <w:tcW w:w="2340" w:type="dxa"/>
            <w:vAlign w:val="center"/>
          </w:tcPr>
          <w:p>
            <w:pPr>
              <w:pStyle w:val="TableText"/>
              <w:spacing w:before="0" w:after="0" w:line="240" w:lineRule="auto"/>
            </w:pPr>
            <w:r>
              <w:rPr>
                <w:sz w:val="20"/>
                <w:szCs w:val="20"/>
              </w:rPr>
              <w: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Heading3"/>
        <w:keepNext/>
      </w:pPr>
      <w:r>
        <w:t>Physicochemical profile of the twelve peptides</w:t>
      </w:r>
    </w:p>
    <w:p>
      <w:pPr>
        <w:pStyle w:val="BodyText"/>
      </w:pPr>
      <w:r>
        <w:t>These descriptors characterise the twelve docking ligands. They are not a comparison of the healthy and periodontitis libraries.</w:t>
      </w:r>
    </w:p>
    <w:p>
      <w:pPr>
        <w:pStyle w:val="BodyText"/>
      </w:pPr>
      <w:r>
        <w:t>The twelve strings are unique 7–9-aa peptides of standard residues (Table 5). Eleven contain histidine; six contain cysteine; every sequence has at least one Arg or Lys. Molecular weights fall between 825.03 and 1,097.30 Da. Isoelectric points are alkaline (8.28–11.54). Net charge at pH 7.4 is positive for all twelve (0.85–2.08). GRAVY is positive for ten sequences, in line with leucine-rich cores; LLHLPKRTT (−0.36) and YHHLLCRR (−0.95) are the two hydrophilic exceptions. Aliphatic indices run from 97.5 (YHHLLCRR) to 222.9 (LLHPLRL). YLSLLQR is the only peptide without histidine. These numbers describe composition; they are not HPLC or CD measurements.</w:t>
      </w:r>
    </w:p>
    <w:p>
      <w:pPr>
        <w:pStyle w:val="Caption"/>
      </w:pPr>
      <w:r>
        <w:rPr>
          <w:b/>
        </w:rPr>
        <w:t>Table 5. Composition and calculated physicochemical descriptors of the twelve 7–9-aa 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936"/>
        <w:gridCol w:w="936"/>
        <w:gridCol w:w="936"/>
        <w:gridCol w:w="936"/>
        <w:gridCol w:w="936"/>
        <w:gridCol w:w="936"/>
        <w:gridCol w:w="936"/>
        <w:gridCol w:w="936"/>
        <w:gridCol w:w="936"/>
        <w:gridCol w:w="936"/>
      </w:tblGrid>
      <w:tr>
        <w:trPr>
          <w:tblHeader/>
        </w:trPr>
        <w:tc>
          <w:tcPr>
            <w:tcW w:w="936" w:type="dxa"/>
            <w:tcBorders>
              <w:bottom w:val="single" w:sz="8" w:space="0" w:color="000000"/>
            </w:tcBorders>
            <w:vAlign w:val="center"/>
          </w:tcPr>
          <w:p>
            <w:pPr>
              <w:pStyle w:val="TableText"/>
              <w:spacing w:before="0" w:after="0" w:line="240" w:lineRule="auto"/>
            </w:pPr>
            <w:r>
              <w:rPr>
                <w:sz w:val="20"/>
                <w:szCs w:val="20"/>
              </w:rPr>
              <w:t>Peptide</w:t>
            </w:r>
          </w:p>
        </w:tc>
        <w:tc>
          <w:tcPr>
            <w:tcW w:w="936" w:type="dxa"/>
            <w:tcBorders>
              <w:bottom w:val="single" w:sz="8" w:space="0" w:color="000000"/>
            </w:tcBorders>
            <w:vAlign w:val="center"/>
          </w:tcPr>
          <w:p>
            <w:pPr>
              <w:pStyle w:val="TableText"/>
              <w:spacing w:before="0" w:after="0" w:line="240" w:lineRule="auto"/>
            </w:pPr>
            <w:r>
              <w:rPr>
                <w:sz w:val="20"/>
                <w:szCs w:val="20"/>
              </w:rPr>
              <w:t>aa</w:t>
            </w:r>
          </w:p>
        </w:tc>
        <w:tc>
          <w:tcPr>
            <w:tcW w:w="936" w:type="dxa"/>
            <w:tcBorders>
              <w:bottom w:val="single" w:sz="8" w:space="0" w:color="000000"/>
            </w:tcBorders>
            <w:vAlign w:val="center"/>
          </w:tcPr>
          <w:p>
            <w:pPr>
              <w:pStyle w:val="TableText"/>
              <w:spacing w:before="0" w:after="0" w:line="240" w:lineRule="auto"/>
            </w:pPr>
            <w:r>
              <w:rPr>
                <w:sz w:val="20"/>
                <w:szCs w:val="20"/>
              </w:rPr>
              <w:t>MW (Da)</w:t>
            </w:r>
          </w:p>
        </w:tc>
        <w:tc>
          <w:tcPr>
            <w:tcW w:w="936" w:type="dxa"/>
            <w:tcBorders>
              <w:bottom w:val="single" w:sz="8" w:space="0" w:color="000000"/>
            </w:tcBorders>
            <w:vAlign w:val="center"/>
          </w:tcPr>
          <w:p>
            <w:pPr>
              <w:pStyle w:val="TableText"/>
              <w:spacing w:before="0" w:after="0" w:line="240" w:lineRule="auto"/>
            </w:pPr>
            <w:r>
              <w:rPr>
                <w:sz w:val="20"/>
                <w:szCs w:val="20"/>
              </w:rPr>
              <w:t>pI</w:t>
            </w:r>
          </w:p>
        </w:tc>
        <w:tc>
          <w:tcPr>
            <w:tcW w:w="936" w:type="dxa"/>
            <w:tcBorders>
              <w:bottom w:val="single" w:sz="8" w:space="0" w:color="000000"/>
            </w:tcBorders>
            <w:vAlign w:val="center"/>
          </w:tcPr>
          <w:p>
            <w:pPr>
              <w:pStyle w:val="TableText"/>
              <w:spacing w:before="0" w:after="0" w:line="240" w:lineRule="auto"/>
            </w:pPr>
            <w:r>
              <w:rPr>
                <w:sz w:val="20"/>
                <w:szCs w:val="20"/>
              </w:rPr>
              <w:t>z (pH 7.4)</w:t>
            </w:r>
          </w:p>
        </w:tc>
        <w:tc>
          <w:tcPr>
            <w:tcW w:w="936" w:type="dxa"/>
            <w:tcBorders>
              <w:bottom w:val="single" w:sz="8" w:space="0" w:color="000000"/>
            </w:tcBorders>
            <w:vAlign w:val="center"/>
          </w:tcPr>
          <w:p>
            <w:pPr>
              <w:pStyle w:val="TableText"/>
              <w:spacing w:before="0" w:after="0" w:line="240" w:lineRule="auto"/>
            </w:pPr>
            <w:r>
              <w:rPr>
                <w:sz w:val="20"/>
                <w:szCs w:val="20"/>
              </w:rPr>
              <w:t>GRAVY</w:t>
            </w:r>
          </w:p>
        </w:tc>
        <w:tc>
          <w:tcPr>
            <w:tcW w:w="936" w:type="dxa"/>
            <w:tcBorders>
              <w:bottom w:val="single" w:sz="8" w:space="0" w:color="000000"/>
            </w:tcBorders>
            <w:vAlign w:val="center"/>
          </w:tcPr>
          <w:p>
            <w:pPr>
              <w:pStyle w:val="TableText"/>
              <w:spacing w:before="0" w:after="0" w:line="240" w:lineRule="auto"/>
            </w:pPr>
            <w:r>
              <w:rPr>
                <w:sz w:val="20"/>
                <w:szCs w:val="20"/>
              </w:rPr>
              <w:t>AI</w:t>
            </w:r>
          </w:p>
        </w:tc>
        <w:tc>
          <w:tcPr>
            <w:tcW w:w="936" w:type="dxa"/>
            <w:tcBorders>
              <w:bottom w:val="single" w:sz="8" w:space="0" w:color="000000"/>
            </w:tcBorders>
            <w:vAlign w:val="center"/>
          </w:tcPr>
          <w:p>
            <w:pPr>
              <w:pStyle w:val="TableText"/>
              <w:spacing w:before="0" w:after="0" w:line="240" w:lineRule="auto"/>
            </w:pPr>
            <w:r>
              <w:rPr>
                <w:sz w:val="20"/>
                <w:szCs w:val="20"/>
              </w:rPr>
              <w:t>His</w:t>
            </w:r>
          </w:p>
        </w:tc>
        <w:tc>
          <w:tcPr>
            <w:tcW w:w="936" w:type="dxa"/>
            <w:tcBorders>
              <w:bottom w:val="single" w:sz="8" w:space="0" w:color="000000"/>
            </w:tcBorders>
            <w:vAlign w:val="center"/>
          </w:tcPr>
          <w:p>
            <w:pPr>
              <w:pStyle w:val="TableText"/>
              <w:spacing w:before="0" w:after="0" w:line="240" w:lineRule="auto"/>
            </w:pPr>
            <w:r>
              <w:rPr>
                <w:sz w:val="20"/>
                <w:szCs w:val="20"/>
              </w:rPr>
              <w:t>Cys</w:t>
            </w:r>
          </w:p>
        </w:tc>
        <w:tc>
          <w:tcPr>
            <w:tcW w:w="936" w:type="dxa"/>
            <w:tcBorders>
              <w:bottom w:val="single" w:sz="8" w:space="0" w:color="000000"/>
            </w:tcBorders>
            <w:vAlign w:val="center"/>
          </w:tcPr>
          <w:p>
            <w:pPr>
              <w:pStyle w:val="TableText"/>
              <w:spacing w:before="0" w:after="0" w:line="240" w:lineRule="auto"/>
            </w:pPr>
            <w:r>
              <w:rPr>
                <w:sz w:val="20"/>
                <w:szCs w:val="20"/>
              </w:rPr>
              <w:t>R+K</w:t>
            </w:r>
          </w:p>
        </w:tc>
      </w:tr>
      <w:tr>
        <w:tc>
          <w:tcPr>
            <w:tcW w:w="936" w:type="dxa"/>
            <w:vAlign w:val="center"/>
          </w:tcPr>
          <w:p>
            <w:pPr>
              <w:pStyle w:val="TableText"/>
              <w:spacing w:before="0" w:after="0" w:line="240" w:lineRule="auto"/>
            </w:pPr>
            <w:r>
              <w:rPr>
                <w:sz w:val="20"/>
                <w:szCs w:val="20"/>
              </w:rPr>
              <w:t>ALLLHRC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825.03</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1.14</w:t>
            </w:r>
          </w:p>
        </w:tc>
        <w:tc>
          <w:tcPr>
            <w:tcW w:w="936" w:type="dxa"/>
            <w:vAlign w:val="center"/>
          </w:tcPr>
          <w:p>
            <w:pPr>
              <w:pStyle w:val="TableText"/>
              <w:spacing w:before="0" w:after="0" w:line="240" w:lineRule="auto"/>
            </w:pPr>
            <w:r>
              <w:rPr>
                <w:sz w:val="20"/>
                <w:szCs w:val="20"/>
              </w:rPr>
              <w:t>181.4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FCLHLQLR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1029.26</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0.69</w:t>
            </w:r>
          </w:p>
        </w:tc>
        <w:tc>
          <w:tcPr>
            <w:tcW w:w="936" w:type="dxa"/>
            <w:vAlign w:val="center"/>
          </w:tcPr>
          <w:p>
            <w:pPr>
              <w:pStyle w:val="TableText"/>
              <w:spacing w:before="0" w:after="0" w:line="240" w:lineRule="auto"/>
            </w:pPr>
            <w:r>
              <w:rPr>
                <w:sz w:val="20"/>
                <w:szCs w:val="20"/>
              </w:rPr>
              <w:t>146.2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FLLHTTR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887.04</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0.19</w:t>
            </w:r>
          </w:p>
        </w:tc>
        <w:tc>
          <w:tcPr>
            <w:tcW w:w="936" w:type="dxa"/>
            <w:vAlign w:val="center"/>
          </w:tcPr>
          <w:p>
            <w:pPr>
              <w:pStyle w:val="TableText"/>
              <w:spacing w:before="0" w:after="0" w:line="240" w:lineRule="auto"/>
            </w:pPr>
            <w:r>
              <w:rPr>
                <w:sz w:val="20"/>
                <w:szCs w:val="20"/>
              </w:rPr>
              <w:t>111.4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HLLTLKKHV</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1088.35</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2.08</w:t>
            </w:r>
          </w:p>
        </w:tc>
        <w:tc>
          <w:tcPr>
            <w:tcW w:w="936" w:type="dxa"/>
            <w:vAlign w:val="center"/>
          </w:tcPr>
          <w:p>
            <w:pPr>
              <w:pStyle w:val="TableText"/>
              <w:spacing w:before="0" w:after="0" w:line="240" w:lineRule="auto"/>
            </w:pPr>
            <w:r>
              <w:rPr>
                <w:sz w:val="20"/>
                <w:szCs w:val="20"/>
              </w:rPr>
              <w:t>0.08</w:t>
            </w:r>
          </w:p>
        </w:tc>
        <w:tc>
          <w:tcPr>
            <w:tcW w:w="936" w:type="dxa"/>
            <w:vAlign w:val="center"/>
          </w:tcPr>
          <w:p>
            <w:pPr>
              <w:pStyle w:val="TableText"/>
              <w:spacing w:before="0" w:after="0" w:line="240" w:lineRule="auto"/>
            </w:pPr>
            <w:r>
              <w:rPr>
                <w:sz w:val="20"/>
                <w:szCs w:val="20"/>
              </w:rPr>
              <w:t>162.2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HLPLLHRCC</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1091.35</w:t>
            </w:r>
          </w:p>
        </w:tc>
        <w:tc>
          <w:tcPr>
            <w:tcW w:w="936" w:type="dxa"/>
            <w:vAlign w:val="center"/>
          </w:tcPr>
          <w:p>
            <w:pPr>
              <w:pStyle w:val="TableText"/>
              <w:spacing w:before="0" w:after="0" w:line="240" w:lineRule="auto"/>
            </w:pPr>
            <w:r>
              <w:rPr>
                <w:sz w:val="20"/>
                <w:szCs w:val="20"/>
              </w:rPr>
              <w:t>8.28</w:t>
            </w:r>
          </w:p>
        </w:tc>
        <w:tc>
          <w:tcPr>
            <w:tcW w:w="936" w:type="dxa"/>
            <w:vAlign w:val="center"/>
          </w:tcPr>
          <w:p>
            <w:pPr>
              <w:pStyle w:val="TableText"/>
              <w:spacing w:before="0" w:after="0" w:line="240" w:lineRule="auto"/>
            </w:pPr>
            <w:r>
              <w:rPr>
                <w:sz w:val="20"/>
                <w:szCs w:val="20"/>
              </w:rPr>
              <w:t>0.85</w:t>
            </w:r>
          </w:p>
        </w:tc>
        <w:tc>
          <w:tcPr>
            <w:tcW w:w="936" w:type="dxa"/>
            <w:vAlign w:val="center"/>
          </w:tcPr>
          <w:p>
            <w:pPr>
              <w:pStyle w:val="TableText"/>
              <w:spacing w:before="0" w:after="0" w:line="240" w:lineRule="auto"/>
            </w:pPr>
            <w:r>
              <w:rPr>
                <w:sz w:val="20"/>
                <w:szCs w:val="20"/>
              </w:rPr>
              <w:t>0.43</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HVLLLRQCA</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1052.30</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0.97</w:t>
            </w:r>
          </w:p>
        </w:tc>
        <w:tc>
          <w:tcPr>
            <w:tcW w:w="936" w:type="dxa"/>
            <w:vAlign w:val="center"/>
          </w:tcPr>
          <w:p>
            <w:pPr>
              <w:pStyle w:val="TableText"/>
              <w:spacing w:before="0" w:after="0" w:line="240" w:lineRule="auto"/>
            </w:pPr>
            <w:r>
              <w:rPr>
                <w:sz w:val="20"/>
                <w:szCs w:val="20"/>
              </w:rPr>
              <w:t>173.3</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LLHLPKRTT</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1078.32</w:t>
            </w:r>
          </w:p>
        </w:tc>
        <w:tc>
          <w:tcPr>
            <w:tcW w:w="936" w:type="dxa"/>
            <w:vAlign w:val="center"/>
          </w:tcPr>
          <w:p>
            <w:pPr>
              <w:pStyle w:val="TableText"/>
              <w:spacing w:before="0" w:after="0" w:line="240" w:lineRule="auto"/>
            </w:pPr>
            <w:r>
              <w:rPr>
                <w:sz w:val="20"/>
                <w:szCs w:val="20"/>
              </w:rPr>
              <w:t>11.54</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−0.36</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LLHPLRC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851.07</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0.66</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LLHPLRL</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861.09</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0.84</w:t>
            </w:r>
          </w:p>
        </w:tc>
        <w:tc>
          <w:tcPr>
            <w:tcW w:w="936" w:type="dxa"/>
            <w:vAlign w:val="center"/>
          </w:tcPr>
          <w:p>
            <w:pPr>
              <w:pStyle w:val="TableText"/>
              <w:spacing w:before="0" w:after="0" w:line="240" w:lineRule="auto"/>
            </w:pPr>
            <w:r>
              <w:rPr>
                <w:sz w:val="20"/>
                <w:szCs w:val="20"/>
              </w:rPr>
              <w:t>222.9</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WLLVHLKK</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1036.32</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0.46</w:t>
            </w:r>
          </w:p>
        </w:tc>
        <w:tc>
          <w:tcPr>
            <w:tcW w:w="936" w:type="dxa"/>
            <w:vAlign w:val="center"/>
          </w:tcPr>
          <w:p>
            <w:pPr>
              <w:pStyle w:val="TableText"/>
              <w:spacing w:before="0" w:after="0" w:line="240" w:lineRule="auto"/>
            </w:pPr>
            <w:r>
              <w:rPr>
                <w:sz w:val="20"/>
                <w:szCs w:val="20"/>
              </w:rPr>
              <w:t>182.5</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YHHLLCRR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1097.30</w:t>
            </w:r>
          </w:p>
        </w:tc>
        <w:tc>
          <w:tcPr>
            <w:tcW w:w="936" w:type="dxa"/>
            <w:vAlign w:val="center"/>
          </w:tcPr>
          <w:p>
            <w:pPr>
              <w:pStyle w:val="TableText"/>
              <w:spacing w:before="0" w:after="0" w:line="240" w:lineRule="auto"/>
            </w:pPr>
            <w:r>
              <w:rPr>
                <w:sz w:val="20"/>
                <w:szCs w:val="20"/>
              </w:rPr>
              <w:t>9.91</w:t>
            </w:r>
          </w:p>
        </w:tc>
        <w:tc>
          <w:tcPr>
            <w:tcW w:w="936" w:type="dxa"/>
            <w:vAlign w:val="center"/>
          </w:tcPr>
          <w:p>
            <w:pPr>
              <w:pStyle w:val="TableText"/>
              <w:spacing w:before="0" w:after="0" w:line="240" w:lineRule="auto"/>
            </w:pPr>
            <w:r>
              <w:rPr>
                <w:sz w:val="20"/>
                <w:szCs w:val="20"/>
              </w:rPr>
              <w:t>1.96</w:t>
            </w:r>
          </w:p>
        </w:tc>
        <w:tc>
          <w:tcPr>
            <w:tcW w:w="936" w:type="dxa"/>
            <w:vAlign w:val="center"/>
          </w:tcPr>
          <w:p>
            <w:pPr>
              <w:pStyle w:val="TableText"/>
              <w:spacing w:before="0" w:after="0" w:line="240" w:lineRule="auto"/>
            </w:pPr>
            <w:r>
              <w:rPr>
                <w:sz w:val="20"/>
                <w:szCs w:val="20"/>
              </w:rPr>
              <w:t>−0.95</w:t>
            </w:r>
          </w:p>
        </w:tc>
        <w:tc>
          <w:tcPr>
            <w:tcW w:w="936" w:type="dxa"/>
            <w:vAlign w:val="center"/>
          </w:tcPr>
          <w:p>
            <w:pPr>
              <w:pStyle w:val="TableText"/>
              <w:spacing w:before="0" w:after="0" w:line="240" w:lineRule="auto"/>
            </w:pPr>
            <w:r>
              <w:rPr>
                <w:sz w:val="20"/>
                <w:szCs w:val="20"/>
              </w:rPr>
              <w:t>97.5</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YLSLLQR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892.06</w:t>
            </w:r>
          </w:p>
        </w:tc>
        <w:tc>
          <w:tcPr>
            <w:tcW w:w="936" w:type="dxa"/>
            <w:vAlign w:val="center"/>
          </w:tcPr>
          <w:p>
            <w:pPr>
              <w:pStyle w:val="TableText"/>
              <w:spacing w:before="0" w:after="0" w:line="240" w:lineRule="auto"/>
            </w:pPr>
            <w:r>
              <w:rPr>
                <w:sz w:val="20"/>
                <w:szCs w:val="20"/>
              </w:rPr>
              <w:t>9.89</w:t>
            </w:r>
          </w:p>
        </w:tc>
        <w:tc>
          <w:tcPr>
            <w:tcW w:w="936" w:type="dxa"/>
            <w:vAlign w:val="center"/>
          </w:tcPr>
          <w:p>
            <w:pPr>
              <w:pStyle w:val="TableText"/>
              <w:spacing w:before="0" w:after="0" w:line="240" w:lineRule="auto"/>
            </w:pPr>
            <w:r>
              <w:rPr>
                <w:sz w:val="20"/>
                <w:szCs w:val="20"/>
              </w:rPr>
              <w:t>0.99</w:t>
            </w:r>
          </w:p>
        </w:tc>
        <w:tc>
          <w:tcPr>
            <w:tcW w:w="936" w:type="dxa"/>
            <w:vAlign w:val="center"/>
          </w:tcPr>
          <w:p>
            <w:pPr>
              <w:pStyle w:val="TableText"/>
              <w:spacing w:before="0" w:after="0" w:line="240" w:lineRule="auto"/>
            </w:pPr>
            <w:r>
              <w:rPr>
                <w:sz w:val="20"/>
                <w:szCs w:val="20"/>
              </w:rPr>
              <w:t>0.04</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bl>
    <w:p>
      <w:pPr>
        <w:spacing w:after="40"/>
      </w:pPr>
    </w:p>
    <w:p>
      <w:pPr>
        <w:pStyle w:val="Heading3"/>
        <w:keepNext/>
      </w:pPr>
      <w:r>
        <w:t>Docking to human AChE</w:t>
      </w:r>
    </w:p>
    <w:p>
      <w:pPr>
        <w:pStyle w:val="BodyText"/>
      </w:pPr>
      <w:r>
        <w:t>All twelve ligands produced favourable Vina scores (Table 6, Figure 2). Best-run values ran from −8.25 to −9.60 kcal/mol; three-run means ran from −8.07 ± 0.16 to −9.44 ± 0.09 kcal/mol. Best-pose order was FLLHTTR (−9.60), YLSLLQR (−9.49), ALLLHRC (−9.29). Mean order put YLSLLQR first (−9.44 ± 0.09) and ALLLHRC second (−9.18 ± 0.11). FLLHTTR has the strongest single pose and the largest SD (−8.77 ± 1.41). Best poses made 3–10 hydrogen bonds (mean length 2.83–3.28 Å; Figures 3 and 4).</w:t>
      </w:r>
    </w:p>
    <w:p>
      <w:pPr>
        <w:pStyle w:val="Caption"/>
      </w:pPr>
      <w:r>
        <w:rPr>
          <w:b/>
        </w:rPr>
        <w:t>Table 6. Three-run AutoDock Vina scores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Peptide</w:t>
            </w:r>
          </w:p>
        </w:tc>
        <w:tc>
          <w:tcPr>
            <w:tcW w:w="1560" w:type="dxa"/>
            <w:tcBorders>
              <w:bottom w:val="single" w:sz="8" w:space="0" w:color="000000"/>
            </w:tcBorders>
            <w:vAlign w:val="center"/>
          </w:tcPr>
          <w:p>
            <w:pPr>
              <w:pStyle w:val="TableText"/>
              <w:spacing w:before="0" w:after="0" w:line="240" w:lineRule="auto"/>
            </w:pPr>
            <w:r>
              <w:rPr>
                <w:sz w:val="20"/>
                <w:szCs w:val="20"/>
              </w:rPr>
              <w:t>H-bonds</w:t>
            </w:r>
          </w:p>
        </w:tc>
        <w:tc>
          <w:tcPr>
            <w:tcW w:w="1560" w:type="dxa"/>
            <w:tcBorders>
              <w:bottom w:val="single" w:sz="8" w:space="0" w:color="000000"/>
            </w:tcBorders>
            <w:vAlign w:val="center"/>
          </w:tcPr>
          <w:p>
            <w:pPr>
              <w:pStyle w:val="TableText"/>
              <w:spacing w:before="0" w:after="0" w:line="240" w:lineRule="auto"/>
            </w:pPr>
            <w:r>
              <w:rPr>
                <w:sz w:val="20"/>
                <w:szCs w:val="20"/>
              </w:rPr>
              <w:t>Best</w:t>
            </w:r>
          </w:p>
        </w:tc>
        <w:tc>
          <w:tcPr>
            <w:tcW w:w="1560" w:type="dxa"/>
            <w:tcBorders>
              <w:bottom w:val="single" w:sz="8" w:space="0" w:color="000000"/>
            </w:tcBorders>
            <w:vAlign w:val="center"/>
          </w:tcPr>
          <w:p>
            <w:pPr>
              <w:pStyle w:val="TableText"/>
              <w:spacing w:before="0" w:after="0" w:line="240" w:lineRule="auto"/>
            </w:pPr>
            <w:r>
              <w:rPr>
                <w:sz w:val="20"/>
                <w:szCs w:val="20"/>
              </w:rPr>
              <w:t>Mean ± SD (n=3)</w:t>
            </w:r>
          </w:p>
        </w:tc>
        <w:tc>
          <w:tcPr>
            <w:tcW w:w="1560" w:type="dxa"/>
            <w:tcBorders>
              <w:bottom w:val="single" w:sz="8" w:space="0" w:color="000000"/>
            </w:tcBorders>
            <w:vAlign w:val="center"/>
          </w:tcPr>
          <w:p>
            <w:pPr>
              <w:pStyle w:val="TableText"/>
              <w:spacing w:before="0" w:after="0" w:line="240" w:lineRule="auto"/>
            </w:pPr>
            <w:r>
              <w:rPr>
                <w:sz w:val="20"/>
                <w:szCs w:val="20"/>
              </w:rPr>
              <w:t>PAS</w:t>
            </w:r>
          </w:p>
        </w:tc>
        <w:tc>
          <w:tcPr>
            <w:tcW w:w="1560" w:type="dxa"/>
            <w:tcBorders>
              <w:bottom w:val="single" w:sz="8" w:space="0" w:color="000000"/>
            </w:tcBorders>
            <w:vAlign w:val="center"/>
          </w:tcPr>
          <w:p>
            <w:pPr>
              <w:pStyle w:val="TableText"/>
              <w:spacing w:before="0" w:after="0" w:line="240" w:lineRule="auto"/>
            </w:pPr>
            <w:r>
              <w:rPr>
                <w:sz w:val="20"/>
                <w:szCs w:val="20"/>
              </w:rPr>
              <w:t>Principal contacts</w:t>
            </w:r>
          </w:p>
        </w:tc>
      </w:tr>
      <w:tr>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Ser203, Tyr124</w:t>
            </w:r>
          </w:p>
        </w:tc>
      </w:tr>
      <w:tr>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Ser203, Thr75, Tyr341</w:t>
            </w:r>
          </w:p>
        </w:tc>
      </w:tr>
      <w:tr>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Asp74, Tyr72, His287</w:t>
            </w:r>
          </w:p>
        </w:tc>
      </w:tr>
      <w:tr>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Phe346</w:t>
            </w:r>
          </w:p>
        </w:tc>
      </w:tr>
      <w:tr>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Tyr124, Tyr337</w:t>
            </w:r>
          </w:p>
        </w:tc>
      </w:tr>
      <w:tr>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Thr75</w:t>
            </w:r>
          </w:p>
        </w:tc>
      </w:tr>
      <w:tr>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Adjacent</w:t>
            </w:r>
          </w:p>
        </w:tc>
        <w:tc>
          <w:tcPr>
            <w:tcW w:w="1560" w:type="dxa"/>
            <w:vAlign w:val="center"/>
          </w:tcPr>
          <w:p>
            <w:pPr>
              <w:pStyle w:val="TableText"/>
              <w:spacing w:before="0" w:after="0" w:line="240" w:lineRule="auto"/>
            </w:pPr>
            <w:r>
              <w:rPr>
                <w:sz w:val="20"/>
                <w:szCs w:val="20"/>
              </w:rPr>
              <w:t>Ser203, Val340</w:t>
            </w:r>
          </w:p>
        </w:tc>
      </w:tr>
      <w:tr>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Ser293</w:t>
            </w:r>
          </w:p>
        </w:tc>
      </w:tr>
      <w:tr>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Trp286, Tyr341, His447</w:t>
            </w:r>
          </w:p>
        </w:tc>
      </w:tr>
      <w:tr>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Asn283, Gln279</w:t>
            </w:r>
          </w:p>
        </w:tc>
      </w:tr>
      <w:tr>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Trp86, Ser203</w:t>
            </w:r>
          </w:p>
        </w:tc>
      </w:tr>
      <w:tr>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Thr75, Glu202</w:t>
            </w:r>
          </w:p>
        </w:tc>
      </w:tr>
    </w:tbl>
    <w:p>
      <w:pPr>
        <w:spacing w:after="40"/>
      </w:pPr>
    </w:p>
    <w:p>
      <w:pPr>
        <w:pStyle w:val="Figure"/>
        <w:jc w:val="center"/>
        <w:keepNext/>
      </w:pPr>
      <w:r>
        <w:drawing>
          <wp:inline distT="0" distB="0" distL="0" distR="0">
            <wp:extent cx="6150000" cy="3253339"/>
            <wp:effectExtent l="0" t="0" r="0" b="0"/>
            <wp:docPr id="2" name="Figure 2" descr="Figure 2. Local AutoDock Vina scores of twelve candidate micropeptides."/>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253339"/>
                    </a:xfrm>
                    <a:prstGeom prst="rect">
                      <a:avLst/>
                    </a:prstGeom>
                  </pic:spPr>
                </pic:pic>
              </a:graphicData>
            </a:graphic>
          </wp:inline>
        </w:drawing>
      </w:r>
    </w:p>
    <w:p>
      <w:pPr>
        <w:pStyle w:val="Caption"/>
      </w:pPr>
      <w:r>
        <w:rPr>
          <w:b/>
        </w:rPr>
        <w:t>Figure 2. Three-run Vina scores against human AChE (PDB 4EY6).</w:t>
      </w:r>
      <w:r>
        <w:t xml:space="preserve"> Blue circles, mean; whiskers, SD; orange diamonds, best run. Order follows best-run rank.</w:t>
      </w:r>
    </w:p>
    <w:p>
      <w:pPr>
        <w:pStyle w:val="Figure"/>
        <w:jc w:val="center"/>
        <w:keepNext/>
      </w:pPr>
      <w:r>
        <w:drawing>
          <wp:inline distT="0" distB="0" distL="0" distR="0">
            <wp:extent cx="6150000" cy="5206601"/>
            <wp:effectExtent l="0" t="0" r="0" b="0"/>
            <wp:docPr id="3" name="Figure 3" descr="Figure 3. Best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 docking poses, peptides 1–6 (A–F).</w:t>
      </w:r>
      <w:r>
        <w:t xml:space="preserve"> Peptide, orange; contacting residues, cyan. FLLHTTR (C) is the densest PAS pose.</w:t>
      </w:r>
    </w:p>
    <w:p>
      <w:pPr>
        <w:pStyle w:val="Figure"/>
        <w:jc w:val="center"/>
        <w:keepNext/>
      </w:pPr>
      <w:r>
        <w:drawing>
          <wp:inline distT="0" distB="0" distL="0" distR="0">
            <wp:extent cx="6150000" cy="5206601"/>
            <wp:effectExtent l="0" t="0" r="0" b="0"/>
            <wp:docPr id="4" name="Figure 4" descr="Figure 4. Best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3"/>
                    <a:stretch>
                      <a:fillRect/>
                    </a:stretch>
                  </pic:blipFill>
                  <pic:spPr>
                    <a:xfrm>
                      <a:off x="0" y="0"/>
                      <a:ext cx="6150000" cy="5206601"/>
                    </a:xfrm>
                    <a:prstGeom prst="rect">
                      <a:avLst/>
                    </a:prstGeom>
                  </pic:spPr>
                </pic:pic>
              </a:graphicData>
            </a:graphic>
          </wp:inline>
        </w:drawing>
      </w:r>
    </w:p>
    <w:p>
      <w:pPr>
        <w:pStyle w:val="Caption"/>
      </w:pPr>
      <w:r>
        <w:rPr>
          <w:b/>
        </w:rPr>
        <w:t>Figure 4. Best docking poses, peptides 7–12 (G–L).</w:t>
      </w:r>
      <w:r>
        <w:t xml:space="preserve"> LLHPLRL (I) spans PAS Trp286/Tyr341 to catalytic His447. YLSLLQR (L) bridges PAS and the gorge mouth.</w:t>
      </w:r>
    </w:p>
    <w:p>
      <w:pPr>
        <w:pStyle w:val="BodyText"/>
      </w:pPr>
      <w:r>
        <w:t>PAS contacts in the best pose were seen for FLLHTTR (Figure 3C), YLSLLQR (Figure 4L), FCLHLQLR, HVLLLRQCA, HLLTLKKHV and LLHPLRL (Figure 4I). ALLLHRC binds catalytic Ser203 with the shortest mean hydrogen bond (2.83 Å) rather than the outer PAS aromatics (Figure 3A). Three-run means separate ligands that stay strong across runs (YLSLLQR, ALLLHRC, LLHPLRL) from ligands whose best pose is better than the run average (FLLHTTR, FCLHLQLR, YHHLLCRR).</w:t>
      </w:r>
    </w:p>
    <w:p>
      <w:pPr>
        <w:pStyle w:val="Heading3"/>
        <w:keepNext/>
      </w:pPr>
      <w:r>
        <w:t>100-ns dynamics of apo AChE and three complexes</w:t>
      </w:r>
    </w:p>
    <w:p>
      <w:pPr>
        <w:pStyle w:val="BodyText"/>
      </w:pPr>
      <w:r>
        <w:t>Production runs finished for apo AChE and the ALLLHRC, FLLHTTR and YLSLLQR complexes (Table 7, Figures 5–7). Each six-panel figure compares apo with one complex: RMSD (A), RMSF (B), SASA (C), Rg (D), last-20-ns DSSP (E) and intermolecular hydrogen bonds (F).</w:t>
      </w:r>
    </w:p>
    <w:p>
      <w:r>
        <w:br w:type="page"/>
      </w:r>
    </w:p>
    <w:p>
      <w:pPr>
        <w:pStyle w:val="Figure"/>
        <w:jc w:val="center"/>
        <w:keepNext/>
      </w:pPr>
      <w:r>
        <w:drawing>
          <wp:inline distT="0" distB="0" distL="0" distR="0">
            <wp:extent cx="6150000" cy="3470162"/>
            <wp:effectExtent l="0" t="0" r="0" b="0"/>
            <wp:docPr id="5" name="Figure 5" descr="Figure 5. Apo AChE versus AChE–ALLLHRC, 100 ns."/>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5. Apo AChE versus AChE–ALLLHRC.</w:t>
      </w:r>
      <w:r>
        <w:t xml:space="preserve"> Panels A–F match Table 7. Complex RMSD (A) tracks apo; hydrogen bonds (F) fall from early occupancy to about two in the last 20 ns.</w:t>
      </w:r>
    </w:p>
    <w:p>
      <w:pPr>
        <w:pStyle w:val="Figure"/>
        <w:jc w:val="center"/>
        <w:keepNext/>
      </w:pPr>
      <w:r>
        <w:drawing>
          <wp:inline distT="0" distB="0" distL="0" distR="0">
            <wp:extent cx="6150000" cy="3470162"/>
            <wp:effectExtent l="0" t="0" r="0" b="0"/>
            <wp:docPr id="6" name="Figure 6" descr="Figure 6. Apo AChE versus AChE–FLLHTTR, 100 ns."/>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6. Apo AChE versus AChE–FLLHTTR.</w:t>
      </w:r>
      <w:r>
        <w:t xml:space="preserve"> After ~50 ns, complex RMSD (A) lies below apo. Hydrogen-bond counts (F) stay in the 6–10 range for the full 100 ns.</w:t>
      </w:r>
    </w:p>
    <w:p>
      <w:pPr>
        <w:pStyle w:val="Figure"/>
        <w:jc w:val="center"/>
        <w:keepNext/>
      </w:pPr>
      <w:r>
        <w:drawing>
          <wp:inline distT="0" distB="0" distL="0" distR="0">
            <wp:extent cx="6150000" cy="3470162"/>
            <wp:effectExtent l="0" t="0" r="0" b="0"/>
            <wp:docPr id="7" name="Figure 7" descr="Figure 7. Apo AChE versus AChE–YLSLLQR, 100 ns."/>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7. Apo AChE versus AChE–YLSLLQR.</w:t>
      </w:r>
      <w:r>
        <w:t xml:space="preserve"> Late RMSD (A) is below apo. SASA (C) is the only complex that contracts relative to apo.</w:t>
      </w:r>
    </w:p>
    <w:p>
      <w:pPr>
        <w:pStyle w:val="Caption"/>
      </w:pPr>
      <w:r>
        <w:rPr>
          <w:b/>
        </w:rPr>
        <w:t>Table 7. Last-20-ns metrics (mean ± SD) for apo AChE and three complexes.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Metric</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ALLLHRC</w:t>
            </w:r>
          </w:p>
        </w:tc>
        <w:tc>
          <w:tcPr>
            <w:tcW w:w="1872" w:type="dxa"/>
            <w:tcBorders>
              <w:bottom w:val="single" w:sz="8" w:space="0" w:color="000000"/>
            </w:tcBorders>
            <w:vAlign w:val="center"/>
          </w:tcPr>
          <w:p>
            <w:pPr>
              <w:pStyle w:val="TableText"/>
              <w:spacing w:before="0" w:after="0" w:line="240" w:lineRule="auto"/>
            </w:pPr>
            <w:r>
              <w:rPr>
                <w:sz w:val="20"/>
                <w:szCs w:val="20"/>
              </w:rPr>
              <w:t>FLLHTTR</w:t>
            </w:r>
          </w:p>
        </w:tc>
        <w:tc>
          <w:tcPr>
            <w:tcW w:w="1872" w:type="dxa"/>
            <w:tcBorders>
              <w:bottom w:val="single" w:sz="8" w:space="0" w:color="000000"/>
            </w:tcBorders>
            <w:vAlign w:val="center"/>
          </w:tcPr>
          <w:p>
            <w:pPr>
              <w:pStyle w:val="TableText"/>
              <w:spacing w:before="0" w:after="0" w:line="240" w:lineRule="auto"/>
            </w:pPr>
            <w:r>
              <w:rPr>
                <w:sz w:val="20"/>
                <w:szCs w:val="20"/>
              </w:rPr>
              <w:t>YLSLLQR</w:t>
            </w:r>
          </w:p>
        </w:tc>
      </w:tr>
      <w:tr>
        <w:tc>
          <w:tcPr>
            <w:tcW w:w="1872" w:type="dxa"/>
            <w:vAlign w:val="center"/>
          </w:tcPr>
          <w:p>
            <w:pPr>
              <w:pStyle w:val="TableText"/>
              <w:spacing w:before="0" w:after="0" w:line="240" w:lineRule="auto"/>
            </w:pPr>
            <w:r>
              <w:rPr>
                <w:sz w:val="20"/>
                <w:szCs w:val="20"/>
              </w:rPr>
              <w:t>Cα RMSD (nm)</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Peptide self-fit RMSD (nm)</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RMSF mean (nm)</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Intermolecular H-bonds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Persistent contact pairs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α-helix / β-sheet (%)</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Apo RMSD levels near 0.19 nm (Figures 5A–7A). ALLLHRC follows that control (complex 0.1916 nm). FLLHTTR and YLSLLQR drop below apo after 50–70 ns (0.1640 and 0.1625 nm), which reads as rigidification, not unfolding. Peptide self-fit RMSD is highest for ALLLHRC (0.2518 nm) and lowest for YLSLLQR (0.0911 nm). Catalytic-core RMSF stays low; mean RMSF is below apo for FLLHTTR and YLSLLQR. Rg remains 2.30–2.31 nm. SASA rises for ALLLHRC (217.47 nm²), sits near apo for FLLHTTR (213.88 nm²), and falls only for YLSLLQR (209.71 nm²; Figure 7C). Hydrogen-bond histories differ: ALLLHRC decays to 2.19 ± 0.80; FLLHTTR holds 7.03 ± 1.28 for the whole run (Figure 6F); YLSLLQR averages 2.93 ± 1.14. Helix (~33%) and sheet (~17%) overlay the apo bars. Each complex keeps seven persistent contact pairs. Centre-of-mass RDF peaks lie at 1.22 nm (ALLLHRC), 1.80 nm (FLLHTTR) and 1.62 nm (YLSLLQR), i.e. surface residence rather than bulk solvent.</w:t>
      </w:r>
    </w:p>
    <w:p>
      <w:pPr>
        <w:pStyle w:val="Heading2"/>
        <w:keepNext/>
      </w:pPr>
      <w:r>
        <w:t>Discussion</w:t>
      </w:r>
    </w:p>
    <w:p>
      <w:pPr>
        <w:pStyle w:val="BodyText"/>
      </w:pPr>
      <w:r>
        <w:t xml:space="preserve">AChE hydrolyses acetylcholine at cholinergic synapses. In AD tissue the same enzyme sits on amyloid plaques. AChE accelerates Aβ fibril growth through the PAS, and AChE–Aβ particles are more toxic than free peptide </w:t>
      </w:r>
      <w:r>
        <w:t>[4]</w:t>
      </w:r>
      <w:r>
        <w:t xml:space="preserve">. Stable enzyme–peptide complexes change AChE biochemistry and raise fibril neurotoxicity. Isolated complexes contain enzyme bound to growing fibrils </w:t>
      </w:r>
      <w:r>
        <w:t>[38–39]</w:t>
      </w:r>
      <w:r>
        <w:t xml:space="preserve">. A short hydrophobic PAS motif is sufficient for that chaperone effect </w:t>
      </w:r>
      <w:r>
        <w:t>[5]</w:t>
      </w:r>
      <w:r>
        <w:t xml:space="preserve">. A monoclonal antibody to AChE blocks the effect </w:t>
      </w:r>
      <w:r>
        <w:t>[40]</w:t>
      </w:r>
      <w:r>
        <w:t xml:space="preserve">, and PAS-directed small molecules reach the same endpoint </w:t>
      </w:r>
      <w:r>
        <w:t>[6]</w:t>
      </w:r>
      <w:r>
        <w:t xml:space="preserve">. Excess AChE promotes cortical Aβ plaques in mice </w:t>
      </w:r>
      <w:r>
        <w:t>[41]</w:t>
      </w:r>
      <w:r>
        <w:t xml:space="preserve">. Reviews of AChE in AD place plaque-associated enzyme in cross-talk with Aβ and phospho-tau, and the plaque-associated activity remains sensitive to PAS blockade </w:t>
      </w:r>
      <w:r>
        <w:t>[42–44]</w:t>
      </w:r>
      <w:r>
        <w:t xml:space="preserve">. Hippocampal AChE–Aβ complexes produce more damage than free fibrils </w:t>
      </w:r>
      <w:r>
        <w:t>[45]</w:t>
      </w:r>
      <w:r>
        <w:t xml:space="preserve">. The PAS maps to Tyr72, Asp74, Tyr124, Trp286 and Tyr341, about 20 Å from the catalytic triad at the gorge mouth </w:t>
      </w:r>
      <w:r>
        <w:t>[46]</w:t>
      </w:r>
      <w:r>
        <w:t xml:space="preserve">. These studies support PAS as a functional surface that can take part in AChE-mediated Aβ assembly </w:t>
      </w:r>
      <w:r>
        <w:t>[2–3]</w:t>
      </w:r>
      <w:r>
        <w:t xml:space="preserve">. The present docking and 100-ns trajectories examine predicted contacts of periodontitis-derived micropeptides at that surface.</w:t>
      </w:r>
    </w:p>
    <w:p>
      <w:pPr>
        <w:pStyle w:val="BodyText"/>
      </w:pPr>
      <w:r>
        <w:t xml:space="preserve">An oral exposure path is documented at the organism and protease level. Periodontopathic virulence factors have been detected in short-term postmortem AD brain </w:t>
      </w:r>
      <w:r>
        <w:t>[47]</w:t>
      </w:r>
      <w:r>
        <w:t xml:space="preserve">. P. gingivalis and gingipains have been reported in AD brains, and oral infection in mice raises brain Aβ1–42 </w:t>
      </w:r>
      <w:r>
        <w:t>[14]</w:t>
      </w:r>
      <w:r>
        <w:t xml:space="preserve">. AD-like neurodegeneration occurs in P. gingivalis-infected neurons that keep active gingipains </w:t>
      </w:r>
      <w:r>
        <w:t>[48]</w:t>
      </w:r>
      <w:r>
        <w:t xml:space="preserve">. Repeated oral application of a periodontal pathogen in wild-type mice produces neuroinflammation and Aβ-related changes </w:t>
      </w:r>
      <w:r>
        <w:t>[15]</w:t>
      </w:r>
      <w:r>
        <w:t xml:space="preserve">. P. gingivalis bacteremia increases endothelial permeability through an Mfsd2a/Caveolin-1 transcytosis path </w:t>
      </w:r>
      <w:r>
        <w:t>[49]</w:t>
      </w:r>
      <w:r>
        <w:t xml:space="preserve">. Gingipains and outer-membrane vesicles supply vehicles for bacterial cargo beyond the producing cell </w:t>
      </w:r>
      <w:r>
        <w:t>[12–13]</w:t>
      </w:r>
      <w:r>
        <w:t xml:space="preserve">. Meta-analyses and an AD cohort link periodontitis to later cognitive decline </w:t>
      </w:r>
      <w:r>
        <w:t>[9–10]</w:t>
      </w:r>
      <w:r>
        <w:t xml:space="preserve">. A two-sample Mendelian randomization analysis did not support a genetic causal effect </w:t>
      </w:r>
      <w:r>
        <w:t>[11]</w:t>
      </w:r>
      <w:r>
        <w:t xml:space="preserve">. Those reports supply biological background for examining oral products in AD-related pathology. They do not assign the twelve peptides to P. gingivalis, and they do not show that any one string crosses endothelium or accumulates in brain </w:t>
      </w:r>
      <w:r>
        <w:t>[7–8,25]</w:t>
      </w:r>
      <w:r>
        <w:t xml:space="preserve">. A 7–9-aa peptide is smaller than gingipains or vesicles; size alone is not evidence of barrier crossing. Charge, proteolysis, plasma binding and transport all affect exposure, and none of those processes is modelled here. Docking and MD below address predicted contacts at AChE after an oral heptapeptide has been placed on the enzyme.</w:t>
      </w:r>
    </w:p>
    <w:p>
      <w:pPr>
        <w:pStyle w:val="BodyText"/>
      </w:pPr>
      <w:r>
        <w:t xml:space="preserve">Deep-learning peptide mining supplied the filter stack. Millions of translated microbiome open reading frames have been scored before experimental filters </w:t>
      </w:r>
      <w:r>
        <w:t>[18]</w:t>
      </w:r>
      <w:r>
        <w:t xml:space="preserve">. UniDL4BioPep uses the same predict-then-filter logic on ESM-2 embeddings </w:t>
      </w:r>
      <w:r>
        <w:t>[19]</w:t>
      </w:r>
      <w:r>
        <w:t xml:space="preserve">. NTxPred2, mebipred and AnOxPePred were trained for neurotoxic, metal-binding and antioxidant endpoints, not for AChE occupancy </w:t>
      </w:r>
      <w:r>
        <w:t>[31–33]</w:t>
      </w:r>
      <w:r>
        <w:t xml:space="preserve">. Catalogue matches to HOMD, eHOMD and salivary metaproteomes support prior observation of a string, as in other oral peptide studies </w:t>
      </w:r>
      <w:r>
        <w:t>[16,26–30]</w:t>
      </w:r>
      <w:r>
        <w:t xml:space="preserve">. A genomic catalogue hit records coding potential. A metaproteomic hit records a detected peptide. Neither measurement is host-tissue exposure of the twelve docking ligands. The serial scores function as a triage stack that nominates strings for structure work. The twelve docking ligands are 7–9 residues, alkaline, and net-positive at pH 7.4, with leucine-rich cores. Asp74 and Trp286 form a common core for peripheral ligands </w:t>
      </w:r>
      <w:r>
        <w:t>[50]</w:t>
      </w:r>
      <w:r>
        <w:t xml:space="preserve">, and cationic substrate first docks on Asp74 </w:t>
      </w:r>
      <w:r>
        <w:t>[51]</w:t>
      </w:r>
      <w:r>
        <w:t xml:space="preserve">. Those physicochemical traits made the twelve strings worth docking. Net charge and leucine content do not establish PAS selectivity, a shared binding mode, or affinity.</w:t>
      </w:r>
    </w:p>
    <w:p>
      <w:pPr>
        <w:pStyle w:val="BodyText"/>
      </w:pPr>
      <w:r>
        <w:t xml:space="preserve">Human AChE (PDB 4EY6) gives an experimental frame for the gorge and PAS </w:t>
      </w:r>
      <w:r>
        <w:t>[22]</w:t>
      </w:r>
      <w:r>
        <w:t xml:space="preserve">, following the aromatic-gorge map on Torpedo AChE </w:t>
      </w:r>
      <w:r>
        <w:t>[23,52]</w:t>
      </w:r>
      <w:r>
        <w:t xml:space="preserve">. The 20-Å gorge couples a catalytic triad at the base to a peripheral cluster at the rim </w:t>
      </w:r>
      <w:r>
        <w:t>[53]</w:t>
      </w:r>
      <w:r>
        <w:t xml:space="preserve">. AutoDock Vina is a first-pass ranking engine </w:t>
      </w:r>
      <w:r>
        <w:t>[34–35]</w:t>
      </w:r>
      <w:r>
        <w:t xml:space="preserve">. Recurring predicted contacts fall on the PAS array. FLLHTTR is predicted to hydrogen-bond Asp74, Tyr72 and His287. YLSLLQR is predicted to bridge Tyr72 and Thr75 at the gorge mouth. LLHPLRL is predicted to span Trp286 and Tyr341 and reach catalytic His447. Donepezil in 4EY6 also contacts PAS and the catalytic region </w:t>
      </w:r>
      <w:r>
        <w:t>[22]</w:t>
      </w:r>
      <w:r>
        <w:t xml:space="preserve">; shared residue names do not make the peptide pose equivalent in mode or function. HLLTLKKHV reaches Phe346 in the 344–361 zone occupied by Aβ on a 1-μs trajectory </w:t>
      </w:r>
      <w:r>
        <w:t>[21]</w:t>
      </w:r>
      <w:r>
        <w:t xml:space="preserve">. PAS ligands have been crystallised stacked between Trp286 and Tyr341; the same pair appears for LLHPLRL </w:t>
      </w:r>
      <w:r>
        <w:t>[54]</w:t>
      </w:r>
      <w:r>
        <w:t xml:space="preserve">. ALLLHRC is predicted to bind catalytic Ser203 and does not contact the outer PAS aromatics. Six of twelve best poses meet PAS residues. FCLHLQLR, HVLLLRQCA, HLLTLKKHV and LLHPLRL complete that PAS-contact set; HLPLLHRCC, LLHPLRC, WLLVHLKK and YHHLLCRR stay off the outer aromatics, and LLHLPKRTT sits adjacent. Contact with a PAS residue in a docked pose is a predicted geometry. All twelve ligands were docked. MD was restricted to the three strongest best-run Vina poses: FLLHTTR and YLSLLQR as PAS-contact poses, ALLLHRC as a high-scoring catalytic-site pose without outer PAS aromatics, so that PAS geometry could be compared with a strong non-PAS score. Docking scores put all twelve strings in a favourable window. The scores are first-pass ranks, not binding constants. The contact list separates a PAS-contact pose from a catalytic-site pose: Asp74/Tyr72/Trp286/Tyr341 versus Ser203.</w:t>
      </w:r>
    </w:p>
    <w:p>
      <w:pPr>
        <w:pStyle w:val="BodyText"/>
      </w:pPr>
      <w:r>
        <w:t xml:space="preserve">MD studies of AChE–Aβ already treat the enzyme as a nucleation centre. Accelerated sampling pulled Aβ onto the AChE surface </w:t>
      </w:r>
      <w:r>
        <w:t>[20]</w:t>
      </w:r>
      <w:r>
        <w:t xml:space="preserve">. A 1-μs PAS-centred trajectory remained bound </w:t>
      </w:r>
      <w:r>
        <w:t>[21]</w:t>
      </w:r>
      <w:r>
        <w:t xml:space="preserve">. The present work reports one 100-ns production trajectory for each of four systems: apo AChE and the ALLLHRC, FLLHTTR and YLSLLQR complexes. Apo AChE remains a compact hydrolase. ALLLHRC tracks that control. FLLHTTR and YLSLLQR sit below apo after the first half of the run. Mean fluctuation is below apo for FLLHTTR and YLSLLQR and slightly above apo for ALLLHRC. Catalytic-core fluctuations stay low in all four systems. Loop residues at the gorge rim fluctuate more than the triad, consistent with PAS as a surface cluster </w:t>
      </w:r>
      <w:r>
        <w:t>[46,54]</w:t>
      </w:r>
      <w:r>
        <w:t xml:space="preserve">. Radius of gyration barely shifts across apo and the three complexes. Helix and sheet overlay the apo bars, so secondary structure is not rewritten on this window. Apo AChE is already a stiff α/β hydrolase; the deep aromatic gorge does not require large domain motion for catalysis </w:t>
      </w:r>
      <w:r>
        <w:t>[52]</w:t>
      </w:r>
      <w:r>
        <w:t xml:space="preserve">. A small drop in complex compactness relative to that apo baseline is a tightening of an already compact fold. Lower RMSF on this window records reduced fluctuation of those atoms. A SASA drop can reflect interface burial or a global shape change. Solvent-accessible surface rises for ALLLHRC relative to apo, sits near apo for FLLHTTR, and falls only for YLSLLQR. Intermolecular hydrogen-bond counts stay high for FLLHTTR through 100 ns, sit lower for YLSLLQR, and thin out for ALLLHRC. Count is not occupancy or affinity; occupancy and lifetime were not tabulated. Centre-of-mass distances stay in the surface-residence range. None of the three peptides left the enzyme on this window, so the predicted pose persisted in a single 100-ns trajectory. FLLHTTR keeps a dense intermolecular hydrogen-bond net at PAS. YLSLLQR keeps a more compact complex. ALLLHRC does not keep a PAS-type network despite a strong Ser203 docking score. PAS-directed small molecules can suppress AChE-induced aggregation without catalytic-site occupancy </w:t>
      </w:r>
      <w:r>
        <w:t>[6]</w:t>
      </w:r>
      <w:r>
        <w:t xml:space="preserve">. The present split is a computational analogue of that biochemical distinction, limited to one trajectory per complex.</w:t>
      </w:r>
    </w:p>
    <w:p>
      <w:pPr>
        <w:pStyle w:val="BodyText"/>
      </w:pPr>
      <w:r>
        <w:t xml:space="preserve">The cited PAS and AChE–Aβ papers support a four-step pathogenic cascade as a hypothesis for an oral peptide that remains at PAS. First, PAS recognition: occupancy of Asp74, Tyr72, Trp286 and Tyr341 places a heterologous cationic peptide at the gorge mouth that feeds the catalytic triad, the first encounter assigned to cationic substrate at this enzyme </w:t>
      </w:r>
      <w:r>
        <w:t>[22,51]</w:t>
      </w:r>
      <w:r>
        <w:t xml:space="preserve">. Second, a lasting enzyme–peptide complex: intermolecular hydrogen bonds persist on the present window, as in AChE–Aβ trajectories and in isolated stable complexes </w:t>
      </w:r>
      <w:r>
        <w:t>[20,21,38]</w:t>
      </w:r>
      <w:r>
        <w:t xml:space="preserve">. Third, restricted acetylcholine access: physical blockage at the 20-Å gorge entrance can hinder substrate even while the catalytic core remains folded, the steric-blockade and allosteric mode described for PAS ligands </w:t>
      </w:r>
      <w:r>
        <w:t>[46,53]</w:t>
      </w:r>
      <w:r>
        <w:t xml:space="preserve">. Fourth, pathological chaperone activity: AChE accelerates Aβ fibril assembly through the PAS, and AChE–Aβ particles are more toxic than free peptide </w:t>
      </w:r>
      <w:r>
        <w:t>[4,38–39]</w:t>
      </w:r>
      <w:r>
        <w:t xml:space="preserve">. A short hydrophobic PAS motif of the enzyme is sufficient for that chaperone effect </w:t>
      </w:r>
      <w:r>
        <w:t>[5]</w:t>
      </w:r>
      <w:r>
        <w:t xml:space="preserve">. Reviews place plaque-associated AChE in cross-talk with Aβ still sensitive to PAS blockade </w:t>
      </w:r>
      <w:r>
        <w:t>[43]</w:t>
      </w:r>
      <w:r>
        <w:t xml:space="preserve">. A peptide that remains at that surface can lower the nucleation barrier for endogenous Aβ. Folded AChE would then present a peptide-coated PAS on which Aβ oligomers can co-assemble, which accounts for the greater hippocampal damage of AChE–Aβ particles relative to free fibrils </w:t>
      </w:r>
      <w:r>
        <w:t>[45]</w:t>
      </w:r>
      <w:r>
        <w:t xml:space="preserve">. PAS-directed small molecules block AChE-induced aggregation </w:t>
      </w:r>
      <w:r>
        <w:t>[6]</w:t>
      </w:r>
      <w:r>
        <w:t xml:space="preserve">; those ligands inhibit the chaperone surface. The AChE–Aβ literature describes a peptide ligand that uses the same surface as a nucleation site </w:t>
      </w:r>
      <w:r>
        <w:t>[4,20,21]</w:t>
      </w:r>
      <w:r>
        <w:t xml:space="preserve">. An oral heptapeptide that stays at PAS belongs with that peptide class. The four steps remain a hypothesis: this study does not measure acetylcholine hydrolysis or Aβ aggregation.</w:t>
      </w:r>
    </w:p>
    <w:p>
      <w:pPr>
        <w:pStyle w:val="BodyText"/>
      </w:pPr>
      <w:r>
        <w:t xml:space="preserve">PAS pharmacology in AChE has mostly been small molecules. PAS ligands reduce AChE-induced aggregation without requiring catalytic-site occupancy </w:t>
      </w:r>
      <w:r>
        <w:t>[6]</w:t>
      </w:r>
      <w:r>
        <w:t xml:space="preserve">. Donepezil in 4EY6 spans PAS Trp286 to the catalytic anionic site, a dual-binding template mapped on Torpedo AChE </w:t>
      </w:r>
      <w:r>
        <w:t>[22–23]</w:t>
      </w:r>
      <w:r>
        <w:t xml:space="preserve">. That surface has been treated as a design handle for ligands that modulate heterologous protein associations, including Aβ </w:t>
      </w:r>
      <w:r>
        <w:t>[46]</w:t>
      </w:r>
      <w:r>
        <w:t xml:space="preserve">. Dual-binding inhibitors were designed to occupy PAS and the catalytic anionic site at once, with the therapeutic aim of slowing both acetylcholine hydrolysis and PAS-templated Aβ assembly </w:t>
      </w:r>
      <w:r>
        <w:t>[44,46]</w:t>
      </w:r>
      <w:r>
        <w:t xml:space="preserve">. Short cationic peptides cover a larger patch than those ligands. An oral heptapeptide that covers only the rim cannot be scored against that dual-binding template. FLLHTTR and YLSLLQR remain at the rim in the present poses. ALLLHRC does not, even though all three scored in a favourable docking window. The oral peptides are computational candidates at a functional surface that already has experimental support.</w:t>
      </w:r>
    </w:p>
    <w:p>
      <w:pPr>
        <w:pStyle w:val="BodyText"/>
      </w:pPr>
      <w:r>
        <w:t xml:space="preserve">The twelve strings come from getorf prediction, UniDL4BioPep scoring and catalogue matching on PRJNA678453 MAGs. That pipeline does not prove that every candidate is expressed in the oral niche or that an intact peptide reaches host tissue. Docking reports a pose under one scoring function and one AChE crystal frame; the score is not an experimental Kd. Each MD system is a single 100-ns trajectory, which cannot map association and dissociation. Repeat runs, hydrogen-bond occupancy tables and interface-area breakdowns were not the basis of the present claims. No peptide–AChE binding assay, no AChE activity assay and no Aβ aggregation assay were performed. In-vivo exposure, plasma stability and barrier crossing remain unknown. FLLHTTR and YLSLLQR supply the strongest computational case for predicted PAS contacts that persist on this window. The four-step cascade above is the working hypothesis: an oral micropeptide that remains at PAS can form a lasting complex, restrict gorge access and coat the documented chaperone surface. Later assays of peptide–AChE binding, AChE catalysis and Aβ aggregation, together with expression and exposure data, are required to test that cascade.</w:t>
      </w:r>
    </w:p>
    <w:p>
      <w:pPr>
        <w:pStyle w:val="Heading2"/>
        <w:keepNext/>
      </w:pPr>
      <w:r>
        <w:t>Conclusions</w:t>
      </w:r>
    </w:p>
    <w:p>
      <w:pPr>
        <w:pStyle w:val="BodyText"/>
      </w:pPr>
      <w:r>
        <w:t>Twelve 7–9-aa peptides from a periodontitis-labelled oral smORF library dock to human AChE. FLLHTTR, YLSLLQR and ALLLHRC remain on the surface for 100 ns without unfolding the enzyme. FLLHTTR forms the densest PAS hydrogen-bond net; YLSLLQR is the only complex that buries solvent-accessible surface. The calculations support a possible mechanism in which oral pathogenic peptides occupy AChE, hinder acetylcholine access, and co-nucleate Aβ on the same PAS.</w:t>
      </w:r>
    </w:p>
    <w:p>
      <w:pPr>
        <w:pStyle w:val="Heading2"/>
        <w:keepNext/>
      </w:pPr>
      <w:r>
        <w:t>References</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7.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8.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9.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10.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11.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12.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13.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14.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15.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16.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17.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19.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20.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21.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22.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23. Kryger G, Silman I, Sussman JL. Structure of acetylcholinesterase complexed with E2020 (Aricept): implications for drug design. </w:t>
      </w:r>
      <w:r>
        <w:rPr>
          <w:i/>
          <w:sz w:val="24"/>
          <w:szCs w:val="24"/>
        </w:rPr>
        <w:t>Structure</w:t>
      </w:r>
      <w:r>
        <w:rPr>
          <w:sz w:val="24"/>
          <w:szCs w:val="24"/>
        </w:rPr>
        <w:t>. 1999;7(3):297–307. doi:10.1016/s0969-2126(99)80040-9.</w:t>
      </w:r>
    </w:p>
    <w:p>
      <w:pPr>
        <w:pStyle w:val="Reference"/>
        <w:ind w:left="360" w:hanging="360"/>
      </w:pPr>
      <w:r>
        <w:rPr>
          <w:sz w:val="24"/>
          <w:szCs w:val="24"/>
        </w:rPr>
        <w:t xml:space="preserve">24. Rice P, Longden I, Bleasby A. EMBOSS: the European Molecular Biology Open Software Suite. </w:t>
      </w:r>
      <w:r>
        <w:rPr>
          <w:i/>
          <w:sz w:val="24"/>
          <w:szCs w:val="24"/>
        </w:rPr>
        <w:t>Trends Genet</w:t>
      </w:r>
      <w:r>
        <w:rPr>
          <w:sz w:val="24"/>
          <w:szCs w:val="24"/>
        </w:rPr>
        <w:t>. 2000;16(6):276–277. doi:10.1016/S0168-9525(00)02024-2.</w:t>
      </w:r>
    </w:p>
    <w:p>
      <w:pPr>
        <w:pStyle w:val="Reference"/>
        <w:ind w:left="360" w:hanging="360"/>
      </w:pPr>
      <w:r>
        <w:rPr>
          <w:sz w:val="24"/>
          <w:szCs w:val="24"/>
        </w:rPr>
        <w:t xml:space="preserve">25.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26.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27.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Reference"/>
        <w:ind w:left="360" w:hanging="360"/>
      </w:pPr>
      <w:r>
        <w:rPr>
          <w:sz w:val="24"/>
          <w:szCs w:val="24"/>
        </w:rPr>
        <w:t xml:space="preserve">28.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29. Jiang X, Zhang Y, Wang H, et al. In-depth metaproteomics analysis of oral microbiome for lung cancer. </w:t>
      </w:r>
      <w:r>
        <w:rPr>
          <w:i/>
          <w:sz w:val="24"/>
          <w:szCs w:val="24"/>
        </w:rPr>
        <w:t>Research (Wash D C)</w:t>
      </w:r>
      <w:r>
        <w:rPr>
          <w:sz w:val="24"/>
          <w:szCs w:val="24"/>
        </w:rPr>
        <w:t>. 2022;2022:9781578. doi:10.34133/2022/9781578.</w:t>
      </w:r>
    </w:p>
    <w:p>
      <w:pPr>
        <w:pStyle w:val="Reference"/>
        <w:ind w:left="360" w:hanging="360"/>
      </w:pPr>
      <w:r>
        <w:rPr>
          <w:sz w:val="24"/>
          <w:szCs w:val="24"/>
        </w:rPr>
        <w:t xml:space="preserve">30.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31.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32.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33.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34.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35.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36.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37.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38. Alvarez A, Alarcón R, Opazo C, Campos EO, Muñoz FJ, Calderón FH, Dajas F, Gentry MK, Doctor BP, De Mello FG, Inestrosa NC. Stable complexes involving acetylcholinesterase and amyloid-β peptide change the biochemical properties of the enzyme and increase the neurotoxicity of Alzheimer’s fibrils. </w:t>
      </w:r>
      <w:r>
        <w:rPr>
          <w:i/>
          <w:sz w:val="24"/>
          <w:szCs w:val="24"/>
        </w:rPr>
        <w:t>J Neurosci</w:t>
      </w:r>
      <w:r>
        <w:rPr>
          <w:sz w:val="24"/>
          <w:szCs w:val="24"/>
        </w:rPr>
        <w:t>. 1998;18(9):3213–3223. doi:10.1523/JNEUROSCI.18-09-03213.1998.</w:t>
      </w:r>
    </w:p>
    <w:p>
      <w:pPr>
        <w:pStyle w:val="Reference"/>
        <w:ind w:left="360" w:hanging="360"/>
      </w:pPr>
      <w:r>
        <w:rPr>
          <w:sz w:val="24"/>
          <w:szCs w:val="24"/>
        </w:rPr>
        <w:t xml:space="preserve">39. Alvarez A, Opazo C, Alarcón R, Garrido J, Inestrosa NC. Acetylcholinesterase promotes the aggregation of amyloid-β-peptide fragments by forming a complex with the growing fibrils. </w:t>
      </w:r>
      <w:r>
        <w:rPr>
          <w:i/>
          <w:sz w:val="24"/>
          <w:szCs w:val="24"/>
        </w:rPr>
        <w:t>J Mol Biol</w:t>
      </w:r>
      <w:r>
        <w:rPr>
          <w:sz w:val="24"/>
          <w:szCs w:val="24"/>
        </w:rPr>
        <w:t>. 1997;272(3):348–361. doi:10.1006/jmbi.1997.1245.</w:t>
      </w:r>
    </w:p>
    <w:p>
      <w:pPr>
        <w:pStyle w:val="Reference"/>
        <w:ind w:left="360" w:hanging="360"/>
      </w:pPr>
      <w:r>
        <w:rPr>
          <w:sz w:val="24"/>
          <w:szCs w:val="24"/>
        </w:rPr>
        <w:t xml:space="preserve">40. Reyes AE, Perez DR, Alvarez A, Garrido J, Gentry MK, Doctor BP, Inestrosa NC. A monoclonal antibody against acetylcholinesterase inhibits the formation of amyloid fibrils induced by the enzyme. </w:t>
      </w:r>
      <w:r>
        <w:rPr>
          <w:i/>
          <w:sz w:val="24"/>
          <w:szCs w:val="24"/>
        </w:rPr>
        <w:t>Biochem Biophys Res Commun</w:t>
      </w:r>
      <w:r>
        <w:rPr>
          <w:sz w:val="24"/>
          <w:szCs w:val="24"/>
        </w:rPr>
        <w:t>. 1997;232(3):652–655. doi:10.1006/bbrc.1997.6357.</w:t>
      </w:r>
    </w:p>
    <w:p>
      <w:pPr>
        <w:pStyle w:val="Reference"/>
        <w:ind w:left="360" w:hanging="360"/>
      </w:pPr>
      <w:r>
        <w:rPr>
          <w:sz w:val="24"/>
          <w:szCs w:val="24"/>
        </w:rPr>
        <w:t xml:space="preserve">41. Rees T, Hammond PI, Soreq H, Younkin S, Brimijoin S. Acetylcholinesterase promotes β-amyloid plaques in cerebral cortex. </w:t>
      </w:r>
      <w:r>
        <w:rPr>
          <w:i/>
          <w:sz w:val="24"/>
          <w:szCs w:val="24"/>
        </w:rPr>
        <w:t>Neurobiol Aging</w:t>
      </w:r>
      <w:r>
        <w:rPr>
          <w:sz w:val="24"/>
          <w:szCs w:val="24"/>
        </w:rPr>
        <w:t>. 2003;24(6):777–787. doi:10.1016/S0197-4580(02)00230-0.</w:t>
      </w:r>
    </w:p>
    <w:p>
      <w:pPr>
        <w:pStyle w:val="Reference"/>
        <w:ind w:left="360" w:hanging="360"/>
      </w:pPr>
      <w:r>
        <w:rPr>
          <w:sz w:val="24"/>
          <w:szCs w:val="24"/>
        </w:rPr>
        <w:t xml:space="preserve">42. García-Ayllón MS, Small DH, Avila J, Sáez-Valero J. Revisiting the role of acetylcholinesterase in Alzheimer’s disease: cross-talk with P-tau and β-amyloid. </w:t>
      </w:r>
      <w:r>
        <w:rPr>
          <w:i/>
          <w:sz w:val="24"/>
          <w:szCs w:val="24"/>
        </w:rPr>
        <w:t>Front Mol Neurosci</w:t>
      </w:r>
      <w:r>
        <w:rPr>
          <w:sz w:val="24"/>
          <w:szCs w:val="24"/>
        </w:rPr>
        <w:t>. 2011;4:22. doi:10.3389/fnmol.2011.00022.</w:t>
      </w:r>
    </w:p>
    <w:p>
      <w:pPr>
        <w:pStyle w:val="Reference"/>
        <w:ind w:left="360" w:hanging="360"/>
      </w:pPr>
      <w:r>
        <w:rPr>
          <w:sz w:val="24"/>
          <w:szCs w:val="24"/>
        </w:rPr>
        <w:t xml:space="preserve">43. Carvajal FJ, Inestrosa NC. Interactions of AChE with Aβ aggregates in Alzheimer’s brain: therapeutic relevance of IDN 5706. </w:t>
      </w:r>
      <w:r>
        <w:rPr>
          <w:i/>
          <w:sz w:val="24"/>
          <w:szCs w:val="24"/>
        </w:rPr>
        <w:t>Front Mol Neurosci</w:t>
      </w:r>
      <w:r>
        <w:rPr>
          <w:sz w:val="24"/>
          <w:szCs w:val="24"/>
        </w:rPr>
        <w:t>. 2011;4:19. doi:10.3389/fnmol.2011.00019.</w:t>
      </w:r>
    </w:p>
    <w:p>
      <w:pPr>
        <w:pStyle w:val="Reference"/>
        <w:ind w:left="360" w:hanging="360"/>
      </w:pPr>
      <w:r>
        <w:rPr>
          <w:sz w:val="24"/>
          <w:szCs w:val="24"/>
        </w:rPr>
        <w:t xml:space="preserve">44. Inestrosa NC, Dinamarca MC, Alvarez A. Amyloid–cholinesterase interactions. </w:t>
      </w:r>
      <w:r>
        <w:rPr>
          <w:i/>
          <w:sz w:val="24"/>
          <w:szCs w:val="24"/>
        </w:rPr>
        <w:t>FEBS J</w:t>
      </w:r>
      <w:r>
        <w:rPr>
          <w:sz w:val="24"/>
          <w:szCs w:val="24"/>
        </w:rPr>
        <w:t>. 2008;275(4):625–632. doi:10.1111/j.1742-4658.2007.06238.x.</w:t>
      </w:r>
    </w:p>
    <w:p>
      <w:pPr>
        <w:pStyle w:val="Reference"/>
        <w:ind w:left="360" w:hanging="360"/>
      </w:pPr>
      <w:r>
        <w:rPr>
          <w:sz w:val="24"/>
          <w:szCs w:val="24"/>
        </w:rPr>
        <w:t xml:space="preserve">45. Dinamarca MC, Sagal JP, Quintanilla RA, Godoy JA, Arrázola MS, Inestrosa NC. Amyloid-β–acetylcholinesterase complexes potentiate neurodegenerative changes induced by the Aβ peptide. Implications for the pathogenesis of Alzheimer’s disease. </w:t>
      </w:r>
      <w:r>
        <w:rPr>
          <w:i/>
          <w:sz w:val="24"/>
          <w:szCs w:val="24"/>
        </w:rPr>
        <w:t>Mol Neurodegener</w:t>
      </w:r>
      <w:r>
        <w:rPr>
          <w:sz w:val="24"/>
          <w:szCs w:val="24"/>
        </w:rPr>
        <w:t>. 2010;5:4. doi:10.1186/1750-1326-5-4.</w:t>
      </w:r>
    </w:p>
    <w:p>
      <w:pPr>
        <w:pStyle w:val="Reference"/>
        <w:ind w:left="360" w:hanging="360"/>
      </w:pPr>
      <w:r>
        <w:rPr>
          <w:sz w:val="24"/>
          <w:szCs w:val="24"/>
        </w:rPr>
        <w:t xml:space="preserve">46. Johnson G, Moore SW. The peripheral anionic site of acetylcholinesterase: structure, functions and potential role in rational drug design. </w:t>
      </w:r>
      <w:r>
        <w:rPr>
          <w:i/>
          <w:sz w:val="24"/>
          <w:szCs w:val="24"/>
        </w:rPr>
        <w:t>Curr Pharm Des</w:t>
      </w:r>
      <w:r>
        <w:rPr>
          <w:sz w:val="24"/>
          <w:szCs w:val="24"/>
        </w:rPr>
        <w:t>. 2006;12(2):217–225. doi:10.2174/138161206775193127.</w:t>
      </w:r>
    </w:p>
    <w:p>
      <w:pPr>
        <w:pStyle w:val="Reference"/>
        <w:ind w:left="360" w:hanging="360"/>
      </w:pPr>
      <w:r>
        <w:rPr>
          <w:sz w:val="24"/>
          <w:szCs w:val="24"/>
        </w:rPr>
        <w:t xml:space="preserve">47. Poole S, Singhrao SK, Kesavalu L, Curtis MA, Crean S. Determining the presence of periodontopathic virulence factors in short-term postmortem Alzheimer’s disease brain tissue. </w:t>
      </w:r>
      <w:r>
        <w:rPr>
          <w:i/>
          <w:sz w:val="24"/>
          <w:szCs w:val="24"/>
        </w:rPr>
        <w:t>J Alzheimers Dis</w:t>
      </w:r>
      <w:r>
        <w:rPr>
          <w:sz w:val="24"/>
          <w:szCs w:val="24"/>
        </w:rPr>
        <w:t>. 2013;36(4):665–677. doi:10.3233/JAD-121918.</w:t>
      </w:r>
    </w:p>
    <w:p>
      <w:pPr>
        <w:pStyle w:val="Reference"/>
        <w:ind w:left="360" w:hanging="360"/>
      </w:pPr>
      <w:r>
        <w:rPr>
          <w:sz w:val="24"/>
          <w:szCs w:val="24"/>
        </w:rPr>
        <w:t xml:space="preserve">48.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p>
      <w:pPr>
        <w:pStyle w:val="Reference"/>
        <w:ind w:left="360" w:hanging="360"/>
      </w:pPr>
      <w:r>
        <w:rPr>
          <w:sz w:val="24"/>
          <w:szCs w:val="24"/>
        </w:rPr>
        <w:t xml:space="preserve">49. Lei S, Li J, Yu J, et al. </w:t>
      </w:r>
      <w:r>
        <w:rPr>
          <w:i/>
          <w:sz w:val="24"/>
          <w:szCs w:val="24"/>
        </w:rPr>
        <w:t>Porphyromonas gingivalis</w:t>
      </w:r>
      <w:r>
        <w:rPr>
          <w:sz w:val="24"/>
          <w:szCs w:val="24"/>
        </w:rPr>
        <w:t xml:space="preserve"> bacteremia increases the permeability of the blood-brain barrier via the Mfsd2a/Caveolin-1 mediated transcytosis pathway. </w:t>
      </w:r>
      <w:r>
        <w:rPr>
          <w:i/>
          <w:sz w:val="24"/>
          <w:szCs w:val="24"/>
        </w:rPr>
        <w:t>Int J Oral Sci</w:t>
      </w:r>
      <w:r>
        <w:rPr>
          <w:sz w:val="24"/>
          <w:szCs w:val="24"/>
        </w:rPr>
        <w:t>. 2023;15:3. doi:10.1038/s41368-022-00215-y.</w:t>
      </w:r>
    </w:p>
    <w:p>
      <w:pPr>
        <w:pStyle w:val="Reference"/>
        <w:ind w:left="360" w:hanging="360"/>
      </w:pPr>
      <w:r>
        <w:rPr>
          <w:sz w:val="24"/>
          <w:szCs w:val="24"/>
        </w:rPr>
        <w:t xml:space="preserve">50. Barak D, Kronman C, Ordentlich A, Ariel N, Bromberg A, Marcus D, Lazar A, Velan B, Shafferman A. Acetylcholinesterase peripheral anionic site degeneracy conferred by amino acid arrays sharing a common core. </w:t>
      </w:r>
      <w:r>
        <w:rPr>
          <w:i/>
          <w:sz w:val="24"/>
          <w:szCs w:val="24"/>
        </w:rPr>
        <w:t>J Biol Chem</w:t>
      </w:r>
      <w:r>
        <w:rPr>
          <w:sz w:val="24"/>
          <w:szCs w:val="24"/>
        </w:rPr>
        <w:t>. 1994;269(9):6296–6305. doi:10.1016/S0021-9258(17)37603-X.</w:t>
      </w:r>
    </w:p>
    <w:p>
      <w:pPr>
        <w:pStyle w:val="Reference"/>
        <w:ind w:left="360" w:hanging="360"/>
      </w:pPr>
      <w:r>
        <w:rPr>
          <w:sz w:val="24"/>
          <w:szCs w:val="24"/>
        </w:rPr>
        <w:t xml:space="preserve">51. Mallender WD, Szegletes T, Rosenberry TL. Acetylthiocholine binds to Asp74 at the peripheral site of human acetylcholinesterase as the first step in the catalytic pathway. </w:t>
      </w:r>
      <w:r>
        <w:rPr>
          <w:i/>
          <w:sz w:val="24"/>
          <w:szCs w:val="24"/>
        </w:rPr>
        <w:t>Biochemistry</w:t>
      </w:r>
      <w:r>
        <w:rPr>
          <w:sz w:val="24"/>
          <w:szCs w:val="24"/>
        </w:rPr>
        <w:t>. 2000;39(26):7753–7763. doi:10.1021/bi000210o.</w:t>
      </w:r>
    </w:p>
    <w:p>
      <w:pPr>
        <w:pStyle w:val="Reference"/>
        <w:ind w:left="360" w:hanging="360"/>
      </w:pPr>
      <w:r>
        <w:rPr>
          <w:sz w:val="24"/>
          <w:szCs w:val="24"/>
        </w:rPr>
        <w:t xml:space="preserve">52. Sussman JL, Harel M, Frolow F, Oefner C, Goldman A, Toker L, Silman I. Atomic structure of acetylcholinesterase from </w:t>
      </w:r>
      <w:r>
        <w:rPr>
          <w:i/>
          <w:sz w:val="24"/>
          <w:szCs w:val="24"/>
        </w:rPr>
        <w:t>Torpedo californica</w:t>
      </w:r>
      <w:r>
        <w:rPr>
          <w:sz w:val="24"/>
          <w:szCs w:val="24"/>
        </w:rPr>
        <w:t xml:space="preserve">: a prototypic acetylcholine-binding protein. </w:t>
      </w:r>
      <w:r>
        <w:rPr>
          <w:i/>
          <w:sz w:val="24"/>
          <w:szCs w:val="24"/>
        </w:rPr>
        <w:t>Science</w:t>
      </w:r>
      <w:r>
        <w:rPr>
          <w:sz w:val="24"/>
          <w:szCs w:val="24"/>
        </w:rPr>
        <w:t>. 1991;253(5022):872–879. doi:10.1126/science.1678899.</w:t>
      </w:r>
    </w:p>
    <w:p>
      <w:pPr>
        <w:pStyle w:val="Reference"/>
        <w:ind w:left="360" w:hanging="360"/>
      </w:pPr>
      <w:r>
        <w:rPr>
          <w:sz w:val="24"/>
          <w:szCs w:val="24"/>
        </w:rPr>
        <w:t xml:space="preserve">53. Dvir H, Silman I, Harel M, Rosenberry TL, Sussman JL. Acetylcholinesterase: from 3D structure to function. </w:t>
      </w:r>
      <w:r>
        <w:rPr>
          <w:i/>
          <w:sz w:val="24"/>
          <w:szCs w:val="24"/>
        </w:rPr>
        <w:t>Chem Biol Interact</w:t>
      </w:r>
      <w:r>
        <w:rPr>
          <w:sz w:val="24"/>
          <w:szCs w:val="24"/>
        </w:rPr>
        <w:t>. 2010;187(1-3):10–22. doi:10.1016/j.cbi.2010.01.042.</w:t>
      </w:r>
    </w:p>
    <w:p>
      <w:pPr>
        <w:pStyle w:val="Reference"/>
        <w:ind w:left="360" w:hanging="360"/>
      </w:pPr>
      <w:r>
        <w:rPr>
          <w:sz w:val="24"/>
          <w:szCs w:val="24"/>
        </w:rPr>
        <w:t xml:space="preserve">54. Bourne Y, Taylor P, Radić Z, Marchot P. Structural insights into ligand interactions at the acetylcholinesterase peripheral anionic site. </w:t>
      </w:r>
      <w:r>
        <w:rPr>
          <w:i/>
          <w:sz w:val="24"/>
          <w:szCs w:val="24"/>
        </w:rPr>
        <w:t>EMBO J</w:t>
      </w:r>
      <w:r>
        <w:rPr>
          <w:sz w:val="24"/>
          <w:szCs w:val="24"/>
        </w:rPr>
        <w:t>. 2003;22(1):1–12. doi:10.1093/emboj/cdg005.</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