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keepNext/>
      </w:pPr>
      <w:r>
        <w:t>计算稿件的方法学边界（不纳入正文）</w:t>
      </w:r>
    </w:p>
    <w:p>
      <w:pPr>
        <w:pStyle w:val="BodyText"/>
      </w:pPr>
      <w:r>
        <w:t xml:space="preserve">本说明与 </w:t>
      </w:r>
      <w:r>
        <w:rPr>
          <w:rFonts w:ascii="Consolas" w:hAnsi="Consolas" w:eastAsia="等线"/>
          <w:shd w:val="clear" w:color="auto" w:fill="F2F4F7"/>
        </w:rPr>
        <w:t>Chinese.docx</w:t>
      </w:r>
      <w:r>
        <w:t xml:space="preserve"> 正文分开保存。正文讨论致病肽经 AChE PAS 通向 AD 的可能机制；下列条目仅供内部核对，不改变正文机制表述。</w:t>
      </w:r>
    </w:p>
    <w:p>
      <w:pPr>
        <w:pStyle w:val="Reference"/>
        <w:ind w:left="360" w:hanging="360"/>
      </w:pPr>
      <w:r>
        <w:rPr>
          <w:sz w:val="24"/>
          <w:szCs w:val="24"/>
        </w:rPr>
        <w:t>1. 每个体系为单条 100 ns 轨迹，短于 Atanasova 等 AChE–Aβ 的 1 μs 窗口。氢键持续与表面驻留支持可能机制，但不能单独当作不可逆纳摩尔结合常数。</w:t>
      </w:r>
    </w:p>
    <w:p>
      <w:pPr>
        <w:pStyle w:val="Reference"/>
        <w:ind w:left="360" w:hanging="360"/>
      </w:pPr>
      <w:r>
        <w:rPr>
          <w:sz w:val="24"/>
          <w:szCs w:val="24"/>
        </w:rPr>
        <w:t>2. AutoDock Vina 打分为经验排序指标，不是实验 Kd 或 Ki。FLLHTTR 最优构象 -9.60 kcal/mol，三次均值为 -8.77 ± 1.41 kcal/mol，说明最优构象强于运行平均。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3. 筛选漏斗为汇总计数。12 条明示序列的组成可复核，但缺少核苷酸行、基因组坐标、样本映射和分类学归属时，不能把每一条都写成已核实的 </w:t>
      </w:r>
      <w:r>
        <w:rPr>
          <w:i/>
          <w:sz w:val="24"/>
          <w:szCs w:val="24"/>
        </w:rPr>
        <w:t>P. gingivalis</w:t>
      </w:r>
      <w:r>
        <w:rPr>
          <w:sz w:val="24"/>
          <w:szCs w:val="24"/>
        </w:rPr>
        <w:t xml:space="preserve"> 表达产物。</w:t>
      </w:r>
    </w:p>
    <w:p>
      <w:pPr>
        <w:pStyle w:val="Reference"/>
        <w:ind w:left="360" w:hanging="360"/>
      </w:pPr>
      <w:r>
        <w:rPr>
          <w:sz w:val="24"/>
          <w:szCs w:val="24"/>
        </w:rPr>
        <w:t>4. “BBB 高分”、NTxPred2 阳性、CHEL/FRS 为模型操作性标签，分别对应筛选阈值，不等于体内转运、神经元损伤或金属配位实测。BBB（BBP）命中率在健康标记库（9.72%）与牙周炎标记库（9.60%）接近，该标签并非疾病特异。</w:t>
      </w:r>
    </w:p>
    <w:p>
      <w:pPr>
        <w:pStyle w:val="Reference"/>
        <w:ind w:left="360" w:hanging="360"/>
      </w:pPr>
      <w:r>
        <w:rPr>
          <w:sz w:val="24"/>
          <w:szCs w:val="24"/>
        </w:rPr>
        <w:t>5. 正文机制是可能路径：PAS 占位 → 胆碱能峡部受阻 → AChE 病理性伴侣促进 Aβ 共成核。其文献锚点为 Inestrosa（PAS 促纤）、Lushchekina（成核中心）与 Atanasova（PAS/344–361 驻留），以及 Selkoe 淀粉样级联与 Hampel 胆碱能假说。湿实验结合、酶抑制和纤维化测定不在本计算稿范围内。</w:t>
      </w:r>
    </w:p>
    <w:sectPr>
      <w:pgSz w:w="11906" w:h="16838"/>
      <w:pgMar w:top="1440" w:right="1440" w:bottom="1440" w:left="1440" w:header="600" w:footer="600" w:gutter="0"/>
      <w:cols w:space="720"/>
      <w:docGrid w:linePitch="480"/>
    </w:sectPr>
  </w:body>
</w:document>
</file>

<file path=word/fontTable.xml><?xml version="1.0" encoding="utf-8"?>
<w:fonts xmlns:w="http://schemas.openxmlformats.org/wordprocessingml/2006/main">
  <w:font w:name="Times New Roman"/>
  <w:font w:name="Arial"/>
  <w:font w:name="宋体"/>
  <w:font w:name="黑体"/>
  <w:font w:name="Consolas"/>
  <w:font w:name="等线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  <w:lang w:val="en-US" w:eastAsia="zh-CN"/>
      </w:rPr>
    </w:rPrDefault>
    <w:pPrDefault>
      <w:pPr>
        <w:spacing w:before="0" w:after="0" w:line="480" w:lineRule="auto"/>
        <w:jc w:val="both"/>
        <w:widowControl/>
      </w:pPr>
    </w:pPrDefault>
  </w:docDefaults>
  <w:style w:type="paragraph" w:default="1" w:styleId="Normal">
    <w:name w:val="Normal"/>
    <w:qFormat/>
    <w:pPr>
      <w:spacing w:before="0" w:after="0" w:line="480" w:lineRule="auto"/>
      <w:jc w:val="both"/>
      <w:widowControl/>
    </w:pPr>
    <w:rPr>
      <w:sz w:val="24"/>
      <w:szCs w:val="24"/>
    </w:rPr>
  </w:style>
  <w:style w:type="paragraph" w:styleId="BodyText">
    <w:name w:val="Body Text"/>
    <w:basedOn w:val="Normal"/>
    <w:next w:val="BodyText"/>
    <w:qFormat/>
    <w:pPr>
      <w:ind w:firstLine="480"/>
      <w:spacing w:before="0" w:after="0" w:line="480" w:lineRule="auto"/>
      <w:jc w:val="both"/>
      <w:widowControl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jc w:val="left"/>
      <w:outlineLvl w:val="0"/>
    </w:pPr>
    <w:rPr>
      <w:rFonts w:ascii="Times New Roman" w:hAnsi="Times New Roman" w:eastAsia="黑体"/>
      <w:b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180" w:after="60"/>
      <w:outlineLvl w:val="2"/>
    </w:pPr>
    <w:rPr>
      <w:rFonts w:ascii="Times New Roman" w:hAnsi="Times New Roman" w:eastAsia="黑体"/>
      <w:b/>
      <w:i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120" w:after="0"/>
      <w:outlineLvl w:val="3"/>
    </w:pPr>
    <w:rPr>
      <w:i/>
      <w:color w:val="000000"/>
      <w:sz w:val="24"/>
      <w:szCs w:val="24"/>
    </w:rPr>
  </w:style>
  <w:style w:type="paragraph" w:styleId="Note">
    <w:name w:val="Note"/>
    <w:basedOn w:val="Normal"/>
    <w:pPr>
      <w:spacing w:after="0" w:line="480" w:lineRule="auto"/>
    </w:pPr>
    <w:rPr>
      <w:i/>
      <w:sz w:val="24"/>
      <w:szCs w:val="24"/>
    </w:rPr>
  </w:style>
  <w:style w:type="paragraph" w:styleId="Keywords">
    <w:name w:val="Keywords"/>
    <w:basedOn w:val="Normal"/>
    <w:pPr>
      <w:spacing w:after="120" w:line="480" w:lineRule="auto"/>
    </w:pPr>
    <w:rPr>
      <w:sz w:val="24"/>
      <w:szCs w:val="24"/>
    </w:rPr>
  </w:style>
  <w:style w:type="paragraph" w:styleId="Caption">
    <w:name w:val="Caption"/>
    <w:basedOn w:val="Normal"/>
    <w:pPr>
      <w:keepNext/>
      <w:spacing w:before="120" w:after="60" w:line="240" w:lineRule="auto"/>
      <w:jc w:val="left"/>
    </w:pPr>
    <w:rPr>
      <w:sz w:val="20"/>
      <w:szCs w:val="20"/>
    </w:rPr>
  </w:style>
  <w:style w:type="paragraph" w:styleId="Figure">
    <w:name w:val="Figure"/>
    <w:basedOn w:val="Normal"/>
  </w:style>
  <w:style w:type="paragraph" w:styleId="Reference">
    <w:name w:val="Reference"/>
    <w:basedOn w:val="Normal"/>
    <w:pPr>
      <w:spacing w:after="0" w:line="480" w:lineRule="auto"/>
      <w:jc w:val="left"/>
    </w:pPr>
    <w:rPr>
      <w:sz w:val="24"/>
      <w:szCs w:val="24"/>
    </w:rPr>
  </w:style>
  <w:style w:type="paragraph" w:styleId="ListParagraph">
    <w:name w:val="List Paragraph"/>
    <w:basedOn w:val="Normal"/>
    <w:pPr>
      <w:spacing w:after="0" w:line="480" w:lineRule="auto"/>
    </w:pPr>
  </w:style>
  <w:style w:type="paragraph" w:styleId="TableText">
    <w:name w:val="Table Text"/>
    <w:basedOn w:val="Normal"/>
    <w:pPr>
      <w:spacing w:before="0" w:after="0" w:line="240" w:lineRule="auto"/>
      <w:jc w:val="left"/>
    </w:pPr>
    <w:rPr>
      <w:sz w:val="20"/>
      <w:szCs w:val="20"/>
    </w:rPr>
  </w:style>
  <w:style w:type="table" w:styleId="ThreeLineTable">
    <w:name w:val="Three-Line Table"/>
    <w:tblPr>
      <w:tblBorders>
        <w:top w:val="single" w:sz="12" w:color="000000"/>
        <w:left w:val="nil"/>
        <w:bottom w:val="single" w:sz="12" w:color="000000"/>
        <w:right w:val="nil"/>
        <w:insideH w:val="nil"/>
        <w:insideV w:val="nil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Dependency-free OOXML builder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局限性</dc:title>
  <dcterms:created xsi:type="dcterms:W3CDTF">2026-08-23T00:00:00Z</dcterms:created>
  <dcterms:modified xsi:type="dcterms:W3CDTF">2026-08-23T00:00:00Z</dcterms:modified>
</cp:coreProperties>
</file>