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全原子分子动力学（MD）衔接。UniDL4BioPep 先对健康标记 11,269,961 条与牙周炎标记 11,721,988 条 smORF 运行 22 项任务（牙周炎 BBB（BBP）≥0.80：1,125,832 条，9.60%）。再将牙周炎 BBB 高分预测与宏蛋白质组支持的去冗余序列取交集，得到 3,518 条候选；其中 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0.16–0.19 nm；α-螺旋约 33%，β-折叠约 17%）。FLLHTTR 与 YLSLLQR 复合物比 apo 更稳（0.1640 和 0.1625 nm，相对 apo 0.1897 nm）。FLLHTTR 氢键网络最密（7.03 ± 1.28）；仅 YLSLLQR 出现 SASA 收缩（209.71 相对 212.25 nm²）。综合对接与轨迹，结果支持一种可能的致病机制：牙周炎来源微肽占据 AChE 的 PAS，阻碍乙酰胆碱进入，并作为异源种子，在同一促纤表面上与内源 Aβ 共成核。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。这些事实把 AChE 的 PAS 定位为可以把胆碱能衰竭与淀粉样沉积耦合起来的结构节点。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。上述观察为口腔—脑暴露提供了背景：若存在能够结合 AChE 的肽配体，其机制后果将是直接的</w:t>
      </w:r>
      <w:r>
        <w:t>[14]</w:t>
      </w:r>
      <w:r>
        <w:t>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因此，本研究要回答：牙周炎来源的 7–9 aa 微肽能否占据实验上加速 Aβ 成纤的同一 PAS。先由口腔 smORF 级联优先保留 12 条序列，再对接到人源 AChE，并对三条代表性复合物相对 apo 完成 100 ns 模拟，以勾勒致病肽通向 AD 的可能分子路径。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本研究为纯计算分析。筛选使用汇总 smORF 计数、模型汇总和一张 12 条序列表；未开展参与者招募、标本采集、预测器再训练或新组学处理。健康与牙周炎标签仅作为文库标签保留，不视为已经核实的肽层面疾病归属。对接与 MD 使用本地三次 AutoDock Vina 构象，以及对 apo AChE 与三条入选复合物的 100 ns GROMACS 轨迹。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条；PRJNA678453）</w:t>
      </w:r>
      <w:r>
        <w:t>[7]</w:t>
      </w:r>
      <w:r>
        <w:t>。按抗菌肽发现的常用顺序</w:t>
      </w:r>
      <w:r>
        <w:t>[31]</w:t>
      </w:r>
      <w:r>
        <w:t>，先对两个全库运行 UniDL4BioPep</w:t>
      </w:r>
      <w:r>
        <w:t>[23]</w:t>
      </w:r>
      <w:r>
        <w:t>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）嵌入与 22 个任务特异性卷积网络，阈值均为 ≥0.80。统一任务名为 ACE 抑制、DPP-IV 抑制、苦味、鲜味、抗菌、抗疟（备选）、抗疟（主）、群体感应、抗癌（主）、抗癌（备选）、抗 MRSA、TTCA、血脑屏障（BBP）、抗寄生虫（APP）、NeuroPred、抗细菌、抗真菌、抗病毒、毒性、抗氧化 FRS、致敏性和细胞穿透肽（CPP）。BBB（BBP）≥0.80 定义为操作性 BBB 高分集合。</w:t>
      </w:r>
    </w:p>
    <w:p>
      <w:pPr>
        <w:pStyle w:val="BodyText"/>
      </w:pPr>
      <w:r>
        <w:t>UniDL4BioPep 打分之后，序列与口腔基因组和宏蛋白质组资源精确匹配并去冗余，包括 HOMD 和唾液宏蛋白质组目录</w:t>
      </w:r>
      <w:r>
        <w:t>[21–22]</w:t>
      </w:r>
      <w:r>
        <w:t>。健康标记库得到 31,510 条证据支持的独特肽，牙周炎标记库得到 33,786 条。牙周炎 BBB（BBP）集合（1,125,832）与牙周炎证据支持肽取交集，得到 3,518 条候选（短肽 3,446 条，5–30 aa；长肽 72 条，31–50 aa）。该交集中 7–50 aa 的肽用 NTxPred2（ESM2-t30）评价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预平衡。生产相在 NPT 系综（300 K，1.0 bar）运行 100 ns（dt = 2.0 fs），采用 LINCS、1.2 nm 截断和粒子网格 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UniDL4BioPep 对两个起始库按 ≥0.80 运行 22 项任务（表1）。命中率接近：抗菌在健康标记库为 9,882,657/11,269,961（87.69%），在牙周炎标记库为 10,302,093/11,721,988（87.89%）；BBB（BBP）分别为 1,095,861（9.72%）与 1,125,832（9.60%）。两库输出最多的均为抗菌、抗寄生虫（APP）和群体感应，最少的均为 DPP-IV 抑制。各任务标签可重叠，同一条肽可计入多行。后续优选走牙周炎标记分支。</w:t>
      </w:r>
    </w:p>
    <w:p>
      <w:pPr>
        <w:pStyle w:val="Caption"/>
      </w:pPr>
      <w:r>
        <w:rPr>
          <w:b/>
        </w:rPr>
        <w:t>表1. 健康标记库（11,269,961）与牙周炎标记库（11,721,988）的 UniDL4BioPep 输出（阈值 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任务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n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n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BodyText"/>
      </w:pPr>
      <w:r>
        <w:t>牙周炎标记库经宏蛋白质组精确匹配并去冗余后保留 33,786 条证据支持的独特肽（健康标记为 31,510/11,269,961）。1,125,832 条 BBB（BBP）预测与该集合取交集，得到 3,518 条（短肽 3,446，长肽 72）。NTxPred2 评价 3,299/3,518（93.77%），其中 923/3,299（27.98%）为模型阳性。后续过滤保留 mebipred 阳性 111 条、CHEL≥0.25 者 15 条、CHEL≥0.25 且 FRS&lt;0.50 者 12 条、CHEL≥0.25 且 FRS&lt;0.45 者 8 条（表2）。</w:t>
      </w:r>
    </w:p>
    <w:p>
      <w:pPr>
        <w:pStyle w:val="Caption"/>
      </w:pPr>
      <w:r>
        <w:rPr>
          <w:b/>
        </w:rPr>
        <w:t>表2. UniDL4BioPep 预测并与宏蛋白质组交集后的串联优选。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证据支持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长度分箱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长度分箱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肽（表3）。11 条含组氨酸，6 条含半胱氨酸，每条至少含 1 个 Arg 或 Lys。923 条 NTxPred2 阳性肽均 ≤30 aa，因此下游金属/CHEL/FRS 过滤只保留短肽。</w:t>
      </w:r>
    </w:p>
    <w:p>
      <w:pPr>
        <w:pStyle w:val="Caption"/>
      </w:pPr>
      <w:r>
        <w:rPr>
          <w:b/>
        </w:rPr>
        <w:t>表3.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kcal/mol（表4，图1）。按最优构象排序，FLLHTTR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表4.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复合物完成生产相轨迹（表5，图4–6）。每幅六面板图比较无配体对照与一条肽复合物：骨架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A–F面板与表5指标对应。复合物RMSD（A）与apo接近；氢键（F）由早期高占有衰减至后20 ns约2个。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面板布局与图4相同。约50 ns后复合物RMSD（A）低于apo；氢键计数（F）在100 ns全程维持约6–10个。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面板布局与图4相同。后期RMSD（A）低于apo；SASA（C）是唯一相对apo收缩的复合物。</w:t>
      </w:r>
    </w:p>
    <w:p>
      <w:pPr>
        <w:pStyle w:val="Caption"/>
      </w:pPr>
      <w:r>
        <w:rPr>
          <w:b/>
        </w:rPr>
        <w:t>表5.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平台约 0.19 nm。ALLLHRC 与对照接近（复合物 0.1916 nm；仅受体 0.1883 nm）。FLLHTTR 与 YLSLLQR 在约 50–70 ns 后低于 apo（复合物 0.1640 和 0.1625 nm；仅受体 0.1609 和 0.1607 nm），表明肽结合使折叠变刚性而不是变松。微肽自拟合 RMSD 以 ALLLHRC 最高（0.2518 nm）、YLSLLQR 最低（0.0911 nm）。RMSF（B面板）在催化核心保持低值；最大波动来自 apo 的 C 端，FLLHTTR（0.0778 nm）与 YLSLLQR（0.0771 nm）的均值 RMSF 反而低于 apo。Rg（D面板）维持在 2.30–2.31 nm。SASA（C面板）在 ALLLHRC 升至 217.47 nm²，FLLHTTR 接近 apo（213.88 nm²），仅 YLSLLQR 收缩至 209.71 nm²（图6C）。氢键在各 F 面板持续，但模式不同：ALLLHRC 由早期约 6–10 个衰减至后 20 ns 的 2.19 ± 0.80；FLLHTTR 全程维持 7.03 ± 1.28（图5F）；YLSLLQR 均值为 2.93 ± 1.14。DSSP 螺旋（约 33%）与折叠（约 17%）与 apo 柱形重叠（E面板）。三个复合物均保留 7 对持续性接触。质心 RDF 峰分别位于 1.22 nm（ALLLHRC）、1.80 nm（FLLHTTR）和 1.62 nm（YLSLLQR），符合表面驻留而非本体溶剂。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致病肽经PAS通向AD的可能机制</w:t>
      </w:r>
    </w:p>
    <w:p>
      <w:pPr>
        <w:pStyle w:val="BodyText"/>
      </w:pPr>
      <w:r>
        <w:t>AD 同时具有淀粉样沉积与胆碱能衰竭</w:t>
      </w:r>
      <w:r>
        <w:t>[2–3]</w:t>
      </w:r>
      <w:r>
        <w:t>。独立于催化功能，AChE 经 PAS 加速 Aβ 成纤，AChE–Aβ 复合物比游离 Aβ 更具神经毒性</w:t>
      </w:r>
      <w:r>
        <w:t>[4]</w:t>
      </w:r>
      <w:r>
        <w:t>。PAS 疏水基序足以促进该伴侣活性</w:t>
      </w:r>
      <w:r>
        <w:t>[5]</w:t>
      </w:r>
      <w:r>
        <w:t>，PAS 导向配体可在生化实验中抑制 AChE 诱导的 Aβ 聚集</w:t>
      </w:r>
      <w:r>
        <w:t>[19]</w:t>
      </w:r>
      <w:r>
        <w:t>。加速 MD 把 Aβ 放在 AChE 表面并视作成核中心</w:t>
      </w:r>
      <w:r>
        <w:t>[17]</w:t>
      </w:r>
      <w:r>
        <w:t>；1 μs 轨迹使 Aβ 停留在 PAS，主驻留区为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提供暴露路径：菌体和牙龈蛋白酶见于 AD 脑，小鼠口腔感染可驱动神经炎症和 Aβ 相关改变</w:t>
      </w:r>
      <w:r>
        <w:t>[6,12–13]</w:t>
      </w:r>
      <w:r>
        <w:t>。本次对接与 100 ns 轨迹表明，牙周炎来源微肽可以占据同一 PAS，从而勾勒出四步相连的可能致病机制。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锚定经典 PAS 残基 Asp74、Tyr72、His287（最优 -9.60 kcal/mol，图2C）。YLSLLQR 同时接触 PAS（Tyr72、Thr75）与催化入口（三次均值 -9.44 ± 0.09 kcal/mol，图3L）。LLHPLRL 从 PAS 门控残基 Trp286/Tyr341 跨越至催化 His447（图3I）。HLLTLKKHV 触及 Tyr72 与 Aβ 主驻留区 344–361 的 Phe346。这一几何就是 Inestrosa 确定的促纤位点，也是 Atanasova 放置 Aβ 的位点。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2. 酶–肽复合物稳定存在。</w:t>
      </w:r>
    </w:p>
    <w:p>
      <w:pPr>
        <w:pStyle w:val="BodyText"/>
      </w:pPr>
      <w:r>
        <w:t xml:space="preserve">   100 ns 内酶保持球状折叠（RMSD 0.16–0.19 nm，Rg 2.30–2.31 nm，α-螺旋约 33%、β-折叠约 17%；图4–6）。FLLHTTR 与 YLSLLQR 后期 RMSD 低于 apo（0.1640 和 0.1625 nm，相对 0.1897 nm；图5A、图6A），说明肽留在表面并使折叠变刚性，而不是使酶解折叠。分子间氢键持续：FLLHTTR 全程维持密集极性网络（7.03 ± 1.28，图5F），YLSLLQR 均值为 2.93 ± 1.14，ALLLHRC 在早期重排后仍保留 7 对接触。这正是 Lushchekina 与 Atanasova 对 AChE–Aβ 所描述的“表面结合、不解离复合物”，现在出现在牙周炎微肽上。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。Asp74/Tyr72/Trp286/Tyr341 被物理占据后，即使催化核心仍然折叠（B 面板 RMSF 低），也可阻断乙酰胆碱进入并扰动门控。因此，对接在 PAS 上的同一构象同时打击 AD 的胆碱能轴：在基底前脑胆碱能神经元本已减少的突触处，进一步阻碍乙酰胆碱接近水解位点。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PAS 已是明确的促纤伴侣位点</w:t>
      </w:r>
      <w:r>
        <w:t>[4–5]</w:t>
      </w:r>
      <w:r>
        <w:t>，异源肽在此驻留可降低内源 Aβ 的成核能垒。FLLHTTR 在 PAS 上提供与对接构象（图2C）相符的持续极性网络（图5F）。YLSLLQR 提供紧密界面埋藏（SASA 209.71 相对 212.25 nm²，图6C）和最刚性的结合肽（自拟合 RMSD 0.0911 nm），相当于坐稳的种子。Lushchekina 的成核中心模型因此可以直接读到这些复合物上：AChE 保持折叠，并向 Aβ 寡聚体呈递被肽覆盖的 PAS。AChE–Aβ 组装体本就比游离 Aβ 更具突触毒性</w:t>
      </w:r>
      <w:r>
        <w:t>[4]</w:t>
      </w:r>
      <w:r>
        <w:t>；细菌微肽占据同一位点，提供形成杂合、毒性更强晶核的可能路径。</w:t>
      </w:r>
    </w:p>
    <w:p>
      <w:pPr>
        <w:pStyle w:val="Heading3"/>
        <w:keepNext/>
      </w:pPr>
      <w:r>
        <w:t>从口腔到皮层AChE</w:t>
      </w:r>
    </w:p>
    <w:p>
      <w:pPr>
        <w:pStyle w:val="BodyText"/>
      </w:pPr>
      <w:r>
        <w:t xml:space="preserve">慢性牙周炎可通过上皮屏障破坏、牙龈蛋白酶和外膜囊泡，把 </w:t>
      </w:r>
      <w:r>
        <w:rPr>
          <w:i/>
        </w:rPr>
        <w:t>P. gingivalis</w:t>
      </w:r>
      <w:r>
        <w:t xml:space="preserve"> 产物送入循环</w:t>
      </w:r>
      <w:r>
        <w:t>[8–9]</w:t>
      </w:r>
      <w:r>
        <w:t>。系统性细胞因子与蛋白酶增加血脑屏障通透性，使筛选中 BBB 高分（该标签在两库中的比例接近）的短、富亮氨酸、带正电微肽有可能进入皮层间质</w:t>
      </w:r>
      <w:r>
        <w:t>[6,12]</w:t>
      </w:r>
      <w:r>
        <w:t>。到达之后，PAS 对接为同时具备胆碱水解与淀粉样伴侣功能的突触酶提供分子落点。在这一可能机制中，12 条牙周炎来源序列之所以可称为致病肽，不是因为 RMSD 升高，而是因为它们占据了实验已确立的 Aβ 结合 PAS，并在 100 ns 内保持结合。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牙周炎来源的 7–9 aa 微肽对接到人源 AChE 的 PAS；其中 FLLHTTR、YLSLLQR 与 ALLLHRC 在 100 ns 内表面驻留且不使酶解折叠。FLLHTTR 形成最密的 PAS 氢键网络，YLSLLQR 独特地收缩溶剂可及面积。将其映射到淀粉样级联</w:t>
      </w:r>
      <w:r>
        <w:t>[2]</w:t>
      </w:r>
      <w:r>
        <w:t>、胆碱能假说</w:t>
      </w:r>
      <w:r>
        <w:t>[3]</w:t>
      </w:r>
      <w:r>
        <w:t>以及 Inestrosa、Lushchekina 与 Atanasova 的 PAS 伴侣实验，这些结果支持一种可能机制：口腔致病肽占据 AChE，阻碍乙酰胆碱进入，并在同一 PAS 上与 Aβ 共成核，从而在分子层面把牙周炎与 AD 联系起来。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