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UniDL4BioPep first scored 11,269,961 healthy-labelled and 11,721,988 periodontitis-labelled smORFs on 22 tasks (periodontitis BBB (BBP) ≥0.80: 1,125,832; 9.60%). Metaproteome matching then intersected periodontitis BBB-high predictions with evidence-supported unique peptides, recovering 3,518 candidates;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Taken together, the poses and trajectories support a possible pathogenic mechanism: periodontitis-derived micropeptides occupy the AChE PAS, impede acetylcholine access, and act as heterologous seeds that co-nucleate endogenous Aβ on the same pro-fibrillar surface.</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identify the AChE PAS as the structural node that can couple cholinergic failure to amyloid deposition.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These observations supply an oral–brain exposure context in which a peptide-level ligand of AChE would be mechanistically consequential </w:t>
      </w:r>
      <w:r>
        <w:t>[14]</w:t>
      </w:r>
      <w:r>
        <w:t>.</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This study therefore asks whether periodontitis-derived 7–9-aa micropeptides can occupy the same PAS that experimentally accelerates Aβ assembly. An oral-smORF cascade first prioritizes twelve sequences; those peptides are then docked into human AChE, and three representative complexes are simulated for 100 ns against apo AChE, in order to outline a possible molecular path from oral pathogenic peptides to AD.</w:t>
      </w:r>
    </w:p>
    <w:p>
      <w:pPr>
        <w:pStyle w:val="Heading2"/>
        <w:keepNext/>
      </w:pPr>
      <w:r>
        <w:t>Materials and methods</w:t>
      </w:r>
    </w:p>
    <w:p>
      <w:pPr>
        <w:pStyle w:val="Heading3"/>
        <w:keepNext/>
      </w:pPr>
      <w:r>
        <w:t>Study design</w:t>
      </w:r>
    </w:p>
    <w:p>
      <w:pPr>
        <w:pStyle w:val="BodyText"/>
      </w:pPr>
      <w:r>
        <w:t>This was a computation-only analysis. Screening used aggregate smORF counts, model summaries, and a twelve-sequence table; no participant recruitment, specimen collection, predictor retraining, or new omics processing was performed. Healthy and periodontitis labels were retained as library labels and were not treated as verified peptide-level disease assignments. Docking and MD used local three-run AutoDock Vina poses and 100-ns GROMACS trajectories of apo AChE and the three selected complexes.</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PRJNA678453) </w:t>
      </w:r>
      <w:r>
        <w:t>[7]</w:t>
      </w:r>
      <w:r>
        <w:t xml:space="preserve">. In line with antimicrobial-peptide discovery workflows </w:t>
      </w:r>
      <w:r>
        <w:t>[31]</w:t>
      </w:r>
      <w:r>
        <w:t xml:space="preserve">, UniDL4BioPep was applied first to both full libraries </w:t>
      </w:r>
      <w:r>
        <w:t>[23]</w:t>
      </w:r>
      <w:r>
        <w:t>: ESM-2 (</w:t>
      </w:r>
      <w:r>
        <w:rPr>
          <w:rFonts w:ascii="Consolas" w:hAnsi="Consolas" w:eastAsia="等线"/>
          <w:shd w:val="clear" w:color="auto" w:fill="F2F4F7"/>
        </w:rPr>
        <w:t>esm2_t6_8M_UR50D</w:t>
      </w:r>
      <w:r>
        <w:t>) embeddings and 22 task-specific convolutional networks, each with a decision threshold of ≥0.80. Unified task names are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BBB (BBP) ≥0.80 defined the operational BBB-high set.</w:t>
      </w:r>
    </w:p>
    <w:p>
      <w:pPr>
        <w:pStyle w:val="BodyText"/>
      </w:pPr>
      <w:r>
        <w:t xml:space="preserve">After UniDL4BioPep scoring, sequences were exact-matched against oral genomic and metaproteomic resources, including HOMD and salivary metaproteome catalogues, and dereplicated </w:t>
      </w:r>
      <w:r>
        <w:t>[21–22]</w:t>
      </w:r>
      <w:r>
        <w:t xml:space="preserve">. The healthy-labelled library yielded 31,510 evidence-supported unique peptides and the periodontitis-labelled library 33,786. Intersection of the periodontitis BBB (BBP) set (1,125,832) with the periodontitis evidence-supported peptides recovered 3,518 candidates (3,446 short, 5–30 aa; 72 long, 31–50 aa). Peptides in that intersection within 7–50 aa were evaluated with NTxPred2 (ESM2-t30)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w:t>
      </w:r>
    </w:p>
    <w:p>
      <w:pPr>
        <w:pStyle w:val="BodyText"/>
      </w:pPr>
      <w:r>
        <w:t>A separate table listed twelve unique 7–9-aa sequences. Length and counts of histidine, cysteine, and basic residues were recalculated from each string.</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UniDL4BioPep scored both starting libraries on 22 tasks at ≥0.80 (Table 1). Hit rates were similar: Antimicrobial 9,882,657/11,269,961 healthy-labelled sequences (87.69%) versus 10,302,093/11,721,988 periodontitis-labelled sequences (87.89%); BBB (BBP) 1,095,861 (9.72%) versus 1,125,832 (9.60%). In both libraries the largest outputs were Antimicrobial, Anti-parasitic (APP), and Quorum sensing; DPP-IV inhibitory was the smallest. Task labels overlap; a peptide may count in more than one row. Subsequent prioritization used the periodontitis-labelled branch.</w:t>
      </w:r>
    </w:p>
    <w:p>
      <w:pPr>
        <w:pStyle w:val="Caption"/>
      </w:pPr>
      <w:r>
        <w:rPr>
          <w:b/>
        </w:rPr>
        <w:t>Table 1. UniDL4BioPep outputs on the healthy-labelled (11,269,961) and periodontitis-labelled (11,721,988) libraries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UniDL4BioPep task</w:t>
            </w:r>
          </w:p>
        </w:tc>
        <w:tc>
          <w:tcPr>
            <w:tcW w:w="1560" w:type="dxa"/>
            <w:tcBorders>
              <w:bottom w:val="single" w:sz="8" w:space="0" w:color="000000"/>
            </w:tcBorders>
            <w:vAlign w:val="center"/>
          </w:tcPr>
          <w:p>
            <w:pPr>
              <w:pStyle w:val="TableText"/>
              <w:spacing w:before="0" w:after="0" w:line="240" w:lineRule="auto"/>
            </w:pPr>
            <w:r>
              <w:rPr>
                <w:sz w:val="20"/>
                <w:szCs w:val="20"/>
              </w:rPr>
              <w:t>Healthy n</w:t>
            </w:r>
          </w:p>
        </w:tc>
        <w:tc>
          <w:tcPr>
            <w:tcW w:w="1560" w:type="dxa"/>
            <w:tcBorders>
              <w:bottom w:val="single" w:sz="8" w:space="0" w:color="000000"/>
            </w:tcBorders>
            <w:vAlign w:val="center"/>
          </w:tcPr>
          <w:p>
            <w:pPr>
              <w:pStyle w:val="TableText"/>
              <w:spacing w:before="0" w:after="0" w:line="240" w:lineRule="auto"/>
            </w:pPr>
            <w:r>
              <w:rPr>
                <w:sz w:val="20"/>
                <w:szCs w:val="20"/>
              </w:rPr>
              <w:t>Healthy %</w:t>
            </w:r>
          </w:p>
        </w:tc>
        <w:tc>
          <w:tcPr>
            <w:tcW w:w="1560" w:type="dxa"/>
            <w:tcBorders>
              <w:bottom w:val="single" w:sz="8" w:space="0" w:color="000000"/>
            </w:tcBorders>
            <w:vAlign w:val="center"/>
          </w:tcPr>
          <w:p>
            <w:pPr>
              <w:pStyle w:val="TableText"/>
              <w:spacing w:before="0" w:after="0" w:line="240" w:lineRule="auto"/>
            </w:pPr>
            <w:r>
              <w:rPr>
                <w:sz w:val="20"/>
                <w:szCs w:val="20"/>
              </w:rPr>
              <w:t>Periodontitis n</w:t>
            </w:r>
          </w:p>
        </w:tc>
        <w:tc>
          <w:tcPr>
            <w:tcW w:w="1560" w:type="dxa"/>
            <w:tcBorders>
              <w:bottom w:val="single" w:sz="8" w:space="0" w:color="000000"/>
            </w:tcBorders>
            <w:vAlign w:val="center"/>
          </w:tcPr>
          <w:p>
            <w:pPr>
              <w:pStyle w:val="TableText"/>
              <w:spacing w:before="0" w:after="0" w:line="240" w:lineRule="auto"/>
            </w:pPr>
            <w:r>
              <w:rPr>
                <w:sz w:val="20"/>
                <w:szCs w:val="20"/>
              </w:rPr>
              <w:t>Periodontitis %</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ACE inhibitory</w:t>
            </w:r>
          </w:p>
        </w:tc>
        <w:tc>
          <w:tcPr>
            <w:tcW w:w="1560" w:type="dxa"/>
            <w:vAlign w:val="center"/>
          </w:tcPr>
          <w:p>
            <w:pPr>
              <w:pStyle w:val="TableText"/>
              <w:spacing w:before="0" w:after="0" w:line="240" w:lineRule="auto"/>
            </w:pPr>
            <w:r>
              <w:rPr>
                <w:sz w:val="20"/>
                <w:szCs w:val="20"/>
              </w:rPr>
              <w:t>1,237,451</w:t>
            </w:r>
          </w:p>
        </w:tc>
        <w:tc>
          <w:tcPr>
            <w:tcW w:w="1560" w:type="dxa"/>
            <w:vAlign w:val="center"/>
          </w:tcPr>
          <w:p>
            <w:pPr>
              <w:pStyle w:val="TableText"/>
              <w:spacing w:before="0" w:after="0" w:line="240" w:lineRule="auto"/>
            </w:pPr>
            <w:r>
              <w:rPr>
                <w:sz w:val="20"/>
                <w:szCs w:val="20"/>
              </w:rPr>
              <w:t>10.98</w:t>
            </w:r>
          </w:p>
        </w:tc>
        <w:tc>
          <w:tcPr>
            <w:tcW w:w="1560" w:type="dxa"/>
            <w:vAlign w:val="center"/>
          </w:tcPr>
          <w:p>
            <w:pPr>
              <w:pStyle w:val="TableText"/>
              <w:spacing w:before="0" w:after="0" w:line="240" w:lineRule="auto"/>
            </w:pPr>
            <w:r>
              <w:rPr>
                <w:sz w:val="20"/>
                <w:szCs w:val="20"/>
              </w:rPr>
              <w:t>1,236,442</w:t>
            </w:r>
          </w:p>
        </w:tc>
        <w:tc>
          <w:tcPr>
            <w:tcW w:w="1560" w:type="dxa"/>
            <w:vAlign w:val="center"/>
          </w:tcPr>
          <w:p>
            <w:pPr>
              <w:pStyle w:val="TableText"/>
              <w:spacing w:before="0" w:after="0" w:line="240" w:lineRule="auto"/>
            </w:pPr>
            <w:r>
              <w:rPr>
                <w:sz w:val="20"/>
                <w:szCs w:val="20"/>
              </w:rPr>
              <w:t>10.55</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DPP-IV inhibitory</w:t>
            </w:r>
          </w:p>
        </w:tc>
        <w:tc>
          <w:tcPr>
            <w:tcW w:w="1560" w:type="dxa"/>
            <w:vAlign w:val="center"/>
          </w:tcPr>
          <w:p>
            <w:pPr>
              <w:pStyle w:val="TableText"/>
              <w:spacing w:before="0" w:after="0" w:line="240" w:lineRule="auto"/>
            </w:pPr>
            <w:r>
              <w:rPr>
                <w:sz w:val="20"/>
                <w:szCs w:val="20"/>
              </w:rPr>
              <w:t>131,426</w:t>
            </w:r>
          </w:p>
        </w:tc>
        <w:tc>
          <w:tcPr>
            <w:tcW w:w="1560" w:type="dxa"/>
            <w:vAlign w:val="center"/>
          </w:tcPr>
          <w:p>
            <w:pPr>
              <w:pStyle w:val="TableText"/>
              <w:spacing w:before="0" w:after="0" w:line="240" w:lineRule="auto"/>
            </w:pPr>
            <w:r>
              <w:rPr>
                <w:sz w:val="20"/>
                <w:szCs w:val="20"/>
              </w:rPr>
              <w:t>1.17</w:t>
            </w:r>
          </w:p>
        </w:tc>
        <w:tc>
          <w:tcPr>
            <w:tcW w:w="1560" w:type="dxa"/>
            <w:vAlign w:val="center"/>
          </w:tcPr>
          <w:p>
            <w:pPr>
              <w:pStyle w:val="TableText"/>
              <w:spacing w:before="0" w:after="0" w:line="240" w:lineRule="auto"/>
            </w:pPr>
            <w:r>
              <w:rPr>
                <w:sz w:val="20"/>
                <w:szCs w:val="20"/>
              </w:rPr>
              <w:t>139,056</w:t>
            </w:r>
          </w:p>
        </w:tc>
        <w:tc>
          <w:tcPr>
            <w:tcW w:w="1560" w:type="dxa"/>
            <w:vAlign w:val="center"/>
          </w:tcPr>
          <w:p>
            <w:pPr>
              <w:pStyle w:val="TableText"/>
              <w:spacing w:before="0" w:after="0" w:line="240" w:lineRule="auto"/>
            </w:pPr>
            <w:r>
              <w:rPr>
                <w:sz w:val="20"/>
                <w:szCs w:val="20"/>
              </w:rPr>
              <w:t>1.19</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Bitter</w:t>
            </w:r>
          </w:p>
        </w:tc>
        <w:tc>
          <w:tcPr>
            <w:tcW w:w="1560" w:type="dxa"/>
            <w:vAlign w:val="center"/>
          </w:tcPr>
          <w:p>
            <w:pPr>
              <w:pStyle w:val="TableText"/>
              <w:spacing w:before="0" w:after="0" w:line="240" w:lineRule="auto"/>
            </w:pPr>
            <w:r>
              <w:rPr>
                <w:sz w:val="20"/>
                <w:szCs w:val="20"/>
              </w:rPr>
              <w:t>1,840,368</w:t>
            </w:r>
          </w:p>
        </w:tc>
        <w:tc>
          <w:tcPr>
            <w:tcW w:w="1560" w:type="dxa"/>
            <w:vAlign w:val="center"/>
          </w:tcPr>
          <w:p>
            <w:pPr>
              <w:pStyle w:val="TableText"/>
              <w:spacing w:before="0" w:after="0" w:line="240" w:lineRule="auto"/>
            </w:pPr>
            <w:r>
              <w:rPr>
                <w:sz w:val="20"/>
                <w:szCs w:val="20"/>
              </w:rPr>
              <w:t>16.33</w:t>
            </w:r>
          </w:p>
        </w:tc>
        <w:tc>
          <w:tcPr>
            <w:tcW w:w="1560" w:type="dxa"/>
            <w:vAlign w:val="center"/>
          </w:tcPr>
          <w:p>
            <w:pPr>
              <w:pStyle w:val="TableText"/>
              <w:spacing w:before="0" w:after="0" w:line="240" w:lineRule="auto"/>
            </w:pPr>
            <w:r>
              <w:rPr>
                <w:sz w:val="20"/>
                <w:szCs w:val="20"/>
              </w:rPr>
              <w:t>1,831,185</w:t>
            </w:r>
          </w:p>
        </w:tc>
        <w:tc>
          <w:tcPr>
            <w:tcW w:w="1560" w:type="dxa"/>
            <w:vAlign w:val="center"/>
          </w:tcPr>
          <w:p>
            <w:pPr>
              <w:pStyle w:val="TableText"/>
              <w:spacing w:before="0" w:after="0" w:line="240" w:lineRule="auto"/>
            </w:pPr>
            <w:r>
              <w:rPr>
                <w:sz w:val="20"/>
                <w:szCs w:val="20"/>
              </w:rPr>
              <w:t>15.62</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Umami</w:t>
            </w:r>
          </w:p>
        </w:tc>
        <w:tc>
          <w:tcPr>
            <w:tcW w:w="1560" w:type="dxa"/>
            <w:vAlign w:val="center"/>
          </w:tcPr>
          <w:p>
            <w:pPr>
              <w:pStyle w:val="TableText"/>
              <w:spacing w:before="0" w:after="0" w:line="240" w:lineRule="auto"/>
            </w:pPr>
            <w:r>
              <w:rPr>
                <w:sz w:val="20"/>
                <w:szCs w:val="20"/>
              </w:rPr>
              <w:t>3,094,287</w:t>
            </w:r>
          </w:p>
        </w:tc>
        <w:tc>
          <w:tcPr>
            <w:tcW w:w="1560" w:type="dxa"/>
            <w:vAlign w:val="center"/>
          </w:tcPr>
          <w:p>
            <w:pPr>
              <w:pStyle w:val="TableText"/>
              <w:spacing w:before="0" w:after="0" w:line="240" w:lineRule="auto"/>
            </w:pPr>
            <w:r>
              <w:rPr>
                <w:sz w:val="20"/>
                <w:szCs w:val="20"/>
              </w:rPr>
              <w:t>27.46</w:t>
            </w:r>
          </w:p>
        </w:tc>
        <w:tc>
          <w:tcPr>
            <w:tcW w:w="1560" w:type="dxa"/>
            <w:vAlign w:val="center"/>
          </w:tcPr>
          <w:p>
            <w:pPr>
              <w:pStyle w:val="TableText"/>
              <w:spacing w:before="0" w:after="0" w:line="240" w:lineRule="auto"/>
            </w:pPr>
            <w:r>
              <w:rPr>
                <w:sz w:val="20"/>
                <w:szCs w:val="20"/>
              </w:rPr>
              <w:t>3,100,811</w:t>
            </w:r>
          </w:p>
        </w:tc>
        <w:tc>
          <w:tcPr>
            <w:tcW w:w="1560" w:type="dxa"/>
            <w:vAlign w:val="center"/>
          </w:tcPr>
          <w:p>
            <w:pPr>
              <w:pStyle w:val="TableText"/>
              <w:spacing w:before="0" w:after="0" w:line="240" w:lineRule="auto"/>
            </w:pPr>
            <w:r>
              <w:rPr>
                <w:sz w:val="20"/>
                <w:szCs w:val="20"/>
              </w:rPr>
              <w:t>26.45</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Antimicrobial</w:t>
            </w:r>
          </w:p>
        </w:tc>
        <w:tc>
          <w:tcPr>
            <w:tcW w:w="1560" w:type="dxa"/>
            <w:vAlign w:val="center"/>
          </w:tcPr>
          <w:p>
            <w:pPr>
              <w:pStyle w:val="TableText"/>
              <w:spacing w:before="0" w:after="0" w:line="240" w:lineRule="auto"/>
            </w:pPr>
            <w:r>
              <w:rPr>
                <w:sz w:val="20"/>
                <w:szCs w:val="20"/>
              </w:rPr>
              <w:t>9,882,657</w:t>
            </w:r>
          </w:p>
        </w:tc>
        <w:tc>
          <w:tcPr>
            <w:tcW w:w="1560" w:type="dxa"/>
            <w:vAlign w:val="center"/>
          </w:tcPr>
          <w:p>
            <w:pPr>
              <w:pStyle w:val="TableText"/>
              <w:spacing w:before="0" w:after="0" w:line="240" w:lineRule="auto"/>
            </w:pPr>
            <w:r>
              <w:rPr>
                <w:sz w:val="20"/>
                <w:szCs w:val="20"/>
              </w:rPr>
              <w:t>87.69</w:t>
            </w:r>
          </w:p>
        </w:tc>
        <w:tc>
          <w:tcPr>
            <w:tcW w:w="1560" w:type="dxa"/>
            <w:vAlign w:val="center"/>
          </w:tcPr>
          <w:p>
            <w:pPr>
              <w:pStyle w:val="TableText"/>
              <w:spacing w:before="0" w:after="0" w:line="240" w:lineRule="auto"/>
            </w:pPr>
            <w:r>
              <w:rPr>
                <w:sz w:val="20"/>
                <w:szCs w:val="20"/>
              </w:rPr>
              <w:t>10,302,093</w:t>
            </w:r>
          </w:p>
        </w:tc>
        <w:tc>
          <w:tcPr>
            <w:tcW w:w="1560" w:type="dxa"/>
            <w:vAlign w:val="center"/>
          </w:tcPr>
          <w:p>
            <w:pPr>
              <w:pStyle w:val="TableText"/>
              <w:spacing w:before="0" w:after="0" w:line="240" w:lineRule="auto"/>
            </w:pPr>
            <w:r>
              <w:rPr>
                <w:sz w:val="20"/>
                <w:szCs w:val="20"/>
              </w:rPr>
              <w:t>87.89</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Antimalarial (alternative)</w:t>
            </w:r>
          </w:p>
        </w:tc>
        <w:tc>
          <w:tcPr>
            <w:tcW w:w="1560" w:type="dxa"/>
            <w:vAlign w:val="center"/>
          </w:tcPr>
          <w:p>
            <w:pPr>
              <w:pStyle w:val="TableText"/>
              <w:spacing w:before="0" w:after="0" w:line="240" w:lineRule="auto"/>
            </w:pPr>
            <w:r>
              <w:rPr>
                <w:sz w:val="20"/>
                <w:szCs w:val="20"/>
              </w:rPr>
              <w:t>703,632</w:t>
            </w:r>
          </w:p>
        </w:tc>
        <w:tc>
          <w:tcPr>
            <w:tcW w:w="1560" w:type="dxa"/>
            <w:vAlign w:val="center"/>
          </w:tcPr>
          <w:p>
            <w:pPr>
              <w:pStyle w:val="TableText"/>
              <w:spacing w:before="0" w:after="0" w:line="240" w:lineRule="auto"/>
            </w:pPr>
            <w:r>
              <w:rPr>
                <w:sz w:val="20"/>
                <w:szCs w:val="20"/>
              </w:rPr>
              <w:t>6.24</w:t>
            </w:r>
          </w:p>
        </w:tc>
        <w:tc>
          <w:tcPr>
            <w:tcW w:w="1560" w:type="dxa"/>
            <w:vAlign w:val="center"/>
          </w:tcPr>
          <w:p>
            <w:pPr>
              <w:pStyle w:val="TableText"/>
              <w:spacing w:before="0" w:after="0" w:line="240" w:lineRule="auto"/>
            </w:pPr>
            <w:r>
              <w:rPr>
                <w:sz w:val="20"/>
                <w:szCs w:val="20"/>
              </w:rPr>
              <w:t>695,608</w:t>
            </w:r>
          </w:p>
        </w:tc>
        <w:tc>
          <w:tcPr>
            <w:tcW w:w="1560" w:type="dxa"/>
            <w:vAlign w:val="center"/>
          </w:tcPr>
          <w:p>
            <w:pPr>
              <w:pStyle w:val="TableText"/>
              <w:spacing w:before="0" w:after="0" w:line="240" w:lineRule="auto"/>
            </w:pPr>
            <w:r>
              <w:rPr>
                <w:sz w:val="20"/>
                <w:szCs w:val="20"/>
              </w:rPr>
              <w:t>5.93</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Antimalarial (main)</w:t>
            </w:r>
          </w:p>
        </w:tc>
        <w:tc>
          <w:tcPr>
            <w:tcW w:w="1560" w:type="dxa"/>
            <w:vAlign w:val="center"/>
          </w:tcPr>
          <w:p>
            <w:pPr>
              <w:pStyle w:val="TableText"/>
              <w:spacing w:before="0" w:after="0" w:line="240" w:lineRule="auto"/>
            </w:pPr>
            <w:r>
              <w:rPr>
                <w:sz w:val="20"/>
                <w:szCs w:val="20"/>
              </w:rPr>
              <w:t>1,954,667</w:t>
            </w:r>
          </w:p>
        </w:tc>
        <w:tc>
          <w:tcPr>
            <w:tcW w:w="1560" w:type="dxa"/>
            <w:vAlign w:val="center"/>
          </w:tcPr>
          <w:p>
            <w:pPr>
              <w:pStyle w:val="TableText"/>
              <w:spacing w:before="0" w:after="0" w:line="240" w:lineRule="auto"/>
            </w:pPr>
            <w:r>
              <w:rPr>
                <w:sz w:val="20"/>
                <w:szCs w:val="20"/>
              </w:rPr>
              <w:t>17.34</w:t>
            </w:r>
          </w:p>
        </w:tc>
        <w:tc>
          <w:tcPr>
            <w:tcW w:w="1560" w:type="dxa"/>
            <w:vAlign w:val="center"/>
          </w:tcPr>
          <w:p>
            <w:pPr>
              <w:pStyle w:val="TableText"/>
              <w:spacing w:before="0" w:after="0" w:line="240" w:lineRule="auto"/>
            </w:pPr>
            <w:r>
              <w:rPr>
                <w:sz w:val="20"/>
                <w:szCs w:val="20"/>
              </w:rPr>
              <w:t>2,010,724</w:t>
            </w:r>
          </w:p>
        </w:tc>
        <w:tc>
          <w:tcPr>
            <w:tcW w:w="1560" w:type="dxa"/>
            <w:vAlign w:val="center"/>
          </w:tcPr>
          <w:p>
            <w:pPr>
              <w:pStyle w:val="TableText"/>
              <w:spacing w:before="0" w:after="0" w:line="240" w:lineRule="auto"/>
            </w:pPr>
            <w:r>
              <w:rPr>
                <w:sz w:val="20"/>
                <w:szCs w:val="20"/>
              </w:rPr>
              <w:t>17.15</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Quorum sensing</w:t>
            </w:r>
          </w:p>
        </w:tc>
        <w:tc>
          <w:tcPr>
            <w:tcW w:w="1560" w:type="dxa"/>
            <w:vAlign w:val="center"/>
          </w:tcPr>
          <w:p>
            <w:pPr>
              <w:pStyle w:val="TableText"/>
              <w:spacing w:before="0" w:after="0" w:line="240" w:lineRule="auto"/>
            </w:pPr>
            <w:r>
              <w:rPr>
                <w:sz w:val="20"/>
                <w:szCs w:val="20"/>
              </w:rPr>
              <w:t>4,161,825</w:t>
            </w:r>
          </w:p>
        </w:tc>
        <w:tc>
          <w:tcPr>
            <w:tcW w:w="1560" w:type="dxa"/>
            <w:vAlign w:val="center"/>
          </w:tcPr>
          <w:p>
            <w:pPr>
              <w:pStyle w:val="TableText"/>
              <w:spacing w:before="0" w:after="0" w:line="240" w:lineRule="auto"/>
            </w:pPr>
            <w:r>
              <w:rPr>
                <w:sz w:val="20"/>
                <w:szCs w:val="20"/>
              </w:rPr>
              <w:t>36.93</w:t>
            </w:r>
          </w:p>
        </w:tc>
        <w:tc>
          <w:tcPr>
            <w:tcW w:w="1560" w:type="dxa"/>
            <w:vAlign w:val="center"/>
          </w:tcPr>
          <w:p>
            <w:pPr>
              <w:pStyle w:val="TableText"/>
              <w:spacing w:before="0" w:after="0" w:line="240" w:lineRule="auto"/>
            </w:pPr>
            <w:r>
              <w:rPr>
                <w:sz w:val="20"/>
                <w:szCs w:val="20"/>
              </w:rPr>
              <w:t>4,491,507</w:t>
            </w:r>
          </w:p>
        </w:tc>
        <w:tc>
          <w:tcPr>
            <w:tcW w:w="1560" w:type="dxa"/>
            <w:vAlign w:val="center"/>
          </w:tcPr>
          <w:p>
            <w:pPr>
              <w:pStyle w:val="TableText"/>
              <w:spacing w:before="0" w:after="0" w:line="240" w:lineRule="auto"/>
            </w:pPr>
            <w:r>
              <w:rPr>
                <w:sz w:val="20"/>
                <w:szCs w:val="20"/>
              </w:rPr>
              <w:t>38.32</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Anticancer (main)</w:t>
            </w:r>
          </w:p>
        </w:tc>
        <w:tc>
          <w:tcPr>
            <w:tcW w:w="1560" w:type="dxa"/>
            <w:vAlign w:val="center"/>
          </w:tcPr>
          <w:p>
            <w:pPr>
              <w:pStyle w:val="TableText"/>
              <w:spacing w:before="0" w:after="0" w:line="240" w:lineRule="auto"/>
            </w:pPr>
            <w:r>
              <w:rPr>
                <w:sz w:val="20"/>
                <w:szCs w:val="20"/>
              </w:rPr>
              <w:t>2,404,084</w:t>
            </w:r>
          </w:p>
        </w:tc>
        <w:tc>
          <w:tcPr>
            <w:tcW w:w="1560" w:type="dxa"/>
            <w:vAlign w:val="center"/>
          </w:tcPr>
          <w:p>
            <w:pPr>
              <w:pStyle w:val="TableText"/>
              <w:spacing w:before="0" w:after="0" w:line="240" w:lineRule="auto"/>
            </w:pPr>
            <w:r>
              <w:rPr>
                <w:sz w:val="20"/>
                <w:szCs w:val="20"/>
              </w:rPr>
              <w:t>21.33</w:t>
            </w:r>
          </w:p>
        </w:tc>
        <w:tc>
          <w:tcPr>
            <w:tcW w:w="1560" w:type="dxa"/>
            <w:vAlign w:val="center"/>
          </w:tcPr>
          <w:p>
            <w:pPr>
              <w:pStyle w:val="TableText"/>
              <w:spacing w:before="0" w:after="0" w:line="240" w:lineRule="auto"/>
            </w:pPr>
            <w:r>
              <w:rPr>
                <w:sz w:val="20"/>
                <w:szCs w:val="20"/>
              </w:rPr>
              <w:t>2,357,718</w:t>
            </w:r>
          </w:p>
        </w:tc>
        <w:tc>
          <w:tcPr>
            <w:tcW w:w="1560" w:type="dxa"/>
            <w:vAlign w:val="center"/>
          </w:tcPr>
          <w:p>
            <w:pPr>
              <w:pStyle w:val="TableText"/>
              <w:spacing w:before="0" w:after="0" w:line="240" w:lineRule="auto"/>
            </w:pPr>
            <w:r>
              <w:rPr>
                <w:sz w:val="20"/>
                <w:szCs w:val="20"/>
              </w:rPr>
              <w:t>20.11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Anticancer (alternative)</w:t>
            </w:r>
          </w:p>
        </w:tc>
        <w:tc>
          <w:tcPr>
            <w:tcW w:w="1560" w:type="dxa"/>
            <w:vAlign w:val="center"/>
          </w:tcPr>
          <w:p>
            <w:pPr>
              <w:pStyle w:val="TableText"/>
              <w:spacing w:before="0" w:after="0" w:line="240" w:lineRule="auto"/>
            </w:pPr>
            <w:r>
              <w:rPr>
                <w:sz w:val="20"/>
                <w:szCs w:val="20"/>
              </w:rPr>
              <w:t>1,979,643</w:t>
            </w:r>
          </w:p>
        </w:tc>
        <w:tc>
          <w:tcPr>
            <w:tcW w:w="1560" w:type="dxa"/>
            <w:vAlign w:val="center"/>
          </w:tcPr>
          <w:p>
            <w:pPr>
              <w:pStyle w:val="TableText"/>
              <w:spacing w:before="0" w:after="0" w:line="240" w:lineRule="auto"/>
            </w:pPr>
            <w:r>
              <w:rPr>
                <w:sz w:val="20"/>
                <w:szCs w:val="20"/>
              </w:rPr>
              <w:t>17.57</w:t>
            </w:r>
          </w:p>
        </w:tc>
        <w:tc>
          <w:tcPr>
            <w:tcW w:w="1560" w:type="dxa"/>
            <w:vAlign w:val="center"/>
          </w:tcPr>
          <w:p>
            <w:pPr>
              <w:pStyle w:val="TableText"/>
              <w:spacing w:before="0" w:after="0" w:line="240" w:lineRule="auto"/>
            </w:pPr>
            <w:r>
              <w:rPr>
                <w:sz w:val="20"/>
                <w:szCs w:val="20"/>
              </w:rPr>
              <w:t>2,015,652</w:t>
            </w:r>
          </w:p>
        </w:tc>
        <w:tc>
          <w:tcPr>
            <w:tcW w:w="1560" w:type="dxa"/>
            <w:vAlign w:val="center"/>
          </w:tcPr>
          <w:p>
            <w:pPr>
              <w:pStyle w:val="TableText"/>
              <w:spacing w:before="0" w:after="0" w:line="240" w:lineRule="auto"/>
            </w:pPr>
            <w:r>
              <w:rPr>
                <w:sz w:val="20"/>
                <w:szCs w:val="20"/>
              </w:rPr>
              <w:t>17.20</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Anti-MRSA</w:t>
            </w:r>
          </w:p>
        </w:tc>
        <w:tc>
          <w:tcPr>
            <w:tcW w:w="1560" w:type="dxa"/>
            <w:vAlign w:val="center"/>
          </w:tcPr>
          <w:p>
            <w:pPr>
              <w:pStyle w:val="TableText"/>
              <w:spacing w:before="0" w:after="0" w:line="240" w:lineRule="auto"/>
            </w:pPr>
            <w:r>
              <w:rPr>
                <w:sz w:val="20"/>
                <w:szCs w:val="20"/>
              </w:rPr>
              <w:t>769,955</w:t>
            </w:r>
          </w:p>
        </w:tc>
        <w:tc>
          <w:tcPr>
            <w:tcW w:w="1560" w:type="dxa"/>
            <w:vAlign w:val="center"/>
          </w:tcPr>
          <w:p>
            <w:pPr>
              <w:pStyle w:val="TableText"/>
              <w:spacing w:before="0" w:after="0" w:line="240" w:lineRule="auto"/>
            </w:pPr>
            <w:r>
              <w:rPr>
                <w:sz w:val="20"/>
                <w:szCs w:val="20"/>
              </w:rPr>
              <w:t>6.83</w:t>
            </w:r>
          </w:p>
        </w:tc>
        <w:tc>
          <w:tcPr>
            <w:tcW w:w="1560" w:type="dxa"/>
            <w:vAlign w:val="center"/>
          </w:tcPr>
          <w:p>
            <w:pPr>
              <w:pStyle w:val="TableText"/>
              <w:spacing w:before="0" w:after="0" w:line="240" w:lineRule="auto"/>
            </w:pPr>
            <w:r>
              <w:rPr>
                <w:sz w:val="20"/>
                <w:szCs w:val="20"/>
              </w:rPr>
              <w:t>843,977</w:t>
            </w:r>
          </w:p>
        </w:tc>
        <w:tc>
          <w:tcPr>
            <w:tcW w:w="1560" w:type="dxa"/>
            <w:vAlign w:val="center"/>
          </w:tcPr>
          <w:p>
            <w:pPr>
              <w:pStyle w:val="TableText"/>
              <w:spacing w:before="0" w:after="0" w:line="240" w:lineRule="auto"/>
            </w:pPr>
            <w:r>
              <w:rPr>
                <w:sz w:val="20"/>
                <w:szCs w:val="20"/>
              </w:rPr>
              <w:t>7.20</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TTCA</w:t>
            </w:r>
          </w:p>
        </w:tc>
        <w:tc>
          <w:tcPr>
            <w:tcW w:w="1560" w:type="dxa"/>
            <w:vAlign w:val="center"/>
          </w:tcPr>
          <w:p>
            <w:pPr>
              <w:pStyle w:val="TableText"/>
              <w:spacing w:before="0" w:after="0" w:line="240" w:lineRule="auto"/>
            </w:pPr>
            <w:r>
              <w:rPr>
                <w:sz w:val="20"/>
                <w:szCs w:val="20"/>
              </w:rPr>
              <w:t>2,618,849</w:t>
            </w:r>
          </w:p>
        </w:tc>
        <w:tc>
          <w:tcPr>
            <w:tcW w:w="1560" w:type="dxa"/>
            <w:vAlign w:val="center"/>
          </w:tcPr>
          <w:p>
            <w:pPr>
              <w:pStyle w:val="TableText"/>
              <w:spacing w:before="0" w:after="0" w:line="240" w:lineRule="auto"/>
            </w:pPr>
            <w:r>
              <w:rPr>
                <w:sz w:val="20"/>
                <w:szCs w:val="20"/>
              </w:rPr>
              <w:t>23.24</w:t>
            </w:r>
          </w:p>
        </w:tc>
        <w:tc>
          <w:tcPr>
            <w:tcW w:w="1560" w:type="dxa"/>
            <w:vAlign w:val="center"/>
          </w:tcPr>
          <w:p>
            <w:pPr>
              <w:pStyle w:val="TableText"/>
              <w:spacing w:before="0" w:after="0" w:line="240" w:lineRule="auto"/>
            </w:pPr>
            <w:r>
              <w:rPr>
                <w:sz w:val="20"/>
                <w:szCs w:val="20"/>
              </w:rPr>
              <w:t>2,666,759</w:t>
            </w:r>
          </w:p>
        </w:tc>
        <w:tc>
          <w:tcPr>
            <w:tcW w:w="1560" w:type="dxa"/>
            <w:vAlign w:val="center"/>
          </w:tcPr>
          <w:p>
            <w:pPr>
              <w:pStyle w:val="TableText"/>
              <w:spacing w:before="0" w:after="0" w:line="240" w:lineRule="auto"/>
            </w:pPr>
            <w:r>
              <w:rPr>
                <w:sz w:val="20"/>
                <w:szCs w:val="20"/>
              </w:rPr>
              <w:t>22.75</w:t>
            </w:r>
          </w:p>
        </w:tc>
      </w:tr>
      <w:tr>
        <w:tc>
          <w:tcPr>
            <w:tcW w:w="1560" w:type="dxa"/>
            <w:vAlign w:val="center"/>
          </w:tcPr>
          <w:p>
            <w:pPr>
              <w:pStyle w:val="TableText"/>
              <w:spacing w:before="0" w:after="0" w:line="240" w:lineRule="auto"/>
            </w:pPr>
            <w:r>
              <w:rPr>
                <w:sz w:val="20"/>
                <w:szCs w:val="20"/>
              </w:rPr>
              <w:t>13</w:t>
            </w:r>
          </w:p>
        </w:tc>
        <w:tc>
          <w:tcPr>
            <w:tcW w:w="1560" w:type="dxa"/>
            <w:vAlign w:val="center"/>
          </w:tcPr>
          <w:p>
            <w:pPr>
              <w:pStyle w:val="TableText"/>
              <w:spacing w:before="0" w:after="0" w:line="240" w:lineRule="auto"/>
            </w:pPr>
            <w:r>
              <w:rPr>
                <w:sz w:val="20"/>
                <w:szCs w:val="20"/>
              </w:rPr>
              <w:t>BBB (BBP)</w:t>
            </w:r>
          </w:p>
        </w:tc>
        <w:tc>
          <w:tcPr>
            <w:tcW w:w="1560" w:type="dxa"/>
            <w:vAlign w:val="center"/>
          </w:tcPr>
          <w:p>
            <w:pPr>
              <w:pStyle w:val="TableText"/>
              <w:spacing w:before="0" w:after="0" w:line="240" w:lineRule="auto"/>
            </w:pPr>
            <w:r>
              <w:rPr>
                <w:sz w:val="20"/>
                <w:szCs w:val="20"/>
              </w:rPr>
              <w:t>1,095,861</w:t>
            </w:r>
          </w:p>
        </w:tc>
        <w:tc>
          <w:tcPr>
            <w:tcW w:w="1560" w:type="dxa"/>
            <w:vAlign w:val="center"/>
          </w:tcPr>
          <w:p>
            <w:pPr>
              <w:pStyle w:val="TableText"/>
              <w:spacing w:before="0" w:after="0" w:line="240" w:lineRule="auto"/>
            </w:pPr>
            <w:r>
              <w:rPr>
                <w:sz w:val="20"/>
                <w:szCs w:val="20"/>
              </w:rPr>
              <w:t>9.72</w:t>
            </w:r>
          </w:p>
        </w:tc>
        <w:tc>
          <w:tcPr>
            <w:tcW w:w="1560" w:type="dxa"/>
            <w:vAlign w:val="center"/>
          </w:tcPr>
          <w:p>
            <w:pPr>
              <w:pStyle w:val="TableText"/>
              <w:spacing w:before="0" w:after="0" w:line="240" w:lineRule="auto"/>
            </w:pPr>
            <w:r>
              <w:rPr>
                <w:sz w:val="20"/>
                <w:szCs w:val="20"/>
              </w:rPr>
              <w:t>1,125,832</w:t>
            </w:r>
          </w:p>
        </w:tc>
        <w:tc>
          <w:tcPr>
            <w:tcW w:w="1560" w:type="dxa"/>
            <w:vAlign w:val="center"/>
          </w:tcPr>
          <w:p>
            <w:pPr>
              <w:pStyle w:val="TableText"/>
              <w:spacing w:before="0" w:after="0" w:line="240" w:lineRule="auto"/>
            </w:pPr>
            <w:r>
              <w:rPr>
                <w:sz w:val="20"/>
                <w:szCs w:val="20"/>
              </w:rPr>
              <w:t>9.60</w:t>
            </w:r>
          </w:p>
        </w:tc>
      </w:tr>
      <w:tr>
        <w:tc>
          <w:tcPr>
            <w:tcW w:w="1560" w:type="dxa"/>
            <w:vAlign w:val="center"/>
          </w:tcPr>
          <w:p>
            <w:pPr>
              <w:pStyle w:val="TableText"/>
              <w:spacing w:before="0" w:after="0" w:line="240" w:lineRule="auto"/>
            </w:pPr>
            <w:r>
              <w:rPr>
                <w:sz w:val="20"/>
                <w:szCs w:val="20"/>
              </w:rPr>
              <w:t>14</w:t>
            </w:r>
          </w:p>
        </w:tc>
        <w:tc>
          <w:tcPr>
            <w:tcW w:w="1560" w:type="dxa"/>
            <w:vAlign w:val="center"/>
          </w:tcPr>
          <w:p>
            <w:pPr>
              <w:pStyle w:val="TableText"/>
              <w:spacing w:before="0" w:after="0" w:line="240" w:lineRule="auto"/>
            </w:pPr>
            <w:r>
              <w:rPr>
                <w:sz w:val="20"/>
                <w:szCs w:val="20"/>
              </w:rPr>
              <w:t>Anti-parasitic (APP)</w:t>
            </w:r>
          </w:p>
        </w:tc>
        <w:tc>
          <w:tcPr>
            <w:tcW w:w="1560" w:type="dxa"/>
            <w:vAlign w:val="center"/>
          </w:tcPr>
          <w:p>
            <w:pPr>
              <w:pStyle w:val="TableText"/>
              <w:spacing w:before="0" w:after="0" w:line="240" w:lineRule="auto"/>
            </w:pPr>
            <w:r>
              <w:rPr>
                <w:sz w:val="20"/>
                <w:szCs w:val="20"/>
              </w:rPr>
              <w:t>5,517,278</w:t>
            </w:r>
          </w:p>
        </w:tc>
        <w:tc>
          <w:tcPr>
            <w:tcW w:w="1560" w:type="dxa"/>
            <w:vAlign w:val="center"/>
          </w:tcPr>
          <w:p>
            <w:pPr>
              <w:pStyle w:val="TableText"/>
              <w:spacing w:before="0" w:after="0" w:line="240" w:lineRule="auto"/>
            </w:pPr>
            <w:r>
              <w:rPr>
                <w:sz w:val="20"/>
                <w:szCs w:val="20"/>
              </w:rPr>
              <w:t>48.96</w:t>
            </w:r>
          </w:p>
        </w:tc>
        <w:tc>
          <w:tcPr>
            <w:tcW w:w="1560" w:type="dxa"/>
            <w:vAlign w:val="center"/>
          </w:tcPr>
          <w:p>
            <w:pPr>
              <w:pStyle w:val="TableText"/>
              <w:spacing w:before="0" w:after="0" w:line="240" w:lineRule="auto"/>
            </w:pPr>
            <w:r>
              <w:rPr>
                <w:sz w:val="20"/>
                <w:szCs w:val="20"/>
              </w:rPr>
              <w:t>5,462,493</w:t>
            </w:r>
          </w:p>
        </w:tc>
        <w:tc>
          <w:tcPr>
            <w:tcW w:w="1560" w:type="dxa"/>
            <w:vAlign w:val="center"/>
          </w:tcPr>
          <w:p>
            <w:pPr>
              <w:pStyle w:val="TableText"/>
              <w:spacing w:before="0" w:after="0" w:line="240" w:lineRule="auto"/>
            </w:pPr>
            <w:r>
              <w:rPr>
                <w:sz w:val="20"/>
                <w:szCs w:val="20"/>
              </w:rPr>
              <w:t>46.60</w:t>
            </w:r>
          </w:p>
        </w:tc>
      </w:tr>
      <w:tr>
        <w:tc>
          <w:tcPr>
            <w:tcW w:w="1560" w:type="dxa"/>
            <w:vAlign w:val="center"/>
          </w:tcPr>
          <w:p>
            <w:pPr>
              <w:pStyle w:val="TableText"/>
              <w:spacing w:before="0" w:after="0" w:line="240" w:lineRule="auto"/>
            </w:pPr>
            <w:r>
              <w:rPr>
                <w:sz w:val="20"/>
                <w:szCs w:val="20"/>
              </w:rPr>
              <w:t>15</w:t>
            </w:r>
          </w:p>
        </w:tc>
        <w:tc>
          <w:tcPr>
            <w:tcW w:w="1560" w:type="dxa"/>
            <w:vAlign w:val="center"/>
          </w:tcPr>
          <w:p>
            <w:pPr>
              <w:pStyle w:val="TableText"/>
              <w:spacing w:before="0" w:after="0" w:line="240" w:lineRule="auto"/>
            </w:pPr>
            <w:r>
              <w:rPr>
                <w:sz w:val="20"/>
                <w:szCs w:val="20"/>
              </w:rPr>
              <w:t>NeuroPred</w:t>
            </w:r>
          </w:p>
        </w:tc>
        <w:tc>
          <w:tcPr>
            <w:tcW w:w="1560" w:type="dxa"/>
            <w:vAlign w:val="center"/>
          </w:tcPr>
          <w:p>
            <w:pPr>
              <w:pStyle w:val="TableText"/>
              <w:spacing w:before="0" w:after="0" w:line="240" w:lineRule="auto"/>
            </w:pPr>
            <w:r>
              <w:rPr>
                <w:sz w:val="20"/>
                <w:szCs w:val="20"/>
              </w:rPr>
              <w:t>1,690,436</w:t>
            </w:r>
          </w:p>
        </w:tc>
        <w:tc>
          <w:tcPr>
            <w:tcW w:w="1560" w:type="dxa"/>
            <w:vAlign w:val="center"/>
          </w:tcPr>
          <w:p>
            <w:pPr>
              <w:pStyle w:val="TableText"/>
              <w:spacing w:before="0" w:after="0" w:line="240" w:lineRule="auto"/>
            </w:pPr>
            <w:r>
              <w:rPr>
                <w:sz w:val="20"/>
                <w:szCs w:val="20"/>
              </w:rPr>
              <w:t>15.00</w:t>
            </w:r>
          </w:p>
        </w:tc>
        <w:tc>
          <w:tcPr>
            <w:tcW w:w="1560" w:type="dxa"/>
            <w:vAlign w:val="center"/>
          </w:tcPr>
          <w:p>
            <w:pPr>
              <w:pStyle w:val="TableText"/>
              <w:spacing w:before="0" w:after="0" w:line="240" w:lineRule="auto"/>
            </w:pPr>
            <w:r>
              <w:rPr>
                <w:sz w:val="20"/>
                <w:szCs w:val="20"/>
              </w:rPr>
              <w:t>1,714,373</w:t>
            </w:r>
          </w:p>
        </w:tc>
        <w:tc>
          <w:tcPr>
            <w:tcW w:w="1560" w:type="dxa"/>
            <w:vAlign w:val="center"/>
          </w:tcPr>
          <w:p>
            <w:pPr>
              <w:pStyle w:val="TableText"/>
              <w:spacing w:before="0" w:after="0" w:line="240" w:lineRule="auto"/>
            </w:pPr>
            <w:r>
              <w:rPr>
                <w:sz w:val="20"/>
                <w:szCs w:val="20"/>
              </w:rPr>
              <w:t>14.63</w:t>
            </w:r>
          </w:p>
        </w:tc>
      </w:tr>
      <w:tr>
        <w:tc>
          <w:tcPr>
            <w:tcW w:w="1560" w:type="dxa"/>
            <w:vAlign w:val="center"/>
          </w:tcPr>
          <w:p>
            <w:pPr>
              <w:pStyle w:val="TableText"/>
              <w:spacing w:before="0" w:after="0" w:line="240" w:lineRule="auto"/>
            </w:pPr>
            <w:r>
              <w:rPr>
                <w:sz w:val="20"/>
                <w:szCs w:val="20"/>
              </w:rPr>
              <w:t>16</w:t>
            </w:r>
          </w:p>
        </w:tc>
        <w:tc>
          <w:tcPr>
            <w:tcW w:w="1560" w:type="dxa"/>
            <w:vAlign w:val="center"/>
          </w:tcPr>
          <w:p>
            <w:pPr>
              <w:pStyle w:val="TableText"/>
              <w:spacing w:before="0" w:after="0" w:line="240" w:lineRule="auto"/>
            </w:pPr>
            <w:r>
              <w:rPr>
                <w:sz w:val="20"/>
                <w:szCs w:val="20"/>
              </w:rPr>
              <w:t>Antibacterial</w:t>
            </w:r>
          </w:p>
        </w:tc>
        <w:tc>
          <w:tcPr>
            <w:tcW w:w="1560" w:type="dxa"/>
            <w:vAlign w:val="center"/>
          </w:tcPr>
          <w:p>
            <w:pPr>
              <w:pStyle w:val="TableText"/>
              <w:spacing w:before="0" w:after="0" w:line="240" w:lineRule="auto"/>
            </w:pPr>
            <w:r>
              <w:rPr>
                <w:sz w:val="20"/>
                <w:szCs w:val="20"/>
              </w:rPr>
              <w:t>2,658,234</w:t>
            </w:r>
          </w:p>
        </w:tc>
        <w:tc>
          <w:tcPr>
            <w:tcW w:w="1560" w:type="dxa"/>
            <w:vAlign w:val="center"/>
          </w:tcPr>
          <w:p>
            <w:pPr>
              <w:pStyle w:val="TableText"/>
              <w:spacing w:before="0" w:after="0" w:line="240" w:lineRule="auto"/>
            </w:pPr>
            <w:r>
              <w:rPr>
                <w:sz w:val="20"/>
                <w:szCs w:val="20"/>
              </w:rPr>
              <w:t>23.59</w:t>
            </w:r>
          </w:p>
        </w:tc>
        <w:tc>
          <w:tcPr>
            <w:tcW w:w="1560" w:type="dxa"/>
            <w:vAlign w:val="center"/>
          </w:tcPr>
          <w:p>
            <w:pPr>
              <w:pStyle w:val="TableText"/>
              <w:spacing w:before="0" w:after="0" w:line="240" w:lineRule="auto"/>
            </w:pPr>
            <w:r>
              <w:rPr>
                <w:sz w:val="20"/>
                <w:szCs w:val="20"/>
              </w:rPr>
              <w:t>2,597,877</w:t>
            </w:r>
          </w:p>
        </w:tc>
        <w:tc>
          <w:tcPr>
            <w:tcW w:w="1560" w:type="dxa"/>
            <w:vAlign w:val="center"/>
          </w:tcPr>
          <w:p>
            <w:pPr>
              <w:pStyle w:val="TableText"/>
              <w:spacing w:before="0" w:after="0" w:line="240" w:lineRule="auto"/>
            </w:pPr>
            <w:r>
              <w:rPr>
                <w:sz w:val="20"/>
                <w:szCs w:val="20"/>
              </w:rPr>
              <w:t>22.16</w:t>
            </w:r>
          </w:p>
        </w:tc>
      </w:tr>
      <w:tr>
        <w:tc>
          <w:tcPr>
            <w:tcW w:w="1560" w:type="dxa"/>
            <w:vAlign w:val="center"/>
          </w:tcPr>
          <w:p>
            <w:pPr>
              <w:pStyle w:val="TableText"/>
              <w:spacing w:before="0" w:after="0" w:line="240" w:lineRule="auto"/>
            </w:pPr>
            <w:r>
              <w:rPr>
                <w:sz w:val="20"/>
                <w:szCs w:val="20"/>
              </w:rPr>
              <w:t>17</w:t>
            </w:r>
          </w:p>
        </w:tc>
        <w:tc>
          <w:tcPr>
            <w:tcW w:w="1560" w:type="dxa"/>
            <w:vAlign w:val="center"/>
          </w:tcPr>
          <w:p>
            <w:pPr>
              <w:pStyle w:val="TableText"/>
              <w:spacing w:before="0" w:after="0" w:line="240" w:lineRule="auto"/>
            </w:pPr>
            <w:r>
              <w:rPr>
                <w:sz w:val="20"/>
                <w:szCs w:val="20"/>
              </w:rPr>
              <w:t>Antifungal</w:t>
            </w:r>
          </w:p>
        </w:tc>
        <w:tc>
          <w:tcPr>
            <w:tcW w:w="1560" w:type="dxa"/>
            <w:vAlign w:val="center"/>
          </w:tcPr>
          <w:p>
            <w:pPr>
              <w:pStyle w:val="TableText"/>
              <w:spacing w:before="0" w:after="0" w:line="240" w:lineRule="auto"/>
            </w:pPr>
            <w:r>
              <w:rPr>
                <w:sz w:val="20"/>
                <w:szCs w:val="20"/>
              </w:rPr>
              <w:t>3,128,057</w:t>
            </w:r>
          </w:p>
        </w:tc>
        <w:tc>
          <w:tcPr>
            <w:tcW w:w="1560" w:type="dxa"/>
            <w:vAlign w:val="center"/>
          </w:tcPr>
          <w:p>
            <w:pPr>
              <w:pStyle w:val="TableText"/>
              <w:spacing w:before="0" w:after="0" w:line="240" w:lineRule="auto"/>
            </w:pPr>
            <w:r>
              <w:rPr>
                <w:sz w:val="20"/>
                <w:szCs w:val="20"/>
              </w:rPr>
              <w:t>27.76</w:t>
            </w:r>
          </w:p>
        </w:tc>
        <w:tc>
          <w:tcPr>
            <w:tcW w:w="1560" w:type="dxa"/>
            <w:vAlign w:val="center"/>
          </w:tcPr>
          <w:p>
            <w:pPr>
              <w:pStyle w:val="TableText"/>
              <w:spacing w:before="0" w:after="0" w:line="240" w:lineRule="auto"/>
            </w:pPr>
            <w:r>
              <w:rPr>
                <w:sz w:val="20"/>
                <w:szCs w:val="20"/>
              </w:rPr>
              <w:t>2,960,118</w:t>
            </w:r>
          </w:p>
        </w:tc>
        <w:tc>
          <w:tcPr>
            <w:tcW w:w="1560" w:type="dxa"/>
            <w:vAlign w:val="center"/>
          </w:tcPr>
          <w:p>
            <w:pPr>
              <w:pStyle w:val="TableText"/>
              <w:spacing w:before="0" w:after="0" w:line="240" w:lineRule="auto"/>
            </w:pPr>
            <w:r>
              <w:rPr>
                <w:sz w:val="20"/>
                <w:szCs w:val="20"/>
              </w:rPr>
              <w:t>25.25</w:t>
            </w:r>
          </w:p>
        </w:tc>
      </w:tr>
      <w:tr>
        <w:tc>
          <w:tcPr>
            <w:tcW w:w="1560" w:type="dxa"/>
            <w:vAlign w:val="center"/>
          </w:tcPr>
          <w:p>
            <w:pPr>
              <w:pStyle w:val="TableText"/>
              <w:spacing w:before="0" w:after="0" w:line="240" w:lineRule="auto"/>
            </w:pPr>
            <w:r>
              <w:rPr>
                <w:sz w:val="20"/>
                <w:szCs w:val="20"/>
              </w:rPr>
              <w:t>18</w:t>
            </w:r>
          </w:p>
        </w:tc>
        <w:tc>
          <w:tcPr>
            <w:tcW w:w="1560" w:type="dxa"/>
            <w:vAlign w:val="center"/>
          </w:tcPr>
          <w:p>
            <w:pPr>
              <w:pStyle w:val="TableText"/>
              <w:spacing w:before="0" w:after="0" w:line="240" w:lineRule="auto"/>
            </w:pPr>
            <w:r>
              <w:rPr>
                <w:sz w:val="20"/>
                <w:szCs w:val="20"/>
              </w:rPr>
              <w:t>Antiviral</w:t>
            </w:r>
          </w:p>
        </w:tc>
        <w:tc>
          <w:tcPr>
            <w:tcW w:w="1560" w:type="dxa"/>
            <w:vAlign w:val="center"/>
          </w:tcPr>
          <w:p>
            <w:pPr>
              <w:pStyle w:val="TableText"/>
              <w:spacing w:before="0" w:after="0" w:line="240" w:lineRule="auto"/>
            </w:pPr>
            <w:r>
              <w:rPr>
                <w:sz w:val="20"/>
                <w:szCs w:val="20"/>
              </w:rPr>
              <w:t>3,362,295</w:t>
            </w:r>
          </w:p>
        </w:tc>
        <w:tc>
          <w:tcPr>
            <w:tcW w:w="1560" w:type="dxa"/>
            <w:vAlign w:val="center"/>
          </w:tcPr>
          <w:p>
            <w:pPr>
              <w:pStyle w:val="TableText"/>
              <w:spacing w:before="0" w:after="0" w:line="240" w:lineRule="auto"/>
            </w:pPr>
            <w:r>
              <w:rPr>
                <w:sz w:val="20"/>
                <w:szCs w:val="20"/>
              </w:rPr>
              <w:t>29.83</w:t>
            </w:r>
          </w:p>
        </w:tc>
        <w:tc>
          <w:tcPr>
            <w:tcW w:w="1560" w:type="dxa"/>
            <w:vAlign w:val="center"/>
          </w:tcPr>
          <w:p>
            <w:pPr>
              <w:pStyle w:val="TableText"/>
              <w:spacing w:before="0" w:after="0" w:line="240" w:lineRule="auto"/>
            </w:pPr>
            <w:r>
              <w:rPr>
                <w:sz w:val="20"/>
                <w:szCs w:val="20"/>
              </w:rPr>
              <w:t>3,275,203</w:t>
            </w:r>
          </w:p>
        </w:tc>
        <w:tc>
          <w:tcPr>
            <w:tcW w:w="1560" w:type="dxa"/>
            <w:vAlign w:val="center"/>
          </w:tcPr>
          <w:p>
            <w:pPr>
              <w:pStyle w:val="TableText"/>
              <w:spacing w:before="0" w:after="0" w:line="240" w:lineRule="auto"/>
            </w:pPr>
            <w:r>
              <w:rPr>
                <w:sz w:val="20"/>
                <w:szCs w:val="20"/>
              </w:rPr>
              <w:t>27.94</w:t>
            </w:r>
          </w:p>
        </w:tc>
      </w:tr>
      <w:tr>
        <w:tc>
          <w:tcPr>
            <w:tcW w:w="1560" w:type="dxa"/>
            <w:vAlign w:val="center"/>
          </w:tcPr>
          <w:p>
            <w:pPr>
              <w:pStyle w:val="TableText"/>
              <w:spacing w:before="0" w:after="0" w:line="240" w:lineRule="auto"/>
            </w:pPr>
            <w:r>
              <w:rPr>
                <w:sz w:val="20"/>
                <w:szCs w:val="20"/>
              </w:rPr>
              <w:t>19</w:t>
            </w:r>
          </w:p>
        </w:tc>
        <w:tc>
          <w:tcPr>
            <w:tcW w:w="1560" w:type="dxa"/>
            <w:vAlign w:val="center"/>
          </w:tcPr>
          <w:p>
            <w:pPr>
              <w:pStyle w:val="TableText"/>
              <w:spacing w:before="0" w:after="0" w:line="240" w:lineRule="auto"/>
            </w:pPr>
            <w:r>
              <w:rPr>
                <w:sz w:val="20"/>
                <w:szCs w:val="20"/>
              </w:rPr>
              <w:t>Toxicity</w:t>
            </w:r>
          </w:p>
        </w:tc>
        <w:tc>
          <w:tcPr>
            <w:tcW w:w="1560" w:type="dxa"/>
            <w:vAlign w:val="center"/>
          </w:tcPr>
          <w:p>
            <w:pPr>
              <w:pStyle w:val="TableText"/>
              <w:spacing w:before="0" w:after="0" w:line="240" w:lineRule="auto"/>
            </w:pPr>
            <w:r>
              <w:rPr>
                <w:sz w:val="20"/>
                <w:szCs w:val="20"/>
              </w:rPr>
              <w:t>1,725,268</w:t>
            </w:r>
          </w:p>
        </w:tc>
        <w:tc>
          <w:tcPr>
            <w:tcW w:w="1560" w:type="dxa"/>
            <w:vAlign w:val="center"/>
          </w:tcPr>
          <w:p>
            <w:pPr>
              <w:pStyle w:val="TableText"/>
              <w:spacing w:before="0" w:after="0" w:line="240" w:lineRule="auto"/>
            </w:pPr>
            <w:r>
              <w:rPr>
                <w:sz w:val="20"/>
                <w:szCs w:val="20"/>
              </w:rPr>
              <w:t>15.31</w:t>
            </w:r>
          </w:p>
        </w:tc>
        <w:tc>
          <w:tcPr>
            <w:tcW w:w="1560" w:type="dxa"/>
            <w:vAlign w:val="center"/>
          </w:tcPr>
          <w:p>
            <w:pPr>
              <w:pStyle w:val="TableText"/>
              <w:spacing w:before="0" w:after="0" w:line="240" w:lineRule="auto"/>
            </w:pPr>
            <w:r>
              <w:rPr>
                <w:sz w:val="20"/>
                <w:szCs w:val="20"/>
              </w:rPr>
              <w:t>1,714,299</w:t>
            </w:r>
          </w:p>
        </w:tc>
        <w:tc>
          <w:tcPr>
            <w:tcW w:w="1560" w:type="dxa"/>
            <w:vAlign w:val="center"/>
          </w:tcPr>
          <w:p>
            <w:pPr>
              <w:pStyle w:val="TableText"/>
              <w:spacing w:before="0" w:after="0" w:line="240" w:lineRule="auto"/>
            </w:pPr>
            <w:r>
              <w:rPr>
                <w:sz w:val="20"/>
                <w:szCs w:val="20"/>
              </w:rPr>
              <w:t>14.62</w:t>
            </w:r>
          </w:p>
        </w:tc>
      </w:tr>
      <w:tr>
        <w:tc>
          <w:tcPr>
            <w:tcW w:w="1560" w:type="dxa"/>
            <w:vAlign w:val="center"/>
          </w:tcPr>
          <w:p>
            <w:pPr>
              <w:pStyle w:val="TableText"/>
              <w:spacing w:before="0" w:after="0" w:line="240" w:lineRule="auto"/>
            </w:pPr>
            <w:r>
              <w:rPr>
                <w:sz w:val="20"/>
                <w:szCs w:val="20"/>
              </w:rPr>
              <w:t>20</w:t>
            </w:r>
          </w:p>
        </w:tc>
        <w:tc>
          <w:tcPr>
            <w:tcW w:w="1560" w:type="dxa"/>
            <w:vAlign w:val="center"/>
          </w:tcPr>
          <w:p>
            <w:pPr>
              <w:pStyle w:val="TableText"/>
              <w:spacing w:before="0" w:after="0" w:line="240" w:lineRule="auto"/>
            </w:pPr>
            <w:r>
              <w:rPr>
                <w:sz w:val="20"/>
                <w:szCs w:val="20"/>
              </w:rPr>
              <w:t>Antioxidant FRS</w:t>
            </w:r>
          </w:p>
        </w:tc>
        <w:tc>
          <w:tcPr>
            <w:tcW w:w="1560" w:type="dxa"/>
            <w:vAlign w:val="center"/>
          </w:tcPr>
          <w:p>
            <w:pPr>
              <w:pStyle w:val="TableText"/>
              <w:spacing w:before="0" w:after="0" w:line="240" w:lineRule="auto"/>
            </w:pPr>
            <w:r>
              <w:rPr>
                <w:sz w:val="20"/>
                <w:szCs w:val="20"/>
              </w:rPr>
              <w:t>2,643,538</w:t>
            </w:r>
          </w:p>
        </w:tc>
        <w:tc>
          <w:tcPr>
            <w:tcW w:w="1560" w:type="dxa"/>
            <w:vAlign w:val="center"/>
          </w:tcPr>
          <w:p>
            <w:pPr>
              <w:pStyle w:val="TableText"/>
              <w:spacing w:before="0" w:after="0" w:line="240" w:lineRule="auto"/>
            </w:pPr>
            <w:r>
              <w:rPr>
                <w:sz w:val="20"/>
                <w:szCs w:val="20"/>
              </w:rPr>
              <w:t>23.46</w:t>
            </w:r>
          </w:p>
        </w:tc>
        <w:tc>
          <w:tcPr>
            <w:tcW w:w="1560" w:type="dxa"/>
            <w:vAlign w:val="center"/>
          </w:tcPr>
          <w:p>
            <w:pPr>
              <w:pStyle w:val="TableText"/>
              <w:spacing w:before="0" w:after="0" w:line="240" w:lineRule="auto"/>
            </w:pPr>
            <w:r>
              <w:rPr>
                <w:sz w:val="20"/>
                <w:szCs w:val="20"/>
              </w:rPr>
              <w:t>2,521,106</w:t>
            </w:r>
          </w:p>
        </w:tc>
        <w:tc>
          <w:tcPr>
            <w:tcW w:w="1560" w:type="dxa"/>
            <w:vAlign w:val="center"/>
          </w:tcPr>
          <w:p>
            <w:pPr>
              <w:pStyle w:val="TableText"/>
              <w:spacing w:before="0" w:after="0" w:line="240" w:lineRule="auto"/>
            </w:pPr>
            <w:r>
              <w:rPr>
                <w:sz w:val="20"/>
                <w:szCs w:val="20"/>
              </w:rPr>
              <w:t>21.51</w:t>
            </w:r>
          </w:p>
        </w:tc>
      </w:tr>
      <w:tr>
        <w:tc>
          <w:tcPr>
            <w:tcW w:w="1560" w:type="dxa"/>
            <w:vAlign w:val="center"/>
          </w:tcPr>
          <w:p>
            <w:pPr>
              <w:pStyle w:val="TableText"/>
              <w:spacing w:before="0" w:after="0" w:line="240" w:lineRule="auto"/>
            </w:pPr>
            <w:r>
              <w:rPr>
                <w:sz w:val="20"/>
                <w:szCs w:val="20"/>
              </w:rPr>
              <w:t>21</w:t>
            </w:r>
          </w:p>
        </w:tc>
        <w:tc>
          <w:tcPr>
            <w:tcW w:w="1560" w:type="dxa"/>
            <w:vAlign w:val="center"/>
          </w:tcPr>
          <w:p>
            <w:pPr>
              <w:pStyle w:val="TableText"/>
              <w:spacing w:before="0" w:after="0" w:line="240" w:lineRule="auto"/>
            </w:pPr>
            <w:r>
              <w:rPr>
                <w:sz w:val="20"/>
                <w:szCs w:val="20"/>
              </w:rPr>
              <w:t>Allergenicity</w:t>
            </w:r>
          </w:p>
        </w:tc>
        <w:tc>
          <w:tcPr>
            <w:tcW w:w="1560" w:type="dxa"/>
            <w:vAlign w:val="center"/>
          </w:tcPr>
          <w:p>
            <w:pPr>
              <w:pStyle w:val="TableText"/>
              <w:spacing w:before="0" w:after="0" w:line="240" w:lineRule="auto"/>
            </w:pPr>
            <w:r>
              <w:rPr>
                <w:sz w:val="20"/>
                <w:szCs w:val="20"/>
              </w:rPr>
              <w:t>1,635,019</w:t>
            </w:r>
          </w:p>
        </w:tc>
        <w:tc>
          <w:tcPr>
            <w:tcW w:w="1560" w:type="dxa"/>
            <w:vAlign w:val="center"/>
          </w:tcPr>
          <w:p>
            <w:pPr>
              <w:pStyle w:val="TableText"/>
              <w:spacing w:before="0" w:after="0" w:line="240" w:lineRule="auto"/>
            </w:pPr>
            <w:r>
              <w:rPr>
                <w:sz w:val="20"/>
                <w:szCs w:val="20"/>
              </w:rPr>
              <w:t>14.51</w:t>
            </w:r>
          </w:p>
        </w:tc>
        <w:tc>
          <w:tcPr>
            <w:tcW w:w="1560" w:type="dxa"/>
            <w:vAlign w:val="center"/>
          </w:tcPr>
          <w:p>
            <w:pPr>
              <w:pStyle w:val="TableText"/>
              <w:spacing w:before="0" w:after="0" w:line="240" w:lineRule="auto"/>
            </w:pPr>
            <w:r>
              <w:rPr>
                <w:sz w:val="20"/>
                <w:szCs w:val="20"/>
              </w:rPr>
              <w:t>1,713,798</w:t>
            </w:r>
          </w:p>
        </w:tc>
        <w:tc>
          <w:tcPr>
            <w:tcW w:w="1560" w:type="dxa"/>
            <w:vAlign w:val="center"/>
          </w:tcPr>
          <w:p>
            <w:pPr>
              <w:pStyle w:val="TableText"/>
              <w:spacing w:before="0" w:after="0" w:line="240" w:lineRule="auto"/>
            </w:pPr>
            <w:r>
              <w:rPr>
                <w:sz w:val="20"/>
                <w:szCs w:val="20"/>
              </w:rPr>
              <w:t>14.62</w:t>
            </w:r>
          </w:p>
        </w:tc>
      </w:tr>
      <w:tr>
        <w:tc>
          <w:tcPr>
            <w:tcW w:w="1560" w:type="dxa"/>
            <w:vAlign w:val="center"/>
          </w:tcPr>
          <w:p>
            <w:pPr>
              <w:pStyle w:val="TableText"/>
              <w:spacing w:before="0" w:after="0" w:line="240" w:lineRule="auto"/>
            </w:pPr>
            <w:r>
              <w:rPr>
                <w:sz w:val="20"/>
                <w:szCs w:val="20"/>
              </w:rPr>
              <w:t>22</w:t>
            </w:r>
          </w:p>
        </w:tc>
        <w:tc>
          <w:tcPr>
            <w:tcW w:w="1560" w:type="dxa"/>
            <w:vAlign w:val="center"/>
          </w:tcPr>
          <w:p>
            <w:pPr>
              <w:pStyle w:val="TableText"/>
              <w:spacing w:before="0" w:after="0" w:line="240" w:lineRule="auto"/>
            </w:pPr>
            <w:r>
              <w:rPr>
                <w:sz w:val="20"/>
                <w:szCs w:val="20"/>
              </w:rPr>
              <w:t>Cell-penetrating peptide (CPP)</w:t>
            </w:r>
          </w:p>
        </w:tc>
        <w:tc>
          <w:tcPr>
            <w:tcW w:w="1560" w:type="dxa"/>
            <w:vAlign w:val="center"/>
          </w:tcPr>
          <w:p>
            <w:pPr>
              <w:pStyle w:val="TableText"/>
              <w:spacing w:before="0" w:after="0" w:line="240" w:lineRule="auto"/>
            </w:pPr>
            <w:r>
              <w:rPr>
                <w:sz w:val="20"/>
                <w:szCs w:val="20"/>
              </w:rPr>
              <w:t>1,029,770</w:t>
            </w:r>
          </w:p>
        </w:tc>
        <w:tc>
          <w:tcPr>
            <w:tcW w:w="1560" w:type="dxa"/>
            <w:vAlign w:val="center"/>
          </w:tcPr>
          <w:p>
            <w:pPr>
              <w:pStyle w:val="TableText"/>
              <w:spacing w:before="0" w:after="0" w:line="240" w:lineRule="auto"/>
            </w:pPr>
            <w:r>
              <w:rPr>
                <w:sz w:val="20"/>
                <w:szCs w:val="20"/>
              </w:rPr>
              <w:t>9.14</w:t>
            </w:r>
          </w:p>
        </w:tc>
        <w:tc>
          <w:tcPr>
            <w:tcW w:w="1560" w:type="dxa"/>
            <w:vAlign w:val="center"/>
          </w:tcPr>
          <w:p>
            <w:pPr>
              <w:pStyle w:val="TableText"/>
              <w:spacing w:before="0" w:after="0" w:line="240" w:lineRule="auto"/>
            </w:pPr>
            <w:r>
              <w:rPr>
                <w:sz w:val="20"/>
                <w:szCs w:val="20"/>
              </w:rPr>
              <w:t>925,627</w:t>
            </w:r>
          </w:p>
        </w:tc>
        <w:tc>
          <w:tcPr>
            <w:tcW w:w="1560" w:type="dxa"/>
            <w:vAlign w:val="center"/>
          </w:tcPr>
          <w:p>
            <w:pPr>
              <w:pStyle w:val="TableText"/>
              <w:spacing w:before="0" w:after="0" w:line="240" w:lineRule="auto"/>
            </w:pPr>
            <w:r>
              <w:rPr>
                <w:sz w:val="20"/>
                <w:szCs w:val="20"/>
              </w:rPr>
              <w:t>7.90</w:t>
            </w:r>
          </w:p>
        </w:tc>
      </w:tr>
    </w:tbl>
    <w:p>
      <w:pPr>
        <w:spacing w:after="40"/>
      </w:pPr>
    </w:p>
    <w:p>
      <w:pPr>
        <w:pStyle w:val="BodyText"/>
      </w:pPr>
      <w:r>
        <w:t>Metaproteome exact-match and dereplication of the periodontitis-labelled library retained 33,786 evidence-supported unique peptides (healthy-labelled: 31,510/11,269,961). Intersection of the 1,125,832 BBB (BBP) predictions with that evidence-supported set recovered 3,518 peptides (3,446 short, 72 long). NTxPred2 evaluated 3,299/3,518 (93.77%) and classified 923/3,299 (27.98%) as model-positive. Subsequent filters retained 111 mebipred-positive candidates, 15 with CHEL≥0.25, 12 with CHEL≥0.25 and FRS&lt;0.50, and 8 with CHEL≥0.25 and FRS&lt;0.45 (Table 2).</w:t>
      </w:r>
    </w:p>
    <w:p>
      <w:pPr>
        <w:pStyle w:val="Caption"/>
      </w:pPr>
      <w:r>
        <w:rPr>
          <w:b/>
        </w:rPr>
        <w:t>Table 2. Serial prioritization after UniDL4BioPep prediction and metaproteome intersection.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UniDL4BioPep 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Evidence-supported unique peptides</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evidence-supported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BodyText"/>
      </w:pPr>
      <w:r>
        <w:t>The twelve explicit sequences are unique 7–9-aa peptides of standard amino acids (Table 3). Eleven contain histidine, six contain cysteine, and every sequence contains at least one Arg or Lys. All 923 NTxPred2-positive peptides were ≤30 aa, so the downstream metal/CHEL/FRS filters retained only short peptides.</w:t>
      </w:r>
    </w:p>
    <w:p>
      <w:pPr>
        <w:pStyle w:val="Caption"/>
      </w:pPr>
      <w:r>
        <w:rPr>
          <w:b/>
        </w:rPr>
        <w:t>Table 3.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4,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4.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5,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5. Complex RMSD (A) closely follows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5.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closely follows that control (complex 0.1916 nm; AChE-only 0.1883 nm). FLLHTTR and YLSLLQR fall below apo after ~50–70 ns (complex 0.1640 and 0.1625 nm; AChE-only 0.1609 and 0.1607 nm), indicating that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2"/>
        <w:keepNext/>
      </w:pPr>
      <w:r>
        <w:t>Discussion</w:t>
      </w:r>
    </w:p>
    <w:p>
      <w:pPr>
        <w:pStyle w:val="Heading3"/>
        <w:keepNext/>
      </w:pPr>
      <w:r>
        <w:t>A possible PAS-centred path from pathogenic peptides to AD</w:t>
      </w:r>
    </w:p>
    <w:p>
      <w:pPr>
        <w:pStyle w:val="BodyText"/>
      </w:pPr>
      <w:r>
        <w:t xml:space="preserve">AD combines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and PAS-directed ligands can suppress AChE-induced Aβ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route: the organism and gingipains are detected in AD brains, and oral infection in mice drives neuroinflammation and Aβ-related changes </w:t>
      </w:r>
      <w:r>
        <w:t>[6,12–13]</w:t>
      </w:r>
      <w:r>
        <w:t>. The present docking and 100-ns trajectories indicate that periodontitis-derived micropeptides can occupy that same PAS, and therefore outline a possible pathogenic mechanism with four linked steps.</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the canonical PAS residues Asp74, Tyr72 and His287 (best-run -9.60 kcal/mol; Figure 2C). YLSLLQR contacts PAS (Tyr72, Thr75) and the catalytic entrance (three-run mean -9.44 ± 0.09 kcal/mol; Figure 3L). LLHPLRL spans the PAS gatekeepers Trp286/Tyr341 to catalytic His447 (Figure 3I). HLLTLKKHV reaches Tyr72 and Phe346 in the 344–361 residence zone reported for Aβ. The geometry is the same PAS that Inestrosa identified as the pro-fibrillar site and that Atanasova occupied with Aβ.</w:t>
      </w:r>
    </w:p>
    <w:p>
      <w:pPr>
        <w:pStyle w:val="Reference"/>
        <w:ind w:left="360" w:hanging="360"/>
      </w:pPr>
      <w:r>
        <w:rPr>
          <w:sz w:val="24"/>
          <w:szCs w:val="24"/>
        </w:rPr>
        <w:t>2. A stable enzyme–peptide complex.</w:t>
      </w:r>
    </w:p>
    <w:p>
      <w:pPr>
        <w:pStyle w:val="BodyText"/>
      </w:pPr>
      <w:r>
        <w:t xml:space="preserve">   Over 100 ns the enzyme remains globular (RMSD 0.16–0.19 nm, Rg 2.30–2.31 nm, α-helix ~33% / β-sheet ~17%; Figures 4–6). FLLHTTR and YLSLLQR complexes become more compact than apo in late RMSD (0.1640 and 0.1625 nm versus 0.1897 nm; Figures 5A, 6A), so the peptide stays on the surface and rigidifies the fold rather than unfolding it. Intermolecular hydrogen bonds persist, with FLLHTTR holding a dense polar network throughout (7.03 ± 1.28; Figure 5F), YLSLLQR averaging 2.93 ± 1.14, and ALLLHRC retaining seven contact pairs after early rearrangement. This is the same “surface-bound, non-dissociating complex” described for AChE–Aβ by Lushchekina and Atanasova, now observed for periodontitis micropeptides.</w:t>
      </w:r>
    </w:p>
    <w:p>
      <w:pPr>
        <w:pStyle w:val="Reference"/>
        <w:ind w:left="360" w:hanging="360"/>
      </w:pPr>
      <w:r>
        <w:rPr>
          <w:sz w:val="24"/>
          <w:szCs w:val="24"/>
        </w:rPr>
        <w:t>3. Impaired cholinergic transmission.</w:t>
      </w:r>
    </w:p>
    <w:p>
      <w:pPr>
        <w:pStyle w:val="BodyText"/>
      </w:pPr>
      <w:r>
        <w:t xml:space="preserve">   The PAS sits at the mouth of the 20-Å gorge that feeds the catalytic triad </w:t>
      </w:r>
      <w:r>
        <w:t>[3,20]</w:t>
      </w:r>
      <w:r>
        <w:t>. Physical occupancy of Asp74/Tyr72/Trp286/Tyr341 can block acetylcholine entry and perturb gorge gating even when the catalytic core remains folded (low RMSF in panels B). The same pose that docks to the PAS therefore attacks the cholinergic axis of AD: reduced acetylcholine hydrolysis at synapses already depleted in basal forebrain cholinergic neurons.</w:t>
      </w:r>
    </w:p>
    <w:p>
      <w:pPr>
        <w:pStyle w:val="Reference"/>
        <w:ind w:left="360" w:hanging="360"/>
      </w:pPr>
      <w:r>
        <w:rPr>
          <w:sz w:val="24"/>
          <w:szCs w:val="24"/>
        </w:rPr>
        <w:t>4. Pathological chaperone activity and amyloid co-nucleation.</w:t>
      </w:r>
    </w:p>
    <w:p>
      <w:pPr>
        <w:pStyle w:val="BodyText"/>
      </w:pPr>
      <w:r>
        <w:t xml:space="preserve">   Because the PAS is a documented pro-fibrillar chaperone site </w:t>
      </w:r>
      <w:r>
        <w:t>[4–5]</w:t>
      </w:r>
      <w:r>
        <w:t xml:space="preserve">, a heterologous peptide that resides there can lower the nucleation barrier for endogenous Aβ. FLLHTTR supplies a persistent polar network on the PAS (Figure 5F) that matches its docking pose (Figure 2C). YLSLLQR supplies compact interfacial burial (SASA 209.71 versus 212.25 nm²; Figure 6C) and the most rigid bound peptide (self-fit RMSD 0.0911 nm), consistent with a tightly seated seed. Lushchekina’s nucleation-centre model then reads directly onto these complexes: AChE remains folded and presents a peptide-coated PAS on which Aβ oligomers can co-assemble. AChE–Aβ assemblies are already more synaptotoxic than free Aβ </w:t>
      </w:r>
      <w:r>
        <w:t>[4]</w:t>
      </w:r>
      <w:r>
        <w:t>; a bacterial micropeptide occupying the same site offers a possible route to hybrid, more toxic nuclei.</w:t>
      </w:r>
    </w:p>
    <w:p>
      <w:pPr>
        <w:pStyle w:val="Heading3"/>
        <w:keepNext/>
      </w:pPr>
      <w:r>
        <w:t>From the oral cavity to cortical AChE</w:t>
      </w:r>
    </w:p>
    <w:p>
      <w:pPr>
        <w:pStyle w:val="BodyText"/>
      </w:pPr>
      <w:r>
        <w:t xml:space="preserve">Chronic periodontitis can deliver </w:t>
      </w:r>
      <w:r>
        <w:rPr>
          <w:i/>
        </w:rPr>
        <w:t>P. gingivalis</w:t>
      </w:r>
      <w:r>
        <w:t xml:space="preserve"> products into the circulation through a breached epithelium, gingipains, and outer-membrane vesicles </w:t>
      </w:r>
      <w:r>
        <w:t>[8–9]</w:t>
      </w:r>
      <w:r>
        <w:t xml:space="preserve">. Systemic cytokines and proteases increase blood–brain-barrier permeability, allowing short, leucine-rich, cationic micropeptides that scored BBB-high (a label similarly prevalent in both libraries) to reach cortical interstitial space </w:t>
      </w:r>
      <w:r>
        <w:t>[6,12]</w:t>
      </w:r>
      <w:r>
        <w:t>. Once there, PAS docking provides a molecular landing site on a synaptic enzyme that is both a cholinergic hydrolase and an amyloid chaperone. In this possible mechanism the twelve periodontitis-derived sequences are pathogenic peptides not because RMSD rises, but because they occupy the experimentally established Aβ-binding PAS and remain bound for 100 ns.</w:t>
      </w:r>
    </w:p>
    <w:p>
      <w:pPr>
        <w:pStyle w:val="Heading2"/>
        <w:keepNext/>
      </w:pPr>
      <w:r>
        <w:t>Conclusions</w:t>
      </w:r>
    </w:p>
    <w:p>
      <w:pPr>
        <w:pStyle w:val="BodyText"/>
      </w:pPr>
      <w:r>
        <w:t xml:space="preserve">Periodontitis-derived 7–9-aa micropeptides dock to the human AChE PAS and, for FLLHTTR, YLSLLQR and ALLLHRC, remain surface-bound over 100 ns without unfolding the enzyme. FLLHTTR forms the densest PAS hydrogen-bond network; YLSLLQR uniquely buries surface area. Mapped onto the amyloid cascade </w:t>
      </w:r>
      <w:r>
        <w:t>[2]</w:t>
      </w:r>
      <w:r>
        <w:t xml:space="preserve">, the cholinergic hypothesis </w:t>
      </w:r>
      <w:r>
        <w:t>[3]</w:t>
      </w:r>
      <w:r>
        <w:t>, and the PAS chaperone experiments of Inestrosa, Lushchekina and Atanasova, these results support a possible mechanism in which oral pathogenic peptides occupy AChE, impair acetylcholine access, and co-nucleate Aβ on the same PAS, thereby linking periodontitis to AD at the molecular level.</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